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BOMBSHELL MICROBLADING CONTRAINDICATIONS </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numPr>
          <w:ilvl w:val="0"/>
          <w:numId w:val="2"/>
        </w:numPr>
        <w:ind w:left="720" w:hanging="360"/>
        <w:contextualSpacing w:val="1"/>
        <w:rPr>
          <w:u w:val="none"/>
        </w:rPr>
      </w:pPr>
      <w:r w:rsidDel="00000000" w:rsidR="00000000" w:rsidRPr="00000000">
        <w:rPr>
          <w:rtl w:val="0"/>
        </w:rPr>
        <w:t xml:space="preserve">Current use of Retin A or active skin care ingredients using alpha or beta hydroxy acids or chemical peels (14 days)</w:t>
      </w:r>
    </w:p>
    <w:p w:rsidR="00000000" w:rsidDel="00000000" w:rsidP="00000000" w:rsidRDefault="00000000" w:rsidRPr="00000000" w14:paraId="00000003">
      <w:pPr>
        <w:numPr>
          <w:ilvl w:val="0"/>
          <w:numId w:val="2"/>
        </w:numPr>
        <w:ind w:left="720" w:hanging="360"/>
        <w:contextualSpacing w:val="1"/>
        <w:rPr>
          <w:u w:val="none"/>
        </w:rPr>
      </w:pPr>
      <w:r w:rsidDel="00000000" w:rsidR="00000000" w:rsidRPr="00000000">
        <w:rPr>
          <w:rtl w:val="0"/>
        </w:rPr>
        <w:t xml:space="preserve">Use of blood thinners</w:t>
      </w:r>
    </w:p>
    <w:p w:rsidR="00000000" w:rsidDel="00000000" w:rsidP="00000000" w:rsidRDefault="00000000" w:rsidRPr="00000000" w14:paraId="00000004">
      <w:pPr>
        <w:numPr>
          <w:ilvl w:val="0"/>
          <w:numId w:val="2"/>
        </w:numPr>
        <w:ind w:left="720" w:hanging="360"/>
        <w:contextualSpacing w:val="1"/>
        <w:rPr>
          <w:u w:val="none"/>
        </w:rPr>
      </w:pPr>
      <w:r w:rsidDel="00000000" w:rsidR="00000000" w:rsidRPr="00000000">
        <w:rPr>
          <w:rtl w:val="0"/>
        </w:rPr>
        <w:t xml:space="preserve">Diabetes </w:t>
      </w:r>
    </w:p>
    <w:p w:rsidR="00000000" w:rsidDel="00000000" w:rsidP="00000000" w:rsidRDefault="00000000" w:rsidRPr="00000000" w14:paraId="00000005">
      <w:pPr>
        <w:numPr>
          <w:ilvl w:val="0"/>
          <w:numId w:val="2"/>
        </w:numPr>
        <w:ind w:left="720" w:hanging="360"/>
        <w:contextualSpacing w:val="1"/>
        <w:rPr>
          <w:u w:val="none"/>
        </w:rPr>
      </w:pPr>
      <w:r w:rsidDel="00000000" w:rsidR="00000000" w:rsidRPr="00000000">
        <w:rPr>
          <w:rtl w:val="0"/>
        </w:rPr>
        <w:t xml:space="preserve">Autoimmune disorders </w:t>
      </w:r>
    </w:p>
    <w:p w:rsidR="00000000" w:rsidDel="00000000" w:rsidP="00000000" w:rsidRDefault="00000000" w:rsidRPr="00000000" w14:paraId="00000006">
      <w:pPr>
        <w:numPr>
          <w:ilvl w:val="0"/>
          <w:numId w:val="2"/>
        </w:numPr>
        <w:ind w:left="720" w:hanging="360"/>
        <w:contextualSpacing w:val="1"/>
        <w:rPr>
          <w:u w:val="none"/>
        </w:rPr>
      </w:pPr>
      <w:r w:rsidDel="00000000" w:rsidR="00000000" w:rsidRPr="00000000">
        <w:rPr>
          <w:rtl w:val="0"/>
        </w:rPr>
        <w:t xml:space="preserve">History of keloid or hypertrophic scarring </w:t>
      </w:r>
    </w:p>
    <w:p w:rsidR="00000000" w:rsidDel="00000000" w:rsidP="00000000" w:rsidRDefault="00000000" w:rsidRPr="00000000" w14:paraId="00000007">
      <w:pPr>
        <w:numPr>
          <w:ilvl w:val="0"/>
          <w:numId w:val="2"/>
        </w:numPr>
        <w:ind w:left="720" w:hanging="360"/>
        <w:contextualSpacing w:val="1"/>
        <w:rPr>
          <w:u w:val="none"/>
        </w:rPr>
      </w:pPr>
      <w:r w:rsidDel="00000000" w:rsidR="00000000" w:rsidRPr="00000000">
        <w:rPr>
          <w:rtl w:val="0"/>
        </w:rPr>
        <w:t xml:space="preserve">Pregnant or nursing </w:t>
      </w:r>
    </w:p>
    <w:p w:rsidR="00000000" w:rsidDel="00000000" w:rsidP="00000000" w:rsidRDefault="00000000" w:rsidRPr="00000000" w14:paraId="00000008">
      <w:pPr>
        <w:numPr>
          <w:ilvl w:val="0"/>
          <w:numId w:val="2"/>
        </w:numPr>
        <w:ind w:left="720" w:hanging="360"/>
        <w:contextualSpacing w:val="1"/>
        <w:rPr>
          <w:u w:val="none"/>
        </w:rPr>
      </w:pPr>
      <w:r w:rsidDel="00000000" w:rsidR="00000000" w:rsidRPr="00000000">
        <w:rPr>
          <w:rtl w:val="0"/>
        </w:rPr>
        <w:t xml:space="preserve">Recent Botox or fillers in the Brow area (14 days)</w:t>
      </w:r>
    </w:p>
    <w:p w:rsidR="00000000" w:rsidDel="00000000" w:rsidP="00000000" w:rsidRDefault="00000000" w:rsidRPr="00000000" w14:paraId="00000009">
      <w:pPr>
        <w:numPr>
          <w:ilvl w:val="0"/>
          <w:numId w:val="2"/>
        </w:numPr>
        <w:ind w:left="720" w:hanging="360"/>
        <w:contextualSpacing w:val="1"/>
        <w:rPr>
          <w:u w:val="none"/>
        </w:rPr>
      </w:pPr>
      <w:r w:rsidDel="00000000" w:rsidR="00000000" w:rsidRPr="00000000">
        <w:rPr>
          <w:rtl w:val="0"/>
        </w:rPr>
        <w:t xml:space="preserve">Accutane use (12 months)</w:t>
      </w:r>
    </w:p>
    <w:p w:rsidR="00000000" w:rsidDel="00000000" w:rsidP="00000000" w:rsidRDefault="00000000" w:rsidRPr="00000000" w14:paraId="0000000A">
      <w:pPr>
        <w:numPr>
          <w:ilvl w:val="0"/>
          <w:numId w:val="2"/>
        </w:numPr>
        <w:ind w:left="720" w:hanging="360"/>
        <w:contextualSpacing w:val="1"/>
        <w:rPr>
          <w:u w:val="none"/>
        </w:rPr>
      </w:pPr>
      <w:r w:rsidDel="00000000" w:rsidR="00000000" w:rsidRPr="00000000">
        <w:rPr>
          <w:rtl w:val="0"/>
        </w:rPr>
        <w:t xml:space="preserve">Chemotherapy (12 months)</w:t>
      </w:r>
    </w:p>
    <w:p w:rsidR="00000000" w:rsidDel="00000000" w:rsidP="00000000" w:rsidRDefault="00000000" w:rsidRPr="00000000" w14:paraId="0000000B">
      <w:pPr>
        <w:numPr>
          <w:ilvl w:val="0"/>
          <w:numId w:val="2"/>
        </w:numPr>
        <w:ind w:left="720" w:hanging="360"/>
        <w:contextualSpacing w:val="1"/>
        <w:rPr>
          <w:u w:val="none"/>
        </w:rPr>
      </w:pPr>
      <w:r w:rsidDel="00000000" w:rsidR="00000000" w:rsidRPr="00000000">
        <w:rPr>
          <w:rtl w:val="0"/>
        </w:rPr>
        <w:t xml:space="preserve">Diseases or infections </w:t>
      </w:r>
    </w:p>
    <w:p w:rsidR="00000000" w:rsidDel="00000000" w:rsidP="00000000" w:rsidRDefault="00000000" w:rsidRPr="00000000" w14:paraId="0000000C">
      <w:pPr>
        <w:numPr>
          <w:ilvl w:val="0"/>
          <w:numId w:val="2"/>
        </w:numPr>
        <w:ind w:left="720" w:hanging="360"/>
        <w:contextualSpacing w:val="1"/>
        <w:rPr>
          <w:u w:val="none"/>
        </w:rPr>
      </w:pPr>
      <w:r w:rsidDel="00000000" w:rsidR="00000000" w:rsidRPr="00000000">
        <w:rPr>
          <w:rtl w:val="0"/>
        </w:rPr>
        <w:t xml:space="preserve">Psoriasis or eczema (brow area)</w:t>
      </w:r>
    </w:p>
    <w:p w:rsidR="00000000" w:rsidDel="00000000" w:rsidP="00000000" w:rsidRDefault="00000000" w:rsidRPr="00000000" w14:paraId="0000000D">
      <w:pPr>
        <w:numPr>
          <w:ilvl w:val="0"/>
          <w:numId w:val="2"/>
        </w:numPr>
        <w:ind w:left="720" w:hanging="360"/>
        <w:contextualSpacing w:val="1"/>
        <w:rPr>
          <w:u w:val="none"/>
        </w:rPr>
      </w:pPr>
      <w:r w:rsidDel="00000000" w:rsidR="00000000" w:rsidRPr="00000000">
        <w:rPr>
          <w:rtl w:val="0"/>
        </w:rPr>
        <w:t xml:space="preserve">History of MRSA</w:t>
      </w:r>
    </w:p>
    <w:p w:rsidR="00000000" w:rsidDel="00000000" w:rsidP="00000000" w:rsidRDefault="00000000" w:rsidRPr="00000000" w14:paraId="0000000E">
      <w:pPr>
        <w:numPr>
          <w:ilvl w:val="0"/>
          <w:numId w:val="2"/>
        </w:numPr>
        <w:ind w:left="720" w:hanging="360"/>
        <w:contextualSpacing w:val="1"/>
        <w:rPr>
          <w:u w:val="none"/>
        </w:rPr>
      </w:pPr>
      <w:r w:rsidDel="00000000" w:rsidR="00000000" w:rsidRPr="00000000">
        <w:rPr>
          <w:rtl w:val="0"/>
        </w:rPr>
        <w:t xml:space="preserve">Blepharoplasty or brow or face lift (6months)</w:t>
      </w:r>
    </w:p>
    <w:p w:rsidR="00000000" w:rsidDel="00000000" w:rsidP="00000000" w:rsidRDefault="00000000" w:rsidRPr="00000000" w14:paraId="0000000F">
      <w:pPr>
        <w:numPr>
          <w:ilvl w:val="0"/>
          <w:numId w:val="2"/>
        </w:numPr>
        <w:ind w:left="720" w:hanging="360"/>
        <w:contextualSpacing w:val="1"/>
        <w:rPr>
          <w:u w:val="none"/>
        </w:rPr>
      </w:pPr>
      <w:r w:rsidDel="00000000" w:rsidR="00000000" w:rsidRPr="00000000">
        <w:rPr>
          <w:rtl w:val="0"/>
        </w:rPr>
        <w:t xml:space="preserve">Eye surgery (6months)</w:t>
      </w:r>
    </w:p>
    <w:p w:rsidR="00000000" w:rsidDel="00000000" w:rsidP="00000000" w:rsidRDefault="00000000" w:rsidRPr="00000000" w14:paraId="00000010">
      <w:pPr>
        <w:numPr>
          <w:ilvl w:val="0"/>
          <w:numId w:val="2"/>
        </w:numPr>
        <w:ind w:left="720" w:hanging="360"/>
        <w:contextualSpacing w:val="1"/>
        <w:rPr>
          <w:u w:val="none"/>
        </w:rPr>
      </w:pPr>
      <w:r w:rsidDel="00000000" w:rsidR="00000000" w:rsidRPr="00000000">
        <w:rPr>
          <w:rtl w:val="0"/>
        </w:rPr>
        <w:t xml:space="preserve">Current tanning or sun exposure (14 days)</w:t>
      </w:r>
    </w:p>
    <w:p w:rsidR="00000000" w:rsidDel="00000000" w:rsidP="00000000" w:rsidRDefault="00000000" w:rsidRPr="00000000" w14:paraId="00000011">
      <w:pPr>
        <w:numPr>
          <w:ilvl w:val="0"/>
          <w:numId w:val="2"/>
        </w:numPr>
        <w:ind w:left="720" w:hanging="360"/>
        <w:contextualSpacing w:val="1"/>
        <w:rPr>
          <w:u w:val="none"/>
        </w:rPr>
      </w:pPr>
      <w:r w:rsidDel="00000000" w:rsidR="00000000" w:rsidRPr="00000000">
        <w:rPr>
          <w:rtl w:val="0"/>
        </w:rPr>
        <w:t xml:space="preserve">Current use of aspirin or alcohol (24hrs)</w:t>
      </w:r>
    </w:p>
    <w:p w:rsidR="00000000" w:rsidDel="00000000" w:rsidP="00000000" w:rsidRDefault="00000000" w:rsidRPr="00000000" w14:paraId="00000012">
      <w:pPr>
        <w:numPr>
          <w:ilvl w:val="0"/>
          <w:numId w:val="2"/>
        </w:numPr>
        <w:ind w:left="720" w:hanging="360"/>
        <w:contextualSpacing w:val="1"/>
        <w:rPr>
          <w:u w:val="none"/>
        </w:rPr>
      </w:pPr>
      <w:r w:rsidDel="00000000" w:rsidR="00000000" w:rsidRPr="00000000">
        <w:rPr>
          <w:rtl w:val="0"/>
        </w:rPr>
        <w:t xml:space="preserve">Use of fish oils, vitamin e, herbal supplements </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pPr>
      <w:r w:rsidDel="00000000" w:rsidR="00000000" w:rsidRPr="00000000">
        <w:rPr>
          <w:rtl w:val="0"/>
        </w:rPr>
        <w:t xml:space="preserve">Possible Complications:</w:t>
      </w:r>
    </w:p>
    <w:p w:rsidR="00000000" w:rsidDel="00000000" w:rsidP="00000000" w:rsidRDefault="00000000" w:rsidRPr="00000000" w14:paraId="00000016">
      <w:pPr>
        <w:numPr>
          <w:ilvl w:val="0"/>
          <w:numId w:val="1"/>
        </w:numPr>
        <w:ind w:left="720" w:hanging="360"/>
        <w:contextualSpacing w:val="1"/>
        <w:rPr>
          <w:u w:val="none"/>
        </w:rPr>
      </w:pPr>
      <w:r w:rsidDel="00000000" w:rsidR="00000000" w:rsidRPr="00000000">
        <w:rPr>
          <w:rtl w:val="0"/>
        </w:rPr>
        <w:t xml:space="preserve">Discomfort, even with the use of topical anesthetics</w:t>
      </w:r>
    </w:p>
    <w:p w:rsidR="00000000" w:rsidDel="00000000" w:rsidP="00000000" w:rsidRDefault="00000000" w:rsidRPr="00000000" w14:paraId="00000017">
      <w:pPr>
        <w:numPr>
          <w:ilvl w:val="0"/>
          <w:numId w:val="1"/>
        </w:numPr>
        <w:ind w:left="720" w:hanging="360"/>
        <w:contextualSpacing w:val="1"/>
        <w:rPr>
          <w:u w:val="none"/>
        </w:rPr>
      </w:pPr>
      <w:r w:rsidDel="00000000" w:rsidR="00000000" w:rsidRPr="00000000">
        <w:rPr>
          <w:rtl w:val="0"/>
        </w:rPr>
        <w:t xml:space="preserve">More sensitivity before menstration</w:t>
      </w:r>
    </w:p>
    <w:p w:rsidR="00000000" w:rsidDel="00000000" w:rsidP="00000000" w:rsidRDefault="00000000" w:rsidRPr="00000000" w14:paraId="00000018">
      <w:pPr>
        <w:numPr>
          <w:ilvl w:val="0"/>
          <w:numId w:val="1"/>
        </w:numPr>
        <w:ind w:left="720" w:hanging="360"/>
        <w:contextualSpacing w:val="1"/>
        <w:rPr>
          <w:u w:val="none"/>
        </w:rPr>
      </w:pPr>
      <w:r w:rsidDel="00000000" w:rsidR="00000000" w:rsidRPr="00000000">
        <w:rPr>
          <w:rtl w:val="0"/>
        </w:rPr>
        <w:t xml:space="preserve">Infection. It is imperative that clients follow precise aftercare guidelines. The brow area should stay clean. Do not touch or treat the eyebrow area unless your hands are clean.</w:t>
      </w:r>
    </w:p>
    <w:p w:rsidR="00000000" w:rsidDel="00000000" w:rsidP="00000000" w:rsidRDefault="00000000" w:rsidRPr="00000000" w14:paraId="00000019">
      <w:pPr>
        <w:numPr>
          <w:ilvl w:val="0"/>
          <w:numId w:val="1"/>
        </w:numPr>
        <w:ind w:left="720" w:hanging="360"/>
        <w:contextualSpacing w:val="1"/>
        <w:rPr>
          <w:u w:val="none"/>
        </w:rPr>
      </w:pPr>
      <w:r w:rsidDel="00000000" w:rsidR="00000000" w:rsidRPr="00000000">
        <w:rPr>
          <w:rtl w:val="0"/>
        </w:rPr>
        <w:t xml:space="preserve">Uneven pigmentation can result from poor healing, infection, or not adhearing to post care protocols.</w:t>
      </w:r>
    </w:p>
    <w:p w:rsidR="00000000" w:rsidDel="00000000" w:rsidP="00000000" w:rsidRDefault="00000000" w:rsidRPr="00000000" w14:paraId="0000001A">
      <w:pPr>
        <w:numPr>
          <w:ilvl w:val="0"/>
          <w:numId w:val="1"/>
        </w:numPr>
        <w:ind w:left="720" w:hanging="360"/>
        <w:contextualSpacing w:val="1"/>
        <w:rPr>
          <w:u w:val="none"/>
        </w:rPr>
      </w:pPr>
      <w:r w:rsidDel="00000000" w:rsidR="00000000" w:rsidRPr="00000000">
        <w:rPr>
          <w:rtl w:val="0"/>
        </w:rPr>
        <w:t xml:space="preserve">Swelling or bruising is normal following the treatment and should dissipate quickly.</w:t>
      </w:r>
    </w:p>
    <w:p w:rsidR="00000000" w:rsidDel="00000000" w:rsidP="00000000" w:rsidRDefault="00000000" w:rsidRPr="00000000" w14:paraId="0000001B">
      <w:pPr>
        <w:numPr>
          <w:ilvl w:val="0"/>
          <w:numId w:val="1"/>
        </w:numPr>
        <w:ind w:left="720" w:hanging="360"/>
        <w:contextualSpacing w:val="1"/>
        <w:rPr>
          <w:u w:val="none"/>
        </w:rPr>
      </w:pPr>
      <w:r w:rsidDel="00000000" w:rsidR="00000000" w:rsidRPr="00000000">
        <w:rPr>
          <w:rtl w:val="0"/>
        </w:rPr>
        <w:t xml:space="preserve">Allergic reactions are rare. You may wish to perform a patch test 24-48 hours prior to the treatment. If you do not come in for a patch test you cannot hold Jennifer Alarcon or Bombshell Beauty and Brow Studio,LLC responsible for any adverse effects.</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t xml:space="preserve">I have read all the possible complications and contraindications and understand the risks involved completely and will not hold Jennifer Alarcon of Bombshell Beauty and Brow Studio, LLC responsible for any unsatisfactory results pertaining to the Microblading procedure.</w:t>
      </w:r>
    </w:p>
    <w:p w:rsidR="00000000" w:rsidDel="00000000" w:rsidP="00000000" w:rsidRDefault="00000000" w:rsidRPr="00000000" w14:paraId="0000001E">
      <w:pPr>
        <w:contextualSpacing w:val="0"/>
        <w:rPr/>
      </w:pPr>
      <w:r w:rsidDel="00000000" w:rsidR="00000000" w:rsidRPr="00000000">
        <w:rPr>
          <w:rtl w:val="0"/>
        </w:rPr>
      </w:r>
    </w:p>
    <w:p w:rsidR="00000000" w:rsidDel="00000000" w:rsidP="00000000" w:rsidRDefault="00000000" w:rsidRPr="00000000" w14:paraId="0000001F">
      <w:pPr>
        <w:contextualSpacing w:val="0"/>
        <w:rPr/>
      </w:pPr>
      <w:r w:rsidDel="00000000" w:rsidR="00000000" w:rsidRPr="00000000">
        <w:rPr>
          <w:rtl w:val="0"/>
        </w:rPr>
        <w:t xml:space="preserve">Print____________signature____________date______</w:t>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