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FCFC5A" w14:textId="5ECC978C" w:rsidR="0051521C" w:rsidRDefault="00F80107" w:rsidP="001F63F8">
      <w:pPr>
        <w:widowControl/>
        <w:rPr>
          <w:sz w:val="24"/>
          <w:szCs w:val="24"/>
        </w:rPr>
      </w:pPr>
      <w:r>
        <w:rPr>
          <w:sz w:val="24"/>
          <w:szCs w:val="24"/>
        </w:rPr>
        <w:t>VIA Email and Overnight Delivery</w:t>
      </w:r>
    </w:p>
    <w:p w14:paraId="4EA5AE5E" w14:textId="77777777" w:rsidR="00F80107" w:rsidRDefault="00F80107" w:rsidP="00F80107">
      <w:pPr>
        <w:widowControl/>
        <w:jc w:val="center"/>
        <w:rPr>
          <w:sz w:val="24"/>
          <w:szCs w:val="24"/>
        </w:rPr>
      </w:pPr>
    </w:p>
    <w:p w14:paraId="6012295A" w14:textId="7AA552B8" w:rsidR="00AE5A3F" w:rsidRDefault="00F80107" w:rsidP="00F80107">
      <w:pPr>
        <w:widowControl/>
        <w:jc w:val="center"/>
        <w:rPr>
          <w:sz w:val="24"/>
          <w:szCs w:val="24"/>
        </w:rPr>
      </w:pPr>
      <w:r>
        <w:rPr>
          <w:sz w:val="24"/>
          <w:szCs w:val="24"/>
        </w:rPr>
        <w:t>February</w:t>
      </w:r>
      <w:r w:rsidR="00387715">
        <w:rPr>
          <w:sz w:val="24"/>
          <w:szCs w:val="24"/>
        </w:rPr>
        <w:t xml:space="preserve"> 22</w:t>
      </w:r>
      <w:r>
        <w:rPr>
          <w:sz w:val="24"/>
          <w:szCs w:val="24"/>
        </w:rPr>
        <w:t>,</w:t>
      </w:r>
      <w:r w:rsidR="00387715">
        <w:rPr>
          <w:sz w:val="24"/>
          <w:szCs w:val="24"/>
        </w:rPr>
        <w:t xml:space="preserve"> </w:t>
      </w:r>
      <w:r>
        <w:rPr>
          <w:sz w:val="24"/>
          <w:szCs w:val="24"/>
        </w:rPr>
        <w:t>2021</w:t>
      </w:r>
    </w:p>
    <w:p w14:paraId="5664F355" w14:textId="77777777" w:rsidR="00F80107" w:rsidRDefault="00F80107" w:rsidP="00F14B8E">
      <w:pPr>
        <w:widowControl/>
        <w:jc w:val="both"/>
        <w:rPr>
          <w:sz w:val="24"/>
          <w:szCs w:val="24"/>
        </w:rPr>
      </w:pPr>
    </w:p>
    <w:p w14:paraId="05F94D7E" w14:textId="27B7EF52" w:rsidR="005E7B6A" w:rsidRDefault="005E7B6A" w:rsidP="00F14B8E">
      <w:pPr>
        <w:widowControl/>
        <w:jc w:val="both"/>
        <w:rPr>
          <w:sz w:val="24"/>
          <w:szCs w:val="24"/>
        </w:rPr>
      </w:pPr>
      <w:r>
        <w:rPr>
          <w:sz w:val="24"/>
          <w:szCs w:val="24"/>
        </w:rPr>
        <w:t>Hon. Carolyn B. Maloney</w:t>
      </w:r>
    </w:p>
    <w:p w14:paraId="79E63848" w14:textId="4D17CE00" w:rsidR="005E7B6A" w:rsidRDefault="005E7B6A" w:rsidP="005E7B6A">
      <w:pPr>
        <w:widowControl/>
        <w:jc w:val="both"/>
        <w:rPr>
          <w:sz w:val="24"/>
          <w:szCs w:val="24"/>
        </w:rPr>
      </w:pPr>
      <w:r>
        <w:rPr>
          <w:sz w:val="24"/>
          <w:szCs w:val="24"/>
        </w:rPr>
        <w:t>Chair-</w:t>
      </w:r>
      <w:r w:rsidR="0020512C">
        <w:rPr>
          <w:sz w:val="24"/>
          <w:szCs w:val="24"/>
        </w:rPr>
        <w:t xml:space="preserve"> </w:t>
      </w:r>
      <w:r w:rsidRPr="005E7B6A">
        <w:rPr>
          <w:sz w:val="24"/>
          <w:szCs w:val="24"/>
        </w:rPr>
        <w:t>House Committee on Oversight and Government Reform</w:t>
      </w:r>
    </w:p>
    <w:p w14:paraId="0DA92020" w14:textId="7E400AAB" w:rsidR="005E7B6A" w:rsidRPr="005E7B6A" w:rsidRDefault="005E7B6A" w:rsidP="005E7B6A">
      <w:pPr>
        <w:widowControl/>
        <w:jc w:val="both"/>
        <w:rPr>
          <w:sz w:val="24"/>
          <w:szCs w:val="24"/>
        </w:rPr>
      </w:pPr>
      <w:r w:rsidRPr="005E7B6A">
        <w:rPr>
          <w:sz w:val="24"/>
          <w:szCs w:val="24"/>
        </w:rPr>
        <w:t>2308 Rayburn House Office Building</w:t>
      </w:r>
    </w:p>
    <w:p w14:paraId="06D07FC1" w14:textId="2C421583" w:rsidR="005E7B6A" w:rsidRDefault="005E7B6A" w:rsidP="005E7B6A">
      <w:pPr>
        <w:widowControl/>
        <w:jc w:val="both"/>
        <w:rPr>
          <w:sz w:val="24"/>
          <w:szCs w:val="24"/>
        </w:rPr>
      </w:pPr>
      <w:r w:rsidRPr="005E7B6A">
        <w:rPr>
          <w:sz w:val="24"/>
          <w:szCs w:val="24"/>
        </w:rPr>
        <w:t>Washington, DC 20515</w:t>
      </w:r>
    </w:p>
    <w:p w14:paraId="59DEE0EB" w14:textId="77777777" w:rsidR="005E7B6A" w:rsidRDefault="005E7B6A" w:rsidP="00F14B8E">
      <w:pPr>
        <w:widowControl/>
        <w:jc w:val="both"/>
        <w:rPr>
          <w:sz w:val="24"/>
          <w:szCs w:val="24"/>
        </w:rPr>
      </w:pPr>
    </w:p>
    <w:p w14:paraId="10BCD557" w14:textId="18DFD694" w:rsidR="005E7B6A" w:rsidRDefault="005E7B6A" w:rsidP="00F14B8E">
      <w:pPr>
        <w:widowControl/>
        <w:jc w:val="both"/>
        <w:rPr>
          <w:sz w:val="24"/>
          <w:szCs w:val="24"/>
        </w:rPr>
      </w:pPr>
      <w:r>
        <w:rPr>
          <w:sz w:val="24"/>
          <w:szCs w:val="24"/>
        </w:rPr>
        <w:t>Dear Congresswoman Maloney:</w:t>
      </w:r>
    </w:p>
    <w:p w14:paraId="3C6C4F47" w14:textId="77777777" w:rsidR="005E7B6A" w:rsidRDefault="005E7B6A" w:rsidP="00F14B8E">
      <w:pPr>
        <w:widowControl/>
        <w:jc w:val="both"/>
        <w:rPr>
          <w:sz w:val="24"/>
          <w:szCs w:val="24"/>
        </w:rPr>
      </w:pPr>
    </w:p>
    <w:p w14:paraId="1AB0737C" w14:textId="4BC0AAE9" w:rsidR="005E7B6A" w:rsidRDefault="005E7B6A" w:rsidP="00F14B8E">
      <w:pPr>
        <w:widowControl/>
        <w:jc w:val="both"/>
        <w:rPr>
          <w:sz w:val="24"/>
          <w:szCs w:val="24"/>
        </w:rPr>
      </w:pPr>
      <w:r>
        <w:rPr>
          <w:sz w:val="24"/>
          <w:szCs w:val="24"/>
        </w:rPr>
        <w:t xml:space="preserve">I am writing you as a long-term constituent and in your capacity as the chairwoman of the House of Representatives Committee on Oversight and Government Reform (“Committee”). </w:t>
      </w:r>
    </w:p>
    <w:p w14:paraId="2B7F1FDD" w14:textId="77777777" w:rsidR="005E7B6A" w:rsidRDefault="005E7B6A" w:rsidP="00F14B8E">
      <w:pPr>
        <w:widowControl/>
        <w:jc w:val="both"/>
        <w:rPr>
          <w:sz w:val="24"/>
          <w:szCs w:val="24"/>
        </w:rPr>
      </w:pPr>
    </w:p>
    <w:p w14:paraId="3595D520" w14:textId="2D3941AF" w:rsidR="00BC783B" w:rsidRDefault="005E7B6A" w:rsidP="00BC783B">
      <w:pPr>
        <w:widowControl/>
        <w:jc w:val="both"/>
        <w:rPr>
          <w:sz w:val="24"/>
          <w:szCs w:val="24"/>
        </w:rPr>
      </w:pPr>
      <w:r>
        <w:rPr>
          <w:sz w:val="24"/>
          <w:szCs w:val="24"/>
        </w:rPr>
        <w:t xml:space="preserve">Pursuant to </w:t>
      </w:r>
      <w:r w:rsidR="0038138A" w:rsidRPr="0038138A">
        <w:rPr>
          <w:sz w:val="24"/>
          <w:szCs w:val="24"/>
        </w:rPr>
        <w:t>House Rule X, clauses 2, 3, and 4</w:t>
      </w:r>
      <w:r w:rsidR="00B74019">
        <w:rPr>
          <w:rStyle w:val="FootnoteReference"/>
          <w:sz w:val="24"/>
          <w:szCs w:val="24"/>
        </w:rPr>
        <w:footnoteReference w:id="1"/>
      </w:r>
      <w:r w:rsidR="0038138A">
        <w:rPr>
          <w:sz w:val="24"/>
          <w:szCs w:val="24"/>
        </w:rPr>
        <w:t xml:space="preserve"> </w:t>
      </w:r>
      <w:r w:rsidR="00061FAB">
        <w:rPr>
          <w:sz w:val="24"/>
          <w:szCs w:val="24"/>
        </w:rPr>
        <w:t xml:space="preserve">and consistent with </w:t>
      </w:r>
      <w:r w:rsidR="00061FAB" w:rsidRPr="00061FAB">
        <w:rPr>
          <w:sz w:val="24"/>
          <w:szCs w:val="24"/>
        </w:rPr>
        <w:t>H</w:t>
      </w:r>
      <w:r w:rsidR="00061FAB">
        <w:rPr>
          <w:sz w:val="24"/>
          <w:szCs w:val="24"/>
        </w:rPr>
        <w:t>ouse</w:t>
      </w:r>
      <w:r w:rsidR="00061FAB" w:rsidRPr="00061FAB">
        <w:rPr>
          <w:sz w:val="24"/>
          <w:szCs w:val="24"/>
        </w:rPr>
        <w:t>. Res</w:t>
      </w:r>
      <w:r w:rsidR="00061FAB">
        <w:rPr>
          <w:sz w:val="24"/>
          <w:szCs w:val="24"/>
        </w:rPr>
        <w:t>olution</w:t>
      </w:r>
      <w:r w:rsidR="00061FAB" w:rsidRPr="00061FAB">
        <w:rPr>
          <w:sz w:val="24"/>
          <w:szCs w:val="24"/>
        </w:rPr>
        <w:t xml:space="preserve"> 556</w:t>
      </w:r>
      <w:r w:rsidR="00061FAB">
        <w:rPr>
          <w:sz w:val="24"/>
          <w:szCs w:val="24"/>
        </w:rPr>
        <w:t xml:space="preserve"> which was referred to the Committee on October 4, 2017</w:t>
      </w:r>
      <w:r w:rsidR="00061FAB">
        <w:rPr>
          <w:rStyle w:val="FootnoteReference"/>
          <w:sz w:val="24"/>
          <w:szCs w:val="24"/>
        </w:rPr>
        <w:footnoteReference w:id="2"/>
      </w:r>
      <w:r w:rsidR="00061FAB">
        <w:rPr>
          <w:sz w:val="24"/>
          <w:szCs w:val="24"/>
        </w:rPr>
        <w:t xml:space="preserve">, </w:t>
      </w:r>
      <w:r>
        <w:rPr>
          <w:sz w:val="24"/>
          <w:szCs w:val="24"/>
        </w:rPr>
        <w:t xml:space="preserve">I am requesting that the Committee conduct oversight hearings on the failure of the Executive Branch to comply with the requirements of the </w:t>
      </w:r>
      <w:r w:rsidR="009B724D" w:rsidRPr="009B724D">
        <w:rPr>
          <w:sz w:val="24"/>
          <w:szCs w:val="24"/>
        </w:rPr>
        <w:t>President John F. Kennedy Assassination Records Collection Act</w:t>
      </w:r>
      <w:r w:rsidR="009B724D">
        <w:rPr>
          <w:sz w:val="24"/>
          <w:szCs w:val="24"/>
        </w:rPr>
        <w:t xml:space="preserve"> </w:t>
      </w:r>
      <w:r w:rsidR="009B724D" w:rsidRPr="009B724D">
        <w:rPr>
          <w:sz w:val="24"/>
          <w:szCs w:val="24"/>
        </w:rPr>
        <w:t xml:space="preserve">of 1992 </w:t>
      </w:r>
      <w:r w:rsidR="009B724D">
        <w:rPr>
          <w:sz w:val="24"/>
          <w:szCs w:val="24"/>
        </w:rPr>
        <w:t>(“</w:t>
      </w:r>
      <w:r>
        <w:rPr>
          <w:sz w:val="24"/>
          <w:szCs w:val="24"/>
        </w:rPr>
        <w:t xml:space="preserve">JFK </w:t>
      </w:r>
      <w:r w:rsidR="009B724D">
        <w:rPr>
          <w:sz w:val="24"/>
          <w:szCs w:val="24"/>
        </w:rPr>
        <w:t>Act”)</w:t>
      </w:r>
      <w:r w:rsidR="001A6ED6">
        <w:rPr>
          <w:sz w:val="24"/>
          <w:szCs w:val="24"/>
        </w:rPr>
        <w:t>.</w:t>
      </w:r>
      <w:r w:rsidR="00904964">
        <w:rPr>
          <w:rStyle w:val="FootnoteReference"/>
          <w:sz w:val="24"/>
          <w:szCs w:val="24"/>
        </w:rPr>
        <w:footnoteReference w:id="3"/>
      </w:r>
      <w:r w:rsidR="009B724D">
        <w:rPr>
          <w:sz w:val="24"/>
          <w:szCs w:val="24"/>
        </w:rPr>
        <w:t xml:space="preserve"> </w:t>
      </w:r>
      <w:r w:rsidR="001A6ED6">
        <w:rPr>
          <w:sz w:val="24"/>
          <w:szCs w:val="24"/>
        </w:rPr>
        <w:t xml:space="preserve">I ask that the Committee hold these hearings </w:t>
      </w:r>
      <w:r w:rsidR="009B724D">
        <w:rPr>
          <w:sz w:val="24"/>
          <w:szCs w:val="24"/>
        </w:rPr>
        <w:t>during “</w:t>
      </w:r>
      <w:r w:rsidR="009B724D" w:rsidRPr="00E15F00">
        <w:rPr>
          <w:b/>
          <w:bCs/>
          <w:sz w:val="24"/>
          <w:szCs w:val="24"/>
        </w:rPr>
        <w:t>Sunshine Week</w:t>
      </w:r>
      <w:r w:rsidR="001A6ED6">
        <w:rPr>
          <w:rStyle w:val="FootnoteReference"/>
          <w:sz w:val="24"/>
          <w:szCs w:val="24"/>
        </w:rPr>
        <w:footnoteReference w:id="4"/>
      </w:r>
      <w:r w:rsidR="009B724D">
        <w:rPr>
          <w:sz w:val="24"/>
          <w:szCs w:val="24"/>
        </w:rPr>
        <w:t xml:space="preserve">” or no later than </w:t>
      </w:r>
      <w:r w:rsidRPr="00BC783B">
        <w:rPr>
          <w:b/>
          <w:bCs/>
          <w:sz w:val="24"/>
          <w:szCs w:val="24"/>
        </w:rPr>
        <w:t>April 26</w:t>
      </w:r>
      <w:r w:rsidRPr="00BC783B">
        <w:rPr>
          <w:b/>
          <w:bCs/>
          <w:sz w:val="24"/>
          <w:szCs w:val="24"/>
          <w:vertAlign w:val="superscript"/>
        </w:rPr>
        <w:t>th</w:t>
      </w:r>
      <w:r>
        <w:rPr>
          <w:sz w:val="24"/>
          <w:szCs w:val="24"/>
        </w:rPr>
        <w:t>-</w:t>
      </w:r>
      <w:r w:rsidR="009B724D">
        <w:rPr>
          <w:sz w:val="24"/>
          <w:szCs w:val="24"/>
        </w:rPr>
        <w:t>-</w:t>
      </w:r>
      <w:r>
        <w:rPr>
          <w:sz w:val="24"/>
          <w:szCs w:val="24"/>
        </w:rPr>
        <w:t xml:space="preserve"> the date that the Archivist of the United States has set </w:t>
      </w:r>
      <w:r w:rsidR="009E5D8F">
        <w:rPr>
          <w:sz w:val="24"/>
          <w:szCs w:val="24"/>
        </w:rPr>
        <w:t xml:space="preserve">as the deadline </w:t>
      </w:r>
      <w:r>
        <w:rPr>
          <w:sz w:val="24"/>
          <w:szCs w:val="24"/>
        </w:rPr>
        <w:t xml:space="preserve">for the security agencies to </w:t>
      </w:r>
      <w:r w:rsidR="009B724D">
        <w:rPr>
          <w:sz w:val="24"/>
          <w:szCs w:val="24"/>
        </w:rPr>
        <w:t xml:space="preserve">object to the release of the </w:t>
      </w:r>
      <w:r>
        <w:rPr>
          <w:sz w:val="24"/>
          <w:szCs w:val="24"/>
        </w:rPr>
        <w:t xml:space="preserve">remaining JFK </w:t>
      </w:r>
      <w:r w:rsidR="009B724D">
        <w:rPr>
          <w:sz w:val="24"/>
          <w:szCs w:val="24"/>
        </w:rPr>
        <w:t>R</w:t>
      </w:r>
      <w:r>
        <w:rPr>
          <w:sz w:val="24"/>
          <w:szCs w:val="24"/>
        </w:rPr>
        <w:t>ecords</w:t>
      </w:r>
      <w:r w:rsidR="009B724D">
        <w:rPr>
          <w:sz w:val="24"/>
          <w:szCs w:val="24"/>
        </w:rPr>
        <w:t>.</w:t>
      </w:r>
      <w:r w:rsidR="00BC783B">
        <w:rPr>
          <w:sz w:val="24"/>
          <w:szCs w:val="24"/>
        </w:rPr>
        <w:t xml:space="preserve"> Specifically, I ask the Committee to:  </w:t>
      </w:r>
    </w:p>
    <w:p w14:paraId="501DF262" w14:textId="77777777" w:rsidR="00BC783B" w:rsidRDefault="00BC783B" w:rsidP="00BC783B">
      <w:pPr>
        <w:widowControl/>
        <w:jc w:val="both"/>
        <w:rPr>
          <w:sz w:val="24"/>
          <w:szCs w:val="24"/>
        </w:rPr>
      </w:pPr>
    </w:p>
    <w:p w14:paraId="27E87790" w14:textId="77777777" w:rsidR="00BC783B" w:rsidRDefault="00BC783B" w:rsidP="00BC783B">
      <w:pPr>
        <w:pStyle w:val="ListParagraph"/>
        <w:widowControl/>
        <w:numPr>
          <w:ilvl w:val="0"/>
          <w:numId w:val="2"/>
        </w:numPr>
        <w:jc w:val="both"/>
        <w:rPr>
          <w:sz w:val="24"/>
          <w:szCs w:val="24"/>
        </w:rPr>
      </w:pPr>
      <w:r>
        <w:rPr>
          <w:sz w:val="24"/>
          <w:szCs w:val="24"/>
        </w:rPr>
        <w:t>Conduct an oversight hearing before the April 26</w:t>
      </w:r>
      <w:r w:rsidRPr="00716870">
        <w:rPr>
          <w:sz w:val="24"/>
          <w:szCs w:val="24"/>
          <w:vertAlign w:val="superscript"/>
        </w:rPr>
        <w:t>th</w:t>
      </w:r>
      <w:r>
        <w:rPr>
          <w:sz w:val="24"/>
          <w:szCs w:val="24"/>
        </w:rPr>
        <w:t xml:space="preserve"> deadline established by the Archivist for the agencies to request further postponement;</w:t>
      </w:r>
    </w:p>
    <w:p w14:paraId="1C3FA09D" w14:textId="77777777" w:rsidR="00BC783B" w:rsidRDefault="00BC783B" w:rsidP="00BC783B">
      <w:pPr>
        <w:pStyle w:val="ListParagraph"/>
        <w:widowControl/>
        <w:numPr>
          <w:ilvl w:val="0"/>
          <w:numId w:val="2"/>
        </w:numPr>
        <w:jc w:val="both"/>
        <w:rPr>
          <w:sz w:val="24"/>
          <w:szCs w:val="24"/>
        </w:rPr>
      </w:pPr>
      <w:r>
        <w:rPr>
          <w:sz w:val="24"/>
          <w:szCs w:val="24"/>
        </w:rPr>
        <w:lastRenderedPageBreak/>
        <w:t>Instruct agencies that requested records to be withheld in 2017 that they are to comply with the April 26</w:t>
      </w:r>
      <w:r w:rsidRPr="00A5708D">
        <w:rPr>
          <w:sz w:val="24"/>
          <w:szCs w:val="24"/>
          <w:vertAlign w:val="superscript"/>
        </w:rPr>
        <w:t>th</w:t>
      </w:r>
      <w:r>
        <w:rPr>
          <w:sz w:val="24"/>
          <w:szCs w:val="24"/>
        </w:rPr>
        <w:t xml:space="preserve"> deadline;</w:t>
      </w:r>
    </w:p>
    <w:p w14:paraId="50015D95" w14:textId="33634CA3" w:rsidR="00BC783B" w:rsidRDefault="00BC783B" w:rsidP="00BC783B">
      <w:pPr>
        <w:pStyle w:val="ListParagraph"/>
        <w:widowControl/>
        <w:numPr>
          <w:ilvl w:val="0"/>
          <w:numId w:val="2"/>
        </w:numPr>
        <w:jc w:val="both"/>
        <w:rPr>
          <w:sz w:val="24"/>
          <w:szCs w:val="24"/>
        </w:rPr>
      </w:pPr>
      <w:r w:rsidRPr="00A5708D">
        <w:rPr>
          <w:sz w:val="24"/>
          <w:szCs w:val="24"/>
        </w:rPr>
        <w:t xml:space="preserve">Instruct any agency requesting further postponement to provide </w:t>
      </w:r>
      <w:r w:rsidR="004C29B4">
        <w:rPr>
          <w:sz w:val="24"/>
          <w:szCs w:val="24"/>
        </w:rPr>
        <w:t>a Vaugh</w:t>
      </w:r>
      <w:r w:rsidR="00387715">
        <w:rPr>
          <w:sz w:val="24"/>
          <w:szCs w:val="24"/>
        </w:rPr>
        <w:t>n</w:t>
      </w:r>
      <w:r w:rsidR="004C29B4">
        <w:rPr>
          <w:sz w:val="24"/>
          <w:szCs w:val="24"/>
        </w:rPr>
        <w:t xml:space="preserve"> Index</w:t>
      </w:r>
      <w:r w:rsidR="004C29B4">
        <w:rPr>
          <w:rStyle w:val="FootnoteReference"/>
          <w:sz w:val="24"/>
          <w:szCs w:val="24"/>
        </w:rPr>
        <w:footnoteReference w:id="5"/>
      </w:r>
      <w:r w:rsidR="004C29B4">
        <w:rPr>
          <w:sz w:val="24"/>
          <w:szCs w:val="24"/>
        </w:rPr>
        <w:t xml:space="preserve"> setting forth </w:t>
      </w:r>
      <w:r w:rsidRPr="00A5708D">
        <w:rPr>
          <w:sz w:val="24"/>
          <w:szCs w:val="24"/>
        </w:rPr>
        <w:t>specific explanations on a document-by-document basis why the particular document needs to be withheld as required by Section 4(3)(e) of the JFK Act</w:t>
      </w:r>
      <w:r w:rsidR="00185504">
        <w:rPr>
          <w:sz w:val="24"/>
          <w:szCs w:val="24"/>
        </w:rPr>
        <w:t>;</w:t>
      </w:r>
      <w:r w:rsidRPr="00A5708D">
        <w:rPr>
          <w:sz w:val="24"/>
          <w:szCs w:val="24"/>
        </w:rPr>
        <w:t xml:space="preserve"> </w:t>
      </w:r>
    </w:p>
    <w:p w14:paraId="5F6FFFF5" w14:textId="756C2417" w:rsidR="00BC783B" w:rsidRPr="00A5708D" w:rsidRDefault="00BC783B" w:rsidP="00BC783B">
      <w:pPr>
        <w:pStyle w:val="ListParagraph"/>
        <w:widowControl/>
        <w:numPr>
          <w:ilvl w:val="0"/>
          <w:numId w:val="2"/>
        </w:numPr>
        <w:jc w:val="both"/>
        <w:rPr>
          <w:sz w:val="24"/>
          <w:szCs w:val="24"/>
        </w:rPr>
      </w:pPr>
      <w:r>
        <w:rPr>
          <w:sz w:val="24"/>
          <w:szCs w:val="24"/>
        </w:rPr>
        <w:t>R</w:t>
      </w:r>
      <w:r w:rsidRPr="00A5708D">
        <w:rPr>
          <w:sz w:val="24"/>
          <w:szCs w:val="24"/>
        </w:rPr>
        <w:t>equire all agencies to provide and publish in the Federal Register explanations for each and every postponed document (or portion of a document)</w:t>
      </w:r>
      <w:r w:rsidR="00185504">
        <w:rPr>
          <w:sz w:val="24"/>
          <w:szCs w:val="24"/>
        </w:rPr>
        <w:t>; and</w:t>
      </w:r>
    </w:p>
    <w:p w14:paraId="66BB4A3F" w14:textId="7AEAC425" w:rsidR="00BC783B" w:rsidRDefault="004F1C1C" w:rsidP="00BC783B">
      <w:pPr>
        <w:pStyle w:val="ListParagraph"/>
        <w:widowControl/>
        <w:numPr>
          <w:ilvl w:val="0"/>
          <w:numId w:val="2"/>
        </w:numPr>
        <w:jc w:val="both"/>
        <w:rPr>
          <w:sz w:val="24"/>
          <w:szCs w:val="24"/>
        </w:rPr>
      </w:pPr>
      <w:r>
        <w:rPr>
          <w:sz w:val="24"/>
          <w:szCs w:val="24"/>
        </w:rPr>
        <w:t xml:space="preserve">Investigate </w:t>
      </w:r>
      <w:r w:rsidR="00185504">
        <w:rPr>
          <w:sz w:val="24"/>
          <w:szCs w:val="24"/>
        </w:rPr>
        <w:t xml:space="preserve">if certain </w:t>
      </w:r>
      <w:r>
        <w:rPr>
          <w:sz w:val="24"/>
          <w:szCs w:val="24"/>
        </w:rPr>
        <w:t xml:space="preserve">records </w:t>
      </w:r>
      <w:r w:rsidR="00185504">
        <w:rPr>
          <w:sz w:val="24"/>
          <w:szCs w:val="24"/>
        </w:rPr>
        <w:t xml:space="preserve">were properly categorized </w:t>
      </w:r>
      <w:r>
        <w:rPr>
          <w:sz w:val="24"/>
          <w:szCs w:val="24"/>
        </w:rPr>
        <w:t>as “Not Believed Relevant” (NBR)</w:t>
      </w:r>
      <w:r w:rsidR="00BC783B">
        <w:rPr>
          <w:sz w:val="24"/>
          <w:szCs w:val="24"/>
        </w:rPr>
        <w:t>.</w:t>
      </w:r>
    </w:p>
    <w:p w14:paraId="17272E5D" w14:textId="77777777" w:rsidR="003C75E1" w:rsidRPr="00126BCE" w:rsidRDefault="003C75E1" w:rsidP="00126BCE">
      <w:pPr>
        <w:widowControl/>
        <w:ind w:left="360"/>
        <w:jc w:val="both"/>
        <w:rPr>
          <w:sz w:val="24"/>
          <w:szCs w:val="24"/>
        </w:rPr>
      </w:pPr>
    </w:p>
    <w:p w14:paraId="5522DD6F" w14:textId="77777777" w:rsidR="00BC783B" w:rsidRDefault="00BC783B" w:rsidP="009B724D">
      <w:pPr>
        <w:widowControl/>
        <w:jc w:val="both"/>
        <w:rPr>
          <w:sz w:val="24"/>
          <w:szCs w:val="24"/>
        </w:rPr>
      </w:pPr>
    </w:p>
    <w:p w14:paraId="42DB7E40" w14:textId="7C16F051" w:rsidR="00824FAA" w:rsidRDefault="00824FAA" w:rsidP="00494810">
      <w:pPr>
        <w:widowControl/>
        <w:rPr>
          <w:sz w:val="24"/>
          <w:szCs w:val="24"/>
        </w:rPr>
      </w:pPr>
      <w:r>
        <w:rPr>
          <w:sz w:val="24"/>
          <w:szCs w:val="24"/>
        </w:rPr>
        <w:t xml:space="preserve">Attached to this letter is a </w:t>
      </w:r>
      <w:r w:rsidR="009733D5">
        <w:rPr>
          <w:sz w:val="24"/>
          <w:szCs w:val="24"/>
        </w:rPr>
        <w:t>memorandum</w:t>
      </w:r>
      <w:r>
        <w:rPr>
          <w:sz w:val="24"/>
          <w:szCs w:val="24"/>
        </w:rPr>
        <w:t xml:space="preserve"> supporting this request.</w:t>
      </w:r>
    </w:p>
    <w:p w14:paraId="2CF6A0B0" w14:textId="77777777" w:rsidR="00BC783B" w:rsidRDefault="00BC783B" w:rsidP="00494810">
      <w:pPr>
        <w:widowControl/>
        <w:rPr>
          <w:sz w:val="24"/>
          <w:szCs w:val="24"/>
        </w:rPr>
      </w:pPr>
    </w:p>
    <w:p w14:paraId="73A92553" w14:textId="77777777" w:rsidR="00547FEA" w:rsidRDefault="00547FEA" w:rsidP="00494810">
      <w:pPr>
        <w:widowControl/>
        <w:rPr>
          <w:sz w:val="24"/>
          <w:szCs w:val="24"/>
        </w:rPr>
      </w:pPr>
    </w:p>
    <w:p w14:paraId="35AA11AE" w14:textId="065B67CD" w:rsidR="0051521C" w:rsidRDefault="0051521C" w:rsidP="001F63F8">
      <w:pPr>
        <w:widowControl/>
        <w:rPr>
          <w:sz w:val="24"/>
          <w:szCs w:val="24"/>
        </w:rPr>
      </w:pPr>
    </w:p>
    <w:p w14:paraId="7BA9C543" w14:textId="54C08611" w:rsidR="0051521C" w:rsidRDefault="0051521C" w:rsidP="001F63F8">
      <w:pPr>
        <w:widowControl/>
        <w:rPr>
          <w:sz w:val="24"/>
          <w:szCs w:val="24"/>
        </w:rPr>
      </w:pPr>
      <w:r>
        <w:rPr>
          <w:noProof/>
          <w:sz w:val="24"/>
          <w:szCs w:val="24"/>
        </w:rPr>
        <w:drawing>
          <wp:inline distT="0" distB="0" distL="0" distR="0" wp14:anchorId="3B019879" wp14:editId="2C84F379">
            <wp:extent cx="3724275" cy="1409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4275" cy="1409700"/>
                    </a:xfrm>
                    <a:prstGeom prst="rect">
                      <a:avLst/>
                    </a:prstGeom>
                    <a:noFill/>
                    <a:ln>
                      <a:noFill/>
                    </a:ln>
                  </pic:spPr>
                </pic:pic>
              </a:graphicData>
            </a:graphic>
          </wp:inline>
        </w:drawing>
      </w:r>
    </w:p>
    <w:p w14:paraId="78E4180F" w14:textId="617BE824" w:rsidR="00AE164E" w:rsidRDefault="00AE164E" w:rsidP="001F63F8">
      <w:pPr>
        <w:widowControl/>
        <w:rPr>
          <w:sz w:val="24"/>
          <w:szCs w:val="24"/>
        </w:rPr>
      </w:pPr>
    </w:p>
    <w:p w14:paraId="69858E1C" w14:textId="43A9AAA1" w:rsidR="00AE164E" w:rsidRDefault="00AE164E" w:rsidP="001F63F8">
      <w:pPr>
        <w:widowControl/>
        <w:rPr>
          <w:sz w:val="24"/>
          <w:szCs w:val="24"/>
        </w:rPr>
      </w:pPr>
    </w:p>
    <w:p w14:paraId="5F03AFE3" w14:textId="2B7F89A8" w:rsidR="00AE164E" w:rsidRDefault="00AE164E" w:rsidP="001F63F8">
      <w:pPr>
        <w:widowControl/>
        <w:rPr>
          <w:sz w:val="24"/>
          <w:szCs w:val="24"/>
        </w:rPr>
      </w:pPr>
    </w:p>
    <w:p w14:paraId="56D0C4FA" w14:textId="22218795" w:rsidR="00AE164E" w:rsidRDefault="00AE164E" w:rsidP="001F63F8">
      <w:pPr>
        <w:widowControl/>
        <w:rPr>
          <w:sz w:val="24"/>
          <w:szCs w:val="24"/>
        </w:rPr>
      </w:pPr>
    </w:p>
    <w:p w14:paraId="7B5B3405" w14:textId="74E79C4C" w:rsidR="00AE164E" w:rsidRDefault="00AE164E" w:rsidP="001F63F8">
      <w:pPr>
        <w:widowControl/>
        <w:rPr>
          <w:sz w:val="24"/>
          <w:szCs w:val="24"/>
        </w:rPr>
      </w:pPr>
    </w:p>
    <w:p w14:paraId="746412CE" w14:textId="3E326B23" w:rsidR="00AE164E" w:rsidRDefault="00AE164E" w:rsidP="001F63F8">
      <w:pPr>
        <w:widowControl/>
        <w:rPr>
          <w:sz w:val="24"/>
          <w:szCs w:val="24"/>
        </w:rPr>
      </w:pPr>
    </w:p>
    <w:p w14:paraId="36EE61DB" w14:textId="77777777" w:rsidR="00BC783B" w:rsidRPr="00BC783B" w:rsidRDefault="00BC783B" w:rsidP="00BC783B">
      <w:pPr>
        <w:widowControl/>
        <w:ind w:left="360"/>
        <w:jc w:val="both"/>
        <w:rPr>
          <w:b/>
          <w:bCs/>
          <w:sz w:val="24"/>
          <w:szCs w:val="24"/>
        </w:rPr>
      </w:pPr>
    </w:p>
    <w:p w14:paraId="3EAE904E" w14:textId="77777777" w:rsidR="00BC783B" w:rsidRPr="00BC783B" w:rsidRDefault="00BC783B" w:rsidP="00BC783B">
      <w:pPr>
        <w:widowControl/>
        <w:ind w:left="360"/>
        <w:jc w:val="both"/>
        <w:rPr>
          <w:b/>
          <w:bCs/>
          <w:sz w:val="24"/>
          <w:szCs w:val="24"/>
        </w:rPr>
      </w:pPr>
    </w:p>
    <w:p w14:paraId="2065702D" w14:textId="77777777" w:rsidR="00BC783B" w:rsidRPr="00BC783B" w:rsidRDefault="00BC783B" w:rsidP="00BC783B">
      <w:pPr>
        <w:widowControl/>
        <w:ind w:left="360"/>
        <w:jc w:val="both"/>
        <w:rPr>
          <w:b/>
          <w:bCs/>
          <w:sz w:val="24"/>
          <w:szCs w:val="24"/>
        </w:rPr>
      </w:pPr>
    </w:p>
    <w:p w14:paraId="3848E276" w14:textId="77777777" w:rsidR="00BC783B" w:rsidRPr="00BC783B" w:rsidRDefault="00BC783B" w:rsidP="00BC783B">
      <w:pPr>
        <w:widowControl/>
        <w:ind w:left="360"/>
        <w:jc w:val="both"/>
        <w:rPr>
          <w:b/>
          <w:bCs/>
          <w:sz w:val="24"/>
          <w:szCs w:val="24"/>
        </w:rPr>
      </w:pPr>
    </w:p>
    <w:p w14:paraId="1B54CD7F" w14:textId="77777777" w:rsidR="00BC783B" w:rsidRPr="00BC783B" w:rsidRDefault="00BC783B" w:rsidP="00BC783B">
      <w:pPr>
        <w:widowControl/>
        <w:ind w:left="360"/>
        <w:jc w:val="both"/>
        <w:rPr>
          <w:b/>
          <w:bCs/>
          <w:sz w:val="24"/>
          <w:szCs w:val="24"/>
        </w:rPr>
      </w:pPr>
    </w:p>
    <w:p w14:paraId="336BCDE4" w14:textId="77777777" w:rsidR="00BC783B" w:rsidRPr="00BC783B" w:rsidRDefault="00BC783B" w:rsidP="00BC783B">
      <w:pPr>
        <w:widowControl/>
        <w:ind w:left="360"/>
        <w:jc w:val="both"/>
        <w:rPr>
          <w:b/>
          <w:bCs/>
          <w:sz w:val="24"/>
          <w:szCs w:val="24"/>
        </w:rPr>
      </w:pPr>
    </w:p>
    <w:p w14:paraId="5F655411" w14:textId="77777777" w:rsidR="00BC783B" w:rsidRPr="00BC783B" w:rsidRDefault="00BC783B" w:rsidP="00BC783B">
      <w:pPr>
        <w:widowControl/>
        <w:ind w:left="360"/>
        <w:jc w:val="both"/>
        <w:rPr>
          <w:b/>
          <w:bCs/>
          <w:sz w:val="24"/>
          <w:szCs w:val="24"/>
        </w:rPr>
      </w:pPr>
    </w:p>
    <w:p w14:paraId="1CAC927C" w14:textId="77777777" w:rsidR="00BC783B" w:rsidRPr="00BC783B" w:rsidRDefault="00BC783B" w:rsidP="00BC783B">
      <w:pPr>
        <w:widowControl/>
        <w:ind w:left="360"/>
        <w:jc w:val="both"/>
        <w:rPr>
          <w:b/>
          <w:bCs/>
          <w:sz w:val="24"/>
          <w:szCs w:val="24"/>
        </w:rPr>
      </w:pPr>
    </w:p>
    <w:p w14:paraId="78677772" w14:textId="77777777" w:rsidR="00BC783B" w:rsidRPr="00BC783B" w:rsidRDefault="00BC783B" w:rsidP="00BC783B">
      <w:pPr>
        <w:widowControl/>
        <w:ind w:left="360"/>
        <w:jc w:val="both"/>
        <w:rPr>
          <w:b/>
          <w:bCs/>
          <w:sz w:val="24"/>
          <w:szCs w:val="24"/>
        </w:rPr>
      </w:pPr>
    </w:p>
    <w:p w14:paraId="1FAF6183" w14:textId="77777777" w:rsidR="00BC783B" w:rsidRPr="00BC783B" w:rsidRDefault="00BC783B" w:rsidP="00BC783B">
      <w:pPr>
        <w:widowControl/>
        <w:ind w:left="360"/>
        <w:jc w:val="both"/>
        <w:rPr>
          <w:b/>
          <w:bCs/>
          <w:sz w:val="24"/>
          <w:szCs w:val="24"/>
        </w:rPr>
      </w:pPr>
    </w:p>
    <w:p w14:paraId="7F2C2BC8" w14:textId="77777777" w:rsidR="00BC783B" w:rsidRPr="00BC783B" w:rsidRDefault="00BC783B" w:rsidP="00BC783B">
      <w:pPr>
        <w:widowControl/>
        <w:ind w:left="360"/>
        <w:jc w:val="both"/>
        <w:rPr>
          <w:b/>
          <w:bCs/>
          <w:sz w:val="24"/>
          <w:szCs w:val="24"/>
        </w:rPr>
      </w:pPr>
    </w:p>
    <w:p w14:paraId="632C5A15" w14:textId="77777777" w:rsidR="00BC783B" w:rsidRPr="00BC783B" w:rsidRDefault="00BC783B" w:rsidP="00BC783B">
      <w:pPr>
        <w:widowControl/>
        <w:ind w:left="360"/>
        <w:jc w:val="both"/>
        <w:rPr>
          <w:b/>
          <w:bCs/>
          <w:sz w:val="24"/>
          <w:szCs w:val="24"/>
        </w:rPr>
      </w:pPr>
    </w:p>
    <w:p w14:paraId="127D353A" w14:textId="77777777" w:rsidR="00BC783B" w:rsidRPr="00BC783B" w:rsidRDefault="00BC783B" w:rsidP="00BC783B">
      <w:pPr>
        <w:widowControl/>
        <w:ind w:left="360"/>
        <w:jc w:val="both"/>
        <w:rPr>
          <w:b/>
          <w:bCs/>
          <w:sz w:val="24"/>
          <w:szCs w:val="24"/>
        </w:rPr>
      </w:pPr>
    </w:p>
    <w:p w14:paraId="1D06AADB" w14:textId="77777777" w:rsidR="00BC783B" w:rsidRPr="00BC783B" w:rsidRDefault="00BC783B" w:rsidP="00BC783B">
      <w:pPr>
        <w:widowControl/>
        <w:ind w:left="360"/>
        <w:jc w:val="both"/>
        <w:rPr>
          <w:b/>
          <w:bCs/>
          <w:sz w:val="24"/>
          <w:szCs w:val="24"/>
        </w:rPr>
      </w:pPr>
    </w:p>
    <w:p w14:paraId="48609273" w14:textId="77777777" w:rsidR="00BC783B" w:rsidRPr="00BC783B" w:rsidRDefault="00BC783B" w:rsidP="00BC783B">
      <w:pPr>
        <w:widowControl/>
        <w:ind w:left="360"/>
        <w:jc w:val="both"/>
        <w:rPr>
          <w:b/>
          <w:bCs/>
          <w:sz w:val="24"/>
          <w:szCs w:val="24"/>
        </w:rPr>
      </w:pPr>
    </w:p>
    <w:p w14:paraId="7A4E1C3F" w14:textId="77777777" w:rsidR="00BC783B" w:rsidRPr="00BC783B" w:rsidRDefault="00BC783B" w:rsidP="00BC783B">
      <w:pPr>
        <w:widowControl/>
        <w:ind w:left="360"/>
        <w:jc w:val="both"/>
        <w:rPr>
          <w:b/>
          <w:bCs/>
          <w:sz w:val="24"/>
          <w:szCs w:val="24"/>
        </w:rPr>
      </w:pPr>
    </w:p>
    <w:p w14:paraId="5DE062F5" w14:textId="77777777" w:rsidR="00BC783B" w:rsidRPr="00BC783B" w:rsidRDefault="00BC783B" w:rsidP="00BC783B">
      <w:pPr>
        <w:widowControl/>
        <w:ind w:left="360"/>
        <w:jc w:val="both"/>
        <w:rPr>
          <w:b/>
          <w:bCs/>
          <w:sz w:val="24"/>
          <w:szCs w:val="24"/>
        </w:rPr>
      </w:pPr>
    </w:p>
    <w:p w14:paraId="73189365" w14:textId="42D51BB2" w:rsidR="00BC783B" w:rsidRPr="00BC783B" w:rsidRDefault="00BC783B" w:rsidP="00BC783B">
      <w:pPr>
        <w:widowControl/>
        <w:ind w:left="360"/>
        <w:jc w:val="both"/>
        <w:rPr>
          <w:b/>
          <w:bCs/>
          <w:sz w:val="24"/>
          <w:szCs w:val="24"/>
        </w:rPr>
      </w:pPr>
      <w:r w:rsidRPr="00BC783B">
        <w:rPr>
          <w:b/>
          <w:bCs/>
          <w:sz w:val="24"/>
          <w:szCs w:val="24"/>
        </w:rPr>
        <w:t>MEMORANDUM  SUPPORTING REQUEST FOR OVERSIGHT HEARINGS</w:t>
      </w:r>
    </w:p>
    <w:p w14:paraId="4A983C6A" w14:textId="77777777" w:rsidR="00BC783B" w:rsidRPr="00BC783B" w:rsidRDefault="00BC783B" w:rsidP="00BC783B">
      <w:pPr>
        <w:widowControl/>
        <w:ind w:left="360"/>
        <w:jc w:val="both"/>
        <w:rPr>
          <w:b/>
          <w:bCs/>
          <w:sz w:val="24"/>
          <w:szCs w:val="24"/>
        </w:rPr>
      </w:pPr>
    </w:p>
    <w:p w14:paraId="56FEE968" w14:textId="77777777" w:rsidR="00BC783B" w:rsidRDefault="00BC783B" w:rsidP="00BC783B">
      <w:pPr>
        <w:widowControl/>
        <w:jc w:val="both"/>
        <w:rPr>
          <w:sz w:val="24"/>
          <w:szCs w:val="24"/>
        </w:rPr>
      </w:pPr>
    </w:p>
    <w:p w14:paraId="2FE33D62" w14:textId="73800408" w:rsidR="00BC783B" w:rsidRDefault="00BC783B" w:rsidP="00BC783B">
      <w:pPr>
        <w:widowControl/>
        <w:jc w:val="both"/>
        <w:rPr>
          <w:sz w:val="24"/>
          <w:szCs w:val="24"/>
        </w:rPr>
      </w:pPr>
      <w:r>
        <w:rPr>
          <w:sz w:val="24"/>
          <w:szCs w:val="24"/>
        </w:rPr>
        <w:t xml:space="preserve">This memorandum is prepared in support of the request for the House Committee on </w:t>
      </w:r>
      <w:r w:rsidR="00476F92">
        <w:rPr>
          <w:sz w:val="24"/>
          <w:szCs w:val="24"/>
        </w:rPr>
        <w:t>Oversight and Government Reform</w:t>
      </w:r>
      <w:r w:rsidR="00666AA3">
        <w:rPr>
          <w:sz w:val="24"/>
          <w:szCs w:val="24"/>
        </w:rPr>
        <w:t xml:space="preserve"> to conduct oversight hearings on compliance with the JFK Records Act by the Executive Departments and Agencies</w:t>
      </w:r>
      <w:r w:rsidR="00476F92">
        <w:rPr>
          <w:sz w:val="24"/>
          <w:szCs w:val="24"/>
        </w:rPr>
        <w:t xml:space="preserve">.  </w:t>
      </w:r>
    </w:p>
    <w:p w14:paraId="693EFDDC" w14:textId="77777777" w:rsidR="00BC783B" w:rsidRDefault="00BC783B" w:rsidP="00BC783B">
      <w:pPr>
        <w:widowControl/>
        <w:jc w:val="both"/>
        <w:rPr>
          <w:sz w:val="24"/>
          <w:szCs w:val="24"/>
        </w:rPr>
      </w:pPr>
    </w:p>
    <w:p w14:paraId="332BA1CD" w14:textId="0A85A200" w:rsidR="00BC783B" w:rsidRPr="00476F92" w:rsidRDefault="00476F92" w:rsidP="00476F92">
      <w:pPr>
        <w:pStyle w:val="ListParagraph"/>
        <w:widowControl/>
        <w:numPr>
          <w:ilvl w:val="0"/>
          <w:numId w:val="6"/>
        </w:numPr>
        <w:jc w:val="both"/>
        <w:rPr>
          <w:b/>
          <w:bCs/>
          <w:sz w:val="24"/>
          <w:szCs w:val="24"/>
        </w:rPr>
      </w:pPr>
      <w:r w:rsidRPr="00476F92">
        <w:rPr>
          <w:b/>
          <w:bCs/>
          <w:sz w:val="24"/>
          <w:szCs w:val="24"/>
        </w:rPr>
        <w:t>Background</w:t>
      </w:r>
    </w:p>
    <w:p w14:paraId="28717B89" w14:textId="77777777" w:rsidR="00476F92" w:rsidRDefault="00476F92" w:rsidP="00BC783B">
      <w:pPr>
        <w:widowControl/>
        <w:jc w:val="both"/>
        <w:rPr>
          <w:sz w:val="24"/>
          <w:szCs w:val="24"/>
        </w:rPr>
      </w:pPr>
    </w:p>
    <w:p w14:paraId="02420B47" w14:textId="2563A9DB" w:rsidR="002545BB" w:rsidRDefault="00476F92" w:rsidP="002545BB">
      <w:pPr>
        <w:widowControl/>
        <w:jc w:val="both"/>
        <w:rPr>
          <w:sz w:val="24"/>
          <w:szCs w:val="24"/>
        </w:rPr>
      </w:pPr>
      <w:r>
        <w:rPr>
          <w:sz w:val="24"/>
          <w:szCs w:val="24"/>
        </w:rPr>
        <w:t>T</w:t>
      </w:r>
      <w:r w:rsidR="00BC783B" w:rsidRPr="009B724D">
        <w:rPr>
          <w:sz w:val="24"/>
          <w:szCs w:val="24"/>
        </w:rPr>
        <w:t xml:space="preserve">he </w:t>
      </w:r>
      <w:r w:rsidR="00BC783B">
        <w:rPr>
          <w:sz w:val="24"/>
          <w:szCs w:val="24"/>
        </w:rPr>
        <w:t xml:space="preserve">JFK </w:t>
      </w:r>
      <w:r w:rsidR="00BC783B" w:rsidRPr="009B724D">
        <w:rPr>
          <w:sz w:val="24"/>
          <w:szCs w:val="24"/>
        </w:rPr>
        <w:t xml:space="preserve">Act directed federal agencies to identify, review, process, and transfer to the National Archives all assassination records in their custody search for records relating to the assassination of President Kennedy </w:t>
      </w:r>
      <w:r w:rsidR="00666AA3">
        <w:rPr>
          <w:sz w:val="24"/>
          <w:szCs w:val="24"/>
        </w:rPr>
        <w:t xml:space="preserve">as well as </w:t>
      </w:r>
      <w:r w:rsidR="00BC783B" w:rsidRPr="009B724D">
        <w:rPr>
          <w:sz w:val="24"/>
          <w:szCs w:val="24"/>
        </w:rPr>
        <w:t>to transfer those records to the John F Kennedy Assassination Records Collection (</w:t>
      </w:r>
      <w:r w:rsidR="00BC783B">
        <w:rPr>
          <w:sz w:val="24"/>
          <w:szCs w:val="24"/>
        </w:rPr>
        <w:t>“</w:t>
      </w:r>
      <w:r w:rsidR="00BC783B" w:rsidRPr="009B724D">
        <w:rPr>
          <w:sz w:val="24"/>
          <w:szCs w:val="24"/>
        </w:rPr>
        <w:t>JFK Collection</w:t>
      </w:r>
      <w:r w:rsidR="00BC783B">
        <w:rPr>
          <w:sz w:val="24"/>
          <w:szCs w:val="24"/>
        </w:rPr>
        <w:t>”</w:t>
      </w:r>
      <w:r w:rsidR="00BC783B" w:rsidRPr="009B724D">
        <w:rPr>
          <w:sz w:val="24"/>
          <w:szCs w:val="24"/>
        </w:rPr>
        <w:t>) at the National Archives and Records Administration (NARA)</w:t>
      </w:r>
      <w:r w:rsidR="00BC783B">
        <w:rPr>
          <w:sz w:val="24"/>
          <w:szCs w:val="24"/>
        </w:rPr>
        <w:t>.</w:t>
      </w:r>
      <w:r w:rsidR="00BD35A1">
        <w:rPr>
          <w:rStyle w:val="FootnoteReference"/>
          <w:sz w:val="24"/>
          <w:szCs w:val="24"/>
        </w:rPr>
        <w:footnoteReference w:id="6"/>
      </w:r>
      <w:r w:rsidR="00BC783B" w:rsidRPr="009B724D">
        <w:rPr>
          <w:sz w:val="24"/>
          <w:szCs w:val="24"/>
        </w:rPr>
        <w:t xml:space="preserve"> </w:t>
      </w:r>
      <w:r w:rsidR="002545BB">
        <w:rPr>
          <w:sz w:val="24"/>
          <w:szCs w:val="24"/>
        </w:rPr>
        <w:t>T</w:t>
      </w:r>
      <w:r w:rsidR="002545BB" w:rsidRPr="002545BB">
        <w:rPr>
          <w:sz w:val="24"/>
          <w:szCs w:val="24"/>
        </w:rPr>
        <w:t>he</w:t>
      </w:r>
      <w:r w:rsidR="002545BB">
        <w:rPr>
          <w:sz w:val="24"/>
          <w:szCs w:val="24"/>
        </w:rPr>
        <w:t xml:space="preserve"> JFK Act also established the </w:t>
      </w:r>
      <w:r w:rsidR="002545BB" w:rsidRPr="002545BB">
        <w:rPr>
          <w:sz w:val="24"/>
          <w:szCs w:val="24"/>
        </w:rPr>
        <w:t>Assassination Records Review Board</w:t>
      </w:r>
      <w:r w:rsidR="002545BB">
        <w:rPr>
          <w:sz w:val="24"/>
          <w:szCs w:val="24"/>
        </w:rPr>
        <w:t xml:space="preserve"> (ARRB) to determine if a </w:t>
      </w:r>
      <w:r w:rsidR="002545BB" w:rsidRPr="002545BB">
        <w:rPr>
          <w:sz w:val="24"/>
          <w:szCs w:val="24"/>
        </w:rPr>
        <w:t>record</w:t>
      </w:r>
      <w:r w:rsidR="002545BB">
        <w:rPr>
          <w:sz w:val="24"/>
          <w:szCs w:val="24"/>
        </w:rPr>
        <w:t xml:space="preserve"> </w:t>
      </w:r>
      <w:r w:rsidR="002545BB" w:rsidRPr="002545BB">
        <w:rPr>
          <w:sz w:val="24"/>
          <w:szCs w:val="24"/>
        </w:rPr>
        <w:t>constitute</w:t>
      </w:r>
      <w:r w:rsidR="002545BB">
        <w:rPr>
          <w:sz w:val="24"/>
          <w:szCs w:val="24"/>
        </w:rPr>
        <w:t>d</w:t>
      </w:r>
      <w:r w:rsidR="002545BB" w:rsidRPr="002545BB">
        <w:rPr>
          <w:sz w:val="24"/>
          <w:szCs w:val="24"/>
        </w:rPr>
        <w:t xml:space="preserve"> an </w:t>
      </w:r>
      <w:r w:rsidR="002545BB">
        <w:rPr>
          <w:sz w:val="24"/>
          <w:szCs w:val="24"/>
        </w:rPr>
        <w:t>“</w:t>
      </w:r>
      <w:r w:rsidR="002545BB" w:rsidRPr="002545BB">
        <w:rPr>
          <w:sz w:val="24"/>
          <w:szCs w:val="24"/>
        </w:rPr>
        <w:t>assassination record.’’</w:t>
      </w:r>
      <w:r w:rsidR="002545BB">
        <w:rPr>
          <w:rStyle w:val="FootnoteReference"/>
          <w:sz w:val="24"/>
          <w:szCs w:val="24"/>
        </w:rPr>
        <w:footnoteReference w:id="7"/>
      </w:r>
    </w:p>
    <w:p w14:paraId="0C4D1094" w14:textId="4AB56717" w:rsidR="00BC783B" w:rsidRDefault="00BC783B" w:rsidP="002545BB">
      <w:pPr>
        <w:widowControl/>
        <w:jc w:val="both"/>
        <w:rPr>
          <w:sz w:val="24"/>
          <w:szCs w:val="24"/>
        </w:rPr>
      </w:pPr>
    </w:p>
    <w:p w14:paraId="2159CA9F" w14:textId="77777777" w:rsidR="00BC783B" w:rsidRDefault="00BC783B" w:rsidP="00BC783B">
      <w:pPr>
        <w:widowControl/>
        <w:jc w:val="both"/>
        <w:rPr>
          <w:sz w:val="24"/>
          <w:szCs w:val="24"/>
        </w:rPr>
      </w:pPr>
      <w:r>
        <w:rPr>
          <w:sz w:val="24"/>
          <w:szCs w:val="24"/>
        </w:rPr>
        <w:t xml:space="preserve">More importantly, the JFK Act mandated that </w:t>
      </w:r>
      <w:r w:rsidRPr="009B724D">
        <w:rPr>
          <w:sz w:val="24"/>
          <w:szCs w:val="24"/>
        </w:rPr>
        <w:t xml:space="preserve">each </w:t>
      </w:r>
      <w:r>
        <w:rPr>
          <w:sz w:val="24"/>
          <w:szCs w:val="24"/>
        </w:rPr>
        <w:t>“</w:t>
      </w:r>
      <w:r w:rsidRPr="009B724D">
        <w:rPr>
          <w:sz w:val="24"/>
          <w:szCs w:val="24"/>
        </w:rPr>
        <w:t>assassination record</w:t>
      </w:r>
      <w:r>
        <w:rPr>
          <w:sz w:val="24"/>
          <w:szCs w:val="24"/>
        </w:rPr>
        <w:t>”</w:t>
      </w:r>
      <w:r>
        <w:rPr>
          <w:rStyle w:val="FootnoteReference"/>
          <w:sz w:val="24"/>
          <w:szCs w:val="24"/>
        </w:rPr>
        <w:footnoteReference w:id="8"/>
      </w:r>
      <w:r>
        <w:rPr>
          <w:sz w:val="24"/>
          <w:szCs w:val="24"/>
        </w:rPr>
        <w:t xml:space="preserve">  </w:t>
      </w:r>
      <w:r w:rsidRPr="009B724D">
        <w:rPr>
          <w:sz w:val="24"/>
          <w:szCs w:val="24"/>
        </w:rPr>
        <w:t xml:space="preserve"> be publicly disclosed in full, and be available no later than the date that is 25 years after the date of enactment of the </w:t>
      </w:r>
      <w:r>
        <w:rPr>
          <w:sz w:val="24"/>
          <w:szCs w:val="24"/>
        </w:rPr>
        <w:t xml:space="preserve">JFK </w:t>
      </w:r>
      <w:r w:rsidRPr="009B724D">
        <w:rPr>
          <w:sz w:val="24"/>
          <w:szCs w:val="24"/>
        </w:rPr>
        <w:t>Act (</w:t>
      </w:r>
      <w:r w:rsidRPr="005C075F">
        <w:rPr>
          <w:b/>
          <w:bCs/>
          <w:sz w:val="24"/>
          <w:szCs w:val="24"/>
        </w:rPr>
        <w:t>October 26, 2017</w:t>
      </w:r>
      <w:r w:rsidRPr="009B724D">
        <w:rPr>
          <w:sz w:val="24"/>
          <w:szCs w:val="24"/>
        </w:rPr>
        <w:t xml:space="preserve">), unless the President of the United States certifies that: </w:t>
      </w:r>
    </w:p>
    <w:p w14:paraId="1400AF95" w14:textId="77777777" w:rsidR="00BC783B" w:rsidRDefault="00BC783B" w:rsidP="00BC783B">
      <w:pPr>
        <w:widowControl/>
        <w:jc w:val="both"/>
        <w:rPr>
          <w:sz w:val="24"/>
          <w:szCs w:val="24"/>
        </w:rPr>
      </w:pPr>
    </w:p>
    <w:p w14:paraId="795CB341" w14:textId="77777777" w:rsidR="00BC783B" w:rsidRPr="00BF1604" w:rsidRDefault="00BC783B" w:rsidP="00BC783B">
      <w:pPr>
        <w:pStyle w:val="ListParagraph"/>
        <w:widowControl/>
        <w:numPr>
          <w:ilvl w:val="0"/>
          <w:numId w:val="4"/>
        </w:numPr>
        <w:jc w:val="both"/>
        <w:rPr>
          <w:sz w:val="24"/>
          <w:szCs w:val="24"/>
        </w:rPr>
      </w:pPr>
      <w:r w:rsidRPr="00BF1604">
        <w:rPr>
          <w:sz w:val="24"/>
          <w:szCs w:val="24"/>
        </w:rPr>
        <w:t xml:space="preserve">continued postponement is made necessary by an identifiable harm to the military defense, intelligence operations, law enforcement, or conduct of foreign relations; and </w:t>
      </w:r>
      <w:r>
        <w:rPr>
          <w:sz w:val="24"/>
          <w:szCs w:val="24"/>
        </w:rPr>
        <w:t xml:space="preserve"> </w:t>
      </w:r>
    </w:p>
    <w:p w14:paraId="7455B36E" w14:textId="77777777" w:rsidR="00BC783B" w:rsidRPr="00BF1604" w:rsidRDefault="00BC783B" w:rsidP="00BC783B">
      <w:pPr>
        <w:pStyle w:val="ListParagraph"/>
        <w:widowControl/>
        <w:numPr>
          <w:ilvl w:val="0"/>
          <w:numId w:val="4"/>
        </w:numPr>
        <w:jc w:val="both"/>
        <w:rPr>
          <w:sz w:val="24"/>
          <w:szCs w:val="24"/>
        </w:rPr>
      </w:pPr>
      <w:r w:rsidRPr="00BF1604">
        <w:rPr>
          <w:sz w:val="24"/>
          <w:szCs w:val="24"/>
        </w:rPr>
        <w:lastRenderedPageBreak/>
        <w:t xml:space="preserve"> the identifiable harm is of such gravity that it outweighs the public interest in disclosure.  </w:t>
      </w:r>
    </w:p>
    <w:p w14:paraId="16D175AE" w14:textId="77777777" w:rsidR="00BC783B" w:rsidRDefault="00BC783B" w:rsidP="00BC783B">
      <w:pPr>
        <w:widowControl/>
        <w:jc w:val="both"/>
        <w:rPr>
          <w:sz w:val="24"/>
          <w:szCs w:val="24"/>
        </w:rPr>
      </w:pPr>
    </w:p>
    <w:p w14:paraId="7C9C4B48" w14:textId="1D90E34E" w:rsidR="00BC783B" w:rsidRDefault="004F1C1C" w:rsidP="004F1C1C">
      <w:pPr>
        <w:widowControl/>
        <w:jc w:val="both"/>
        <w:rPr>
          <w:sz w:val="24"/>
          <w:szCs w:val="24"/>
        </w:rPr>
      </w:pPr>
      <w:r>
        <w:rPr>
          <w:sz w:val="24"/>
          <w:szCs w:val="24"/>
        </w:rPr>
        <w:t xml:space="preserve">Section 6 of the JFK Act also requires that any postponement on </w:t>
      </w:r>
      <w:r w:rsidR="009733D5">
        <w:rPr>
          <w:sz w:val="24"/>
          <w:szCs w:val="24"/>
        </w:rPr>
        <w:t>these</w:t>
      </w:r>
      <w:r>
        <w:rPr>
          <w:sz w:val="24"/>
          <w:szCs w:val="24"/>
        </w:rPr>
        <w:t xml:space="preserve"> grounds must be based on “</w:t>
      </w:r>
      <w:r w:rsidRPr="00E15F00">
        <w:rPr>
          <w:i/>
          <w:iCs/>
          <w:sz w:val="24"/>
          <w:szCs w:val="24"/>
        </w:rPr>
        <w:t>clear and convincing evidence</w:t>
      </w:r>
      <w:r>
        <w:rPr>
          <w:sz w:val="24"/>
          <w:szCs w:val="24"/>
        </w:rPr>
        <w:t xml:space="preserve">.” </w:t>
      </w:r>
      <w:r>
        <w:rPr>
          <w:rStyle w:val="FootnoteReference"/>
          <w:sz w:val="24"/>
          <w:szCs w:val="24"/>
        </w:rPr>
        <w:footnoteReference w:id="9"/>
      </w:r>
    </w:p>
    <w:p w14:paraId="640D755E" w14:textId="77777777" w:rsidR="004F1C1C" w:rsidRDefault="004F1C1C" w:rsidP="00BC783B">
      <w:pPr>
        <w:widowControl/>
        <w:jc w:val="both"/>
        <w:rPr>
          <w:sz w:val="24"/>
          <w:szCs w:val="24"/>
        </w:rPr>
      </w:pPr>
    </w:p>
    <w:p w14:paraId="1300F668" w14:textId="09FD8593" w:rsidR="00BC783B" w:rsidRDefault="00BC783B" w:rsidP="00BC783B">
      <w:pPr>
        <w:widowControl/>
        <w:jc w:val="both"/>
        <w:rPr>
          <w:sz w:val="24"/>
          <w:szCs w:val="24"/>
        </w:rPr>
      </w:pPr>
      <w:r>
        <w:rPr>
          <w:sz w:val="24"/>
          <w:szCs w:val="24"/>
        </w:rPr>
        <w:t>The JFK Act also required that a</w:t>
      </w:r>
      <w:r w:rsidRPr="001B5D28">
        <w:rPr>
          <w:sz w:val="24"/>
          <w:szCs w:val="24"/>
        </w:rPr>
        <w:t xml:space="preserve">ll postponed or redacted </w:t>
      </w:r>
      <w:r w:rsidRPr="00FC2A7B">
        <w:rPr>
          <w:sz w:val="24"/>
          <w:szCs w:val="24"/>
        </w:rPr>
        <w:t>assassination record</w:t>
      </w:r>
      <w:r w:rsidR="009E5D8F">
        <w:rPr>
          <w:sz w:val="24"/>
          <w:szCs w:val="24"/>
        </w:rPr>
        <w:t>s</w:t>
      </w:r>
      <w:r w:rsidRPr="00FC2A7B">
        <w:rPr>
          <w:sz w:val="24"/>
          <w:szCs w:val="24"/>
        </w:rPr>
        <w:t xml:space="preserve"> qualified for a postponement under section 6 </w:t>
      </w:r>
      <w:r>
        <w:rPr>
          <w:sz w:val="24"/>
          <w:szCs w:val="24"/>
        </w:rPr>
        <w:t xml:space="preserve">be </w:t>
      </w:r>
      <w:r w:rsidRPr="00FC2A7B">
        <w:rPr>
          <w:sz w:val="24"/>
          <w:szCs w:val="24"/>
        </w:rPr>
        <w:t>periodic</w:t>
      </w:r>
      <w:r>
        <w:rPr>
          <w:sz w:val="24"/>
          <w:szCs w:val="24"/>
        </w:rPr>
        <w:t>ally</w:t>
      </w:r>
      <w:r w:rsidRPr="00FC2A7B">
        <w:rPr>
          <w:sz w:val="24"/>
          <w:szCs w:val="24"/>
        </w:rPr>
        <w:t xml:space="preserve"> review</w:t>
      </w:r>
      <w:r>
        <w:rPr>
          <w:sz w:val="24"/>
          <w:szCs w:val="24"/>
        </w:rPr>
        <w:t>ed</w:t>
      </w:r>
      <w:r w:rsidRPr="00FC2A7B">
        <w:rPr>
          <w:sz w:val="24"/>
          <w:szCs w:val="24"/>
        </w:rPr>
        <w:t xml:space="preserve"> “</w:t>
      </w:r>
      <w:r w:rsidRPr="005C075F">
        <w:rPr>
          <w:i/>
          <w:iCs/>
          <w:sz w:val="24"/>
          <w:szCs w:val="24"/>
        </w:rPr>
        <w:t>by the originating agency and the Archivist</w:t>
      </w:r>
      <w:r w:rsidRPr="00FC2A7B">
        <w:rPr>
          <w:sz w:val="24"/>
          <w:szCs w:val="24"/>
        </w:rPr>
        <w:t xml:space="preserve">” </w:t>
      </w:r>
      <w:r>
        <w:rPr>
          <w:sz w:val="24"/>
          <w:szCs w:val="24"/>
        </w:rPr>
        <w:t xml:space="preserve">to determine if </w:t>
      </w:r>
      <w:r w:rsidRPr="00FC2A7B">
        <w:rPr>
          <w:sz w:val="24"/>
          <w:szCs w:val="24"/>
        </w:rPr>
        <w:t>the justifications for postponement remained valid.</w:t>
      </w:r>
      <w:r>
        <w:rPr>
          <w:rStyle w:val="FootnoteReference"/>
          <w:sz w:val="24"/>
          <w:szCs w:val="24"/>
        </w:rPr>
        <w:footnoteReference w:id="10"/>
      </w:r>
    </w:p>
    <w:p w14:paraId="26F9A0F7" w14:textId="77777777" w:rsidR="00BC783B" w:rsidRDefault="00BC783B" w:rsidP="00BC783B">
      <w:pPr>
        <w:widowControl/>
        <w:jc w:val="both"/>
        <w:rPr>
          <w:sz w:val="24"/>
          <w:szCs w:val="24"/>
        </w:rPr>
      </w:pPr>
    </w:p>
    <w:p w14:paraId="51A0EB83" w14:textId="151C5025" w:rsidR="00BC783B" w:rsidRDefault="00BC783B" w:rsidP="00BC783B">
      <w:pPr>
        <w:widowControl/>
        <w:jc w:val="both"/>
        <w:rPr>
          <w:sz w:val="24"/>
          <w:szCs w:val="24"/>
        </w:rPr>
      </w:pPr>
      <w:r w:rsidRPr="00FC2A7B">
        <w:rPr>
          <w:sz w:val="24"/>
          <w:szCs w:val="24"/>
        </w:rPr>
        <w:t xml:space="preserve">Between </w:t>
      </w:r>
      <w:r w:rsidRPr="00E15F00">
        <w:rPr>
          <w:b/>
          <w:bCs/>
          <w:sz w:val="24"/>
          <w:szCs w:val="24"/>
        </w:rPr>
        <w:t>September 2014</w:t>
      </w:r>
      <w:r w:rsidRPr="00FC2A7B">
        <w:rPr>
          <w:sz w:val="24"/>
          <w:szCs w:val="24"/>
        </w:rPr>
        <w:t xml:space="preserve"> and </w:t>
      </w:r>
      <w:r w:rsidRPr="00E15F00">
        <w:rPr>
          <w:b/>
          <w:bCs/>
          <w:sz w:val="24"/>
          <w:szCs w:val="24"/>
        </w:rPr>
        <w:t>November 2015</w:t>
      </w:r>
      <w:r w:rsidRPr="00FC2A7B">
        <w:rPr>
          <w:sz w:val="24"/>
          <w:szCs w:val="24"/>
        </w:rPr>
        <w:t xml:space="preserve">, NARA sent notices to all agencies that still had records or portions of records postponed under section 6, reminding them of the </w:t>
      </w:r>
      <w:r w:rsidR="00BD35A1">
        <w:rPr>
          <w:sz w:val="24"/>
          <w:szCs w:val="24"/>
        </w:rPr>
        <w:t xml:space="preserve">JFK </w:t>
      </w:r>
      <w:r w:rsidRPr="00FC2A7B">
        <w:rPr>
          <w:sz w:val="24"/>
          <w:szCs w:val="24"/>
        </w:rPr>
        <w:t xml:space="preserve">Act’s </w:t>
      </w:r>
      <w:r w:rsidRPr="005C075F">
        <w:rPr>
          <w:b/>
          <w:bCs/>
          <w:sz w:val="24"/>
          <w:szCs w:val="24"/>
        </w:rPr>
        <w:t>October 26, 2017</w:t>
      </w:r>
      <w:r w:rsidRPr="00FC2A7B">
        <w:rPr>
          <w:sz w:val="24"/>
          <w:szCs w:val="24"/>
        </w:rPr>
        <w:t xml:space="preserve"> disclosure deadline</w:t>
      </w:r>
      <w:r>
        <w:rPr>
          <w:sz w:val="24"/>
          <w:szCs w:val="24"/>
        </w:rPr>
        <w:t>. According to a report issued by the Office of Inspector General of the National Archives</w:t>
      </w:r>
      <w:r w:rsidR="00E15F00">
        <w:rPr>
          <w:sz w:val="24"/>
          <w:szCs w:val="24"/>
        </w:rPr>
        <w:t>,</w:t>
      </w:r>
      <w:r>
        <w:rPr>
          <w:rStyle w:val="FootnoteReference"/>
          <w:sz w:val="24"/>
          <w:szCs w:val="24"/>
        </w:rPr>
        <w:footnoteReference w:id="11"/>
      </w:r>
      <w:r>
        <w:rPr>
          <w:sz w:val="24"/>
          <w:szCs w:val="24"/>
        </w:rPr>
        <w:t xml:space="preserve"> NARA staff attended multi-agency meetings hosted by the National Security Council to urge agencies to review records in accordance with the JFK Act. NARA staff also conducted follow-up meetings with agencies to facilitate this review.</w:t>
      </w:r>
      <w:r w:rsidR="00E15F00">
        <w:rPr>
          <w:rStyle w:val="FootnoteReference"/>
          <w:sz w:val="24"/>
          <w:szCs w:val="24"/>
        </w:rPr>
        <w:footnoteReference w:id="12"/>
      </w:r>
      <w:r>
        <w:rPr>
          <w:sz w:val="24"/>
          <w:szCs w:val="24"/>
        </w:rPr>
        <w:t xml:space="preserve"> In </w:t>
      </w:r>
      <w:r w:rsidRPr="00E15F00">
        <w:rPr>
          <w:b/>
          <w:bCs/>
          <w:sz w:val="24"/>
          <w:szCs w:val="24"/>
        </w:rPr>
        <w:t>February 2017</w:t>
      </w:r>
      <w:r>
        <w:rPr>
          <w:sz w:val="24"/>
          <w:szCs w:val="24"/>
        </w:rPr>
        <w:t xml:space="preserve">, NARA sent letters to the various agencies requesting a summary of agency review efforts and asking if any records could be immediately released. </w:t>
      </w:r>
      <w:r>
        <w:rPr>
          <w:rStyle w:val="FootnoteReference"/>
          <w:sz w:val="24"/>
          <w:szCs w:val="24"/>
        </w:rPr>
        <w:footnoteReference w:id="13"/>
      </w:r>
      <w:r>
        <w:rPr>
          <w:sz w:val="24"/>
          <w:szCs w:val="24"/>
        </w:rPr>
        <w:t xml:space="preserve"> </w:t>
      </w:r>
    </w:p>
    <w:p w14:paraId="2577DAE1" w14:textId="77777777" w:rsidR="00BC783B" w:rsidRDefault="00BC783B" w:rsidP="00BC783B">
      <w:pPr>
        <w:widowControl/>
        <w:jc w:val="both"/>
        <w:rPr>
          <w:sz w:val="24"/>
          <w:szCs w:val="24"/>
        </w:rPr>
      </w:pPr>
    </w:p>
    <w:p w14:paraId="0214BEDC" w14:textId="30596C8A" w:rsidR="00BC783B" w:rsidRDefault="00BC783B" w:rsidP="00BC783B">
      <w:pPr>
        <w:widowControl/>
        <w:jc w:val="both"/>
        <w:rPr>
          <w:sz w:val="24"/>
          <w:szCs w:val="24"/>
        </w:rPr>
      </w:pPr>
      <w:r>
        <w:rPr>
          <w:sz w:val="24"/>
          <w:szCs w:val="24"/>
        </w:rPr>
        <w:t>In addition, t</w:t>
      </w:r>
      <w:r w:rsidRPr="001D12D6">
        <w:rPr>
          <w:sz w:val="24"/>
          <w:szCs w:val="24"/>
        </w:rPr>
        <w:t xml:space="preserve">he National Security Council’s Records Access and Information Security Interagency Policy Committee instructed each affected agency to provide by </w:t>
      </w:r>
      <w:r w:rsidRPr="005C075F">
        <w:rPr>
          <w:b/>
          <w:bCs/>
          <w:sz w:val="24"/>
          <w:szCs w:val="24"/>
        </w:rPr>
        <w:t>May 1, 2017</w:t>
      </w:r>
      <w:r w:rsidRPr="001D12D6">
        <w:rPr>
          <w:sz w:val="24"/>
          <w:szCs w:val="24"/>
        </w:rPr>
        <w:t xml:space="preserve">, a memorandum either advising that </w:t>
      </w:r>
      <w:r w:rsidR="00387715">
        <w:rPr>
          <w:sz w:val="24"/>
          <w:szCs w:val="24"/>
        </w:rPr>
        <w:t xml:space="preserve">the agency </w:t>
      </w:r>
      <w:r w:rsidR="00734B8D">
        <w:rPr>
          <w:sz w:val="24"/>
          <w:szCs w:val="24"/>
        </w:rPr>
        <w:t xml:space="preserve">would not </w:t>
      </w:r>
      <w:r w:rsidRPr="001D12D6">
        <w:rPr>
          <w:sz w:val="24"/>
          <w:szCs w:val="24"/>
        </w:rPr>
        <w:t xml:space="preserve">ask </w:t>
      </w:r>
      <w:r w:rsidR="00734B8D">
        <w:rPr>
          <w:sz w:val="24"/>
          <w:szCs w:val="24"/>
        </w:rPr>
        <w:t xml:space="preserve">for further postponement </w:t>
      </w:r>
      <w:r w:rsidRPr="001D12D6">
        <w:rPr>
          <w:sz w:val="24"/>
          <w:szCs w:val="24"/>
        </w:rPr>
        <w:t xml:space="preserve">or </w:t>
      </w:r>
      <w:r w:rsidR="00387715">
        <w:rPr>
          <w:sz w:val="24"/>
          <w:szCs w:val="24"/>
        </w:rPr>
        <w:t xml:space="preserve">that it was </w:t>
      </w:r>
      <w:r w:rsidR="00734B8D">
        <w:rPr>
          <w:sz w:val="24"/>
          <w:szCs w:val="24"/>
        </w:rPr>
        <w:t>request</w:t>
      </w:r>
      <w:r w:rsidR="00387715">
        <w:rPr>
          <w:sz w:val="24"/>
          <w:szCs w:val="24"/>
        </w:rPr>
        <w:t>ing</w:t>
      </w:r>
      <w:r w:rsidR="00734B8D">
        <w:rPr>
          <w:sz w:val="24"/>
          <w:szCs w:val="24"/>
        </w:rPr>
        <w:t xml:space="preserve"> the President to certify further </w:t>
      </w:r>
      <w:r w:rsidRPr="001D12D6">
        <w:rPr>
          <w:sz w:val="24"/>
          <w:szCs w:val="24"/>
        </w:rPr>
        <w:t>postponement</w:t>
      </w:r>
      <w:r w:rsidR="00734B8D">
        <w:rPr>
          <w:sz w:val="24"/>
          <w:szCs w:val="24"/>
        </w:rPr>
        <w:t xml:space="preserve"> pursuant to </w:t>
      </w:r>
      <w:r w:rsidR="00BD35A1">
        <w:rPr>
          <w:sz w:val="24"/>
          <w:szCs w:val="24"/>
        </w:rPr>
        <w:t xml:space="preserve">the JFK Act </w:t>
      </w:r>
      <w:r w:rsidR="00734B8D" w:rsidRPr="001D12D6">
        <w:rPr>
          <w:sz w:val="24"/>
          <w:szCs w:val="24"/>
        </w:rPr>
        <w:t>section</w:t>
      </w:r>
      <w:r w:rsidR="00BD35A1">
        <w:rPr>
          <w:sz w:val="24"/>
          <w:szCs w:val="24"/>
        </w:rPr>
        <w:t>.</w:t>
      </w:r>
      <w:r w:rsidR="00BD35A1">
        <w:rPr>
          <w:rStyle w:val="FootnoteReference"/>
          <w:sz w:val="24"/>
          <w:szCs w:val="24"/>
        </w:rPr>
        <w:footnoteReference w:id="14"/>
      </w:r>
      <w:r w:rsidR="00734B8D">
        <w:rPr>
          <w:sz w:val="24"/>
          <w:szCs w:val="24"/>
        </w:rPr>
        <w:t xml:space="preserve"> </w:t>
      </w:r>
      <w:r w:rsidR="00BD35A1">
        <w:rPr>
          <w:sz w:val="24"/>
          <w:szCs w:val="24"/>
        </w:rPr>
        <w:t xml:space="preserve">Any such </w:t>
      </w:r>
      <w:r w:rsidR="00734B8D">
        <w:rPr>
          <w:sz w:val="24"/>
          <w:szCs w:val="24"/>
        </w:rPr>
        <w:t>request for further postpone</w:t>
      </w:r>
      <w:r w:rsidR="00BD35A1">
        <w:rPr>
          <w:sz w:val="24"/>
          <w:szCs w:val="24"/>
        </w:rPr>
        <w:t>ment</w:t>
      </w:r>
      <w:r w:rsidR="00734B8D">
        <w:rPr>
          <w:sz w:val="24"/>
          <w:szCs w:val="24"/>
        </w:rPr>
        <w:t xml:space="preserve"> would </w:t>
      </w:r>
      <w:r w:rsidR="00BD35A1">
        <w:rPr>
          <w:sz w:val="24"/>
          <w:szCs w:val="24"/>
        </w:rPr>
        <w:t xml:space="preserve">have </w:t>
      </w:r>
      <w:r w:rsidR="00734B8D">
        <w:rPr>
          <w:sz w:val="24"/>
          <w:szCs w:val="24"/>
        </w:rPr>
        <w:t xml:space="preserve">to be accompanied </w:t>
      </w:r>
      <w:r w:rsidR="00BD35A1">
        <w:rPr>
          <w:sz w:val="24"/>
          <w:szCs w:val="24"/>
        </w:rPr>
        <w:t xml:space="preserve">by </w:t>
      </w:r>
      <w:r w:rsidRPr="001D12D6">
        <w:rPr>
          <w:sz w:val="24"/>
          <w:szCs w:val="24"/>
        </w:rPr>
        <w:t xml:space="preserve">justification </w:t>
      </w:r>
      <w:r w:rsidR="00BD35A1">
        <w:rPr>
          <w:sz w:val="24"/>
          <w:szCs w:val="24"/>
        </w:rPr>
        <w:t>mandated by the JFK Act.</w:t>
      </w:r>
      <w:r>
        <w:rPr>
          <w:rStyle w:val="FootnoteReference"/>
          <w:sz w:val="24"/>
          <w:szCs w:val="24"/>
        </w:rPr>
        <w:footnoteReference w:id="15"/>
      </w:r>
      <w:r>
        <w:rPr>
          <w:sz w:val="24"/>
          <w:szCs w:val="24"/>
        </w:rPr>
        <w:t xml:space="preserve"> </w:t>
      </w:r>
    </w:p>
    <w:p w14:paraId="70EABE95" w14:textId="77777777" w:rsidR="00BC783B" w:rsidRDefault="00BC783B" w:rsidP="00BC783B">
      <w:pPr>
        <w:widowControl/>
        <w:jc w:val="both"/>
        <w:rPr>
          <w:sz w:val="24"/>
          <w:szCs w:val="24"/>
        </w:rPr>
      </w:pPr>
    </w:p>
    <w:p w14:paraId="789E50F7" w14:textId="1D082D35" w:rsidR="00BC783B" w:rsidRDefault="00BC783B" w:rsidP="00BC783B">
      <w:pPr>
        <w:widowControl/>
        <w:jc w:val="both"/>
        <w:rPr>
          <w:sz w:val="24"/>
          <w:szCs w:val="24"/>
        </w:rPr>
      </w:pPr>
      <w:r>
        <w:rPr>
          <w:sz w:val="24"/>
          <w:szCs w:val="24"/>
        </w:rPr>
        <w:t xml:space="preserve">The statutorily-mandated </w:t>
      </w:r>
      <w:r w:rsidRPr="00926FFD">
        <w:rPr>
          <w:b/>
          <w:bCs/>
          <w:sz w:val="24"/>
          <w:szCs w:val="24"/>
        </w:rPr>
        <w:t>October 26, 201</w:t>
      </w:r>
      <w:r w:rsidR="003C75E1">
        <w:rPr>
          <w:b/>
          <w:bCs/>
          <w:sz w:val="24"/>
          <w:szCs w:val="24"/>
        </w:rPr>
        <w:t>7</w:t>
      </w:r>
      <w:r w:rsidRPr="00926FFD">
        <w:rPr>
          <w:sz w:val="24"/>
          <w:szCs w:val="24"/>
        </w:rPr>
        <w:t xml:space="preserve"> deadline </w:t>
      </w:r>
      <w:r>
        <w:rPr>
          <w:sz w:val="24"/>
          <w:szCs w:val="24"/>
        </w:rPr>
        <w:t xml:space="preserve">was supposed to represent </w:t>
      </w:r>
      <w:r w:rsidRPr="00926FFD">
        <w:rPr>
          <w:sz w:val="24"/>
          <w:szCs w:val="24"/>
        </w:rPr>
        <w:t xml:space="preserve">the end of the </w:t>
      </w:r>
      <w:r>
        <w:rPr>
          <w:sz w:val="24"/>
          <w:szCs w:val="24"/>
        </w:rPr>
        <w:t>decades</w:t>
      </w:r>
      <w:r w:rsidR="00BC4BB7">
        <w:rPr>
          <w:sz w:val="24"/>
          <w:szCs w:val="24"/>
        </w:rPr>
        <w:t>-</w:t>
      </w:r>
      <w:r>
        <w:rPr>
          <w:sz w:val="24"/>
          <w:szCs w:val="24"/>
        </w:rPr>
        <w:t xml:space="preserve">long </w:t>
      </w:r>
      <w:r w:rsidR="00BC4BB7">
        <w:rPr>
          <w:sz w:val="24"/>
          <w:szCs w:val="24"/>
        </w:rPr>
        <w:t xml:space="preserve">effort </w:t>
      </w:r>
      <w:r>
        <w:rPr>
          <w:sz w:val="24"/>
          <w:szCs w:val="24"/>
        </w:rPr>
        <w:t xml:space="preserve">to release all of the records related to the assassination of President Kennedy. Absent any action by the Executive Branch, NARA was to release the remaining </w:t>
      </w:r>
      <w:r w:rsidR="00BC4BB7">
        <w:rPr>
          <w:sz w:val="24"/>
          <w:szCs w:val="24"/>
        </w:rPr>
        <w:t xml:space="preserve">assassination </w:t>
      </w:r>
      <w:r>
        <w:rPr>
          <w:sz w:val="24"/>
          <w:szCs w:val="24"/>
        </w:rPr>
        <w:lastRenderedPageBreak/>
        <w:t>record</w:t>
      </w:r>
      <w:r w:rsidR="00BC4BB7">
        <w:rPr>
          <w:sz w:val="24"/>
          <w:szCs w:val="24"/>
        </w:rPr>
        <w:t>s</w:t>
      </w:r>
      <w:r>
        <w:rPr>
          <w:sz w:val="24"/>
          <w:szCs w:val="24"/>
        </w:rPr>
        <w:t xml:space="preserve">.  Unfortunately, certain </w:t>
      </w:r>
      <w:r w:rsidR="00BC4BB7">
        <w:rPr>
          <w:sz w:val="24"/>
          <w:szCs w:val="24"/>
        </w:rPr>
        <w:t>E</w:t>
      </w:r>
      <w:r>
        <w:rPr>
          <w:sz w:val="24"/>
          <w:szCs w:val="24"/>
        </w:rPr>
        <w:t xml:space="preserve">xecutive </w:t>
      </w:r>
      <w:r w:rsidR="00BC4BB7">
        <w:rPr>
          <w:sz w:val="24"/>
          <w:szCs w:val="24"/>
        </w:rPr>
        <w:t>B</w:t>
      </w:r>
      <w:r>
        <w:rPr>
          <w:sz w:val="24"/>
          <w:szCs w:val="24"/>
        </w:rPr>
        <w:t xml:space="preserve">ranch </w:t>
      </w:r>
      <w:r w:rsidRPr="00FC2A7B">
        <w:rPr>
          <w:sz w:val="24"/>
          <w:szCs w:val="24"/>
        </w:rPr>
        <w:t xml:space="preserve">agencies </w:t>
      </w:r>
      <w:r>
        <w:rPr>
          <w:sz w:val="24"/>
          <w:szCs w:val="24"/>
        </w:rPr>
        <w:t xml:space="preserve">asked </w:t>
      </w:r>
      <w:r w:rsidRPr="00FC2A7B">
        <w:rPr>
          <w:sz w:val="24"/>
          <w:szCs w:val="24"/>
        </w:rPr>
        <w:t xml:space="preserve">President </w:t>
      </w:r>
      <w:r w:rsidR="00BC4BB7">
        <w:rPr>
          <w:sz w:val="24"/>
          <w:szCs w:val="24"/>
        </w:rPr>
        <w:t xml:space="preserve">Trump </w:t>
      </w:r>
      <w:r w:rsidRPr="00FC2A7B">
        <w:rPr>
          <w:sz w:val="24"/>
          <w:szCs w:val="24"/>
        </w:rPr>
        <w:t>to postpon</w:t>
      </w:r>
      <w:r>
        <w:rPr>
          <w:sz w:val="24"/>
          <w:szCs w:val="24"/>
        </w:rPr>
        <w:t>e</w:t>
      </w:r>
      <w:r w:rsidRPr="00FC2A7B">
        <w:rPr>
          <w:sz w:val="24"/>
          <w:szCs w:val="24"/>
        </w:rPr>
        <w:t xml:space="preserve"> the disclosure either in whole or in part</w:t>
      </w:r>
      <w:r w:rsidR="00734B8D">
        <w:rPr>
          <w:sz w:val="24"/>
          <w:szCs w:val="24"/>
        </w:rPr>
        <w:t xml:space="preserve"> of </w:t>
      </w:r>
      <w:r w:rsidRPr="00FC2A7B">
        <w:rPr>
          <w:sz w:val="24"/>
          <w:szCs w:val="24"/>
        </w:rPr>
        <w:t>approximately 31,000 records</w:t>
      </w:r>
      <w:r>
        <w:rPr>
          <w:sz w:val="24"/>
          <w:szCs w:val="24"/>
        </w:rPr>
        <w:t xml:space="preserve">. </w:t>
      </w:r>
      <w:r>
        <w:rPr>
          <w:rStyle w:val="FootnoteReference"/>
          <w:sz w:val="24"/>
          <w:szCs w:val="24"/>
        </w:rPr>
        <w:footnoteReference w:id="16"/>
      </w:r>
      <w:r>
        <w:rPr>
          <w:sz w:val="24"/>
          <w:szCs w:val="24"/>
        </w:rPr>
        <w:t xml:space="preserve"> </w:t>
      </w:r>
    </w:p>
    <w:p w14:paraId="6C9507CB" w14:textId="77777777" w:rsidR="00BC783B" w:rsidRDefault="00BC783B" w:rsidP="00BC783B">
      <w:pPr>
        <w:widowControl/>
        <w:jc w:val="both"/>
        <w:rPr>
          <w:sz w:val="24"/>
          <w:szCs w:val="24"/>
        </w:rPr>
      </w:pPr>
    </w:p>
    <w:p w14:paraId="2C58DE86" w14:textId="5D3D4093" w:rsidR="00BC783B" w:rsidRDefault="00BC783B" w:rsidP="00BC783B">
      <w:pPr>
        <w:widowControl/>
        <w:jc w:val="both"/>
        <w:rPr>
          <w:sz w:val="24"/>
          <w:szCs w:val="24"/>
        </w:rPr>
      </w:pPr>
      <w:r>
        <w:rPr>
          <w:sz w:val="24"/>
          <w:szCs w:val="24"/>
        </w:rPr>
        <w:t xml:space="preserve">On </w:t>
      </w:r>
      <w:r w:rsidRPr="005C075F">
        <w:rPr>
          <w:b/>
          <w:bCs/>
          <w:sz w:val="24"/>
          <w:szCs w:val="24"/>
        </w:rPr>
        <w:t>October 12, 2017</w:t>
      </w:r>
      <w:r>
        <w:rPr>
          <w:sz w:val="24"/>
          <w:szCs w:val="24"/>
        </w:rPr>
        <w:t xml:space="preserve">, </w:t>
      </w:r>
      <w:r w:rsidRPr="00FC2A7B">
        <w:rPr>
          <w:sz w:val="24"/>
          <w:szCs w:val="24"/>
        </w:rPr>
        <w:t xml:space="preserve">the Archivist of the United States wrote to the President </w:t>
      </w:r>
      <w:r w:rsidR="00734B8D">
        <w:rPr>
          <w:sz w:val="24"/>
          <w:szCs w:val="24"/>
        </w:rPr>
        <w:t xml:space="preserve">expressing </w:t>
      </w:r>
      <w:r w:rsidRPr="00FC2A7B">
        <w:rPr>
          <w:sz w:val="24"/>
          <w:szCs w:val="24"/>
        </w:rPr>
        <w:t>“</w:t>
      </w:r>
      <w:r w:rsidRPr="00BF1604">
        <w:rPr>
          <w:i/>
          <w:iCs/>
          <w:sz w:val="24"/>
          <w:szCs w:val="24"/>
        </w:rPr>
        <w:t>significant concerns</w:t>
      </w:r>
      <w:r w:rsidRPr="00FC2A7B">
        <w:rPr>
          <w:sz w:val="24"/>
          <w:szCs w:val="24"/>
        </w:rPr>
        <w:t>” about the proposed postponements.</w:t>
      </w:r>
      <w:r>
        <w:rPr>
          <w:sz w:val="24"/>
          <w:szCs w:val="24"/>
        </w:rPr>
        <w:t xml:space="preserve"> T</w:t>
      </w:r>
      <w:r w:rsidRPr="00FC2A7B">
        <w:rPr>
          <w:sz w:val="24"/>
          <w:szCs w:val="24"/>
        </w:rPr>
        <w:t xml:space="preserve">he Archivist expressed doubt that agencies had properly applied the </w:t>
      </w:r>
      <w:r w:rsidR="00BC4BB7">
        <w:rPr>
          <w:sz w:val="24"/>
          <w:szCs w:val="24"/>
        </w:rPr>
        <w:t xml:space="preserve">statutory </w:t>
      </w:r>
      <w:r w:rsidRPr="00FC2A7B">
        <w:rPr>
          <w:sz w:val="24"/>
          <w:szCs w:val="24"/>
        </w:rPr>
        <w:t>standard for postponing disclosure.</w:t>
      </w:r>
      <w:r w:rsidR="00BC4BB7">
        <w:rPr>
          <w:rStyle w:val="FootnoteReference"/>
          <w:sz w:val="24"/>
          <w:szCs w:val="24"/>
        </w:rPr>
        <w:footnoteReference w:id="17"/>
      </w:r>
      <w:r w:rsidRPr="00FC2A7B">
        <w:rPr>
          <w:sz w:val="24"/>
          <w:szCs w:val="24"/>
        </w:rPr>
        <w:t xml:space="preserve"> </w:t>
      </w:r>
      <w:r>
        <w:rPr>
          <w:sz w:val="24"/>
          <w:szCs w:val="24"/>
        </w:rPr>
        <w:t>T</w:t>
      </w:r>
      <w:r w:rsidRPr="00FC2A7B">
        <w:rPr>
          <w:sz w:val="24"/>
          <w:szCs w:val="24"/>
        </w:rPr>
        <w:t xml:space="preserve">he Archivist </w:t>
      </w:r>
      <w:r>
        <w:rPr>
          <w:sz w:val="24"/>
          <w:szCs w:val="24"/>
        </w:rPr>
        <w:t xml:space="preserve">then </w:t>
      </w:r>
      <w:r w:rsidRPr="00FC2A7B">
        <w:rPr>
          <w:sz w:val="24"/>
          <w:szCs w:val="24"/>
        </w:rPr>
        <w:t>concluded that</w:t>
      </w:r>
      <w:r>
        <w:rPr>
          <w:sz w:val="24"/>
          <w:szCs w:val="24"/>
        </w:rPr>
        <w:t>:</w:t>
      </w:r>
    </w:p>
    <w:p w14:paraId="685D842F" w14:textId="77777777" w:rsidR="00BC783B" w:rsidRDefault="00BC783B" w:rsidP="00BC783B">
      <w:pPr>
        <w:widowControl/>
        <w:jc w:val="both"/>
        <w:rPr>
          <w:sz w:val="24"/>
          <w:szCs w:val="24"/>
        </w:rPr>
      </w:pPr>
    </w:p>
    <w:p w14:paraId="66A4E02E" w14:textId="77777777" w:rsidR="00BC783B" w:rsidRDefault="00BC783B" w:rsidP="00BC783B">
      <w:pPr>
        <w:widowControl/>
        <w:ind w:left="810" w:right="630"/>
        <w:jc w:val="both"/>
        <w:rPr>
          <w:sz w:val="24"/>
          <w:szCs w:val="24"/>
        </w:rPr>
      </w:pPr>
      <w:r w:rsidRPr="00424B42">
        <w:rPr>
          <w:sz w:val="24"/>
          <w:szCs w:val="24"/>
        </w:rPr>
        <w:t xml:space="preserve"> “</w:t>
      </w:r>
      <w:r w:rsidRPr="005C075F">
        <w:rPr>
          <w:i/>
          <w:iCs/>
          <w:sz w:val="24"/>
          <w:szCs w:val="24"/>
        </w:rPr>
        <w:t>there is insufficient time for NARA and the pertinent agencies to further consider our concerns and identify those certain, specific instances where information could warrant continued postponement</w:t>
      </w:r>
      <w:r w:rsidRPr="00424B42">
        <w:rPr>
          <w:sz w:val="24"/>
          <w:szCs w:val="24"/>
        </w:rPr>
        <w:t>”</w:t>
      </w:r>
      <w:r>
        <w:rPr>
          <w:rStyle w:val="FootnoteReference"/>
          <w:sz w:val="24"/>
          <w:szCs w:val="24"/>
        </w:rPr>
        <w:footnoteReference w:id="18"/>
      </w:r>
      <w:r>
        <w:rPr>
          <w:i/>
          <w:iCs/>
          <w:sz w:val="24"/>
          <w:szCs w:val="24"/>
        </w:rPr>
        <w:t xml:space="preserve"> </w:t>
      </w:r>
    </w:p>
    <w:p w14:paraId="5E392E22" w14:textId="77777777" w:rsidR="00BC783B" w:rsidRDefault="00BC783B" w:rsidP="00BC783B">
      <w:pPr>
        <w:widowControl/>
        <w:jc w:val="both"/>
        <w:rPr>
          <w:sz w:val="24"/>
          <w:szCs w:val="24"/>
        </w:rPr>
      </w:pPr>
    </w:p>
    <w:p w14:paraId="52ABBDFE" w14:textId="17D59004" w:rsidR="00BC783B" w:rsidRDefault="00BC783B" w:rsidP="00BC783B">
      <w:pPr>
        <w:widowControl/>
        <w:jc w:val="both"/>
        <w:rPr>
          <w:sz w:val="24"/>
          <w:szCs w:val="24"/>
        </w:rPr>
      </w:pPr>
      <w:r>
        <w:rPr>
          <w:sz w:val="24"/>
          <w:szCs w:val="24"/>
        </w:rPr>
        <w:t xml:space="preserve">As a result, on </w:t>
      </w:r>
      <w:r w:rsidRPr="005C075F">
        <w:rPr>
          <w:b/>
          <w:bCs/>
          <w:sz w:val="24"/>
          <w:szCs w:val="24"/>
        </w:rPr>
        <w:t>October 26, 2017</w:t>
      </w:r>
      <w:r>
        <w:rPr>
          <w:sz w:val="24"/>
          <w:szCs w:val="24"/>
        </w:rPr>
        <w:t xml:space="preserve">, President Trump issued a memorandum allowing </w:t>
      </w:r>
      <w:r w:rsidRPr="005C075F">
        <w:rPr>
          <w:sz w:val="24"/>
          <w:szCs w:val="24"/>
        </w:rPr>
        <w:t>records that agencies ha</w:t>
      </w:r>
      <w:r>
        <w:rPr>
          <w:sz w:val="24"/>
          <w:szCs w:val="24"/>
        </w:rPr>
        <w:t>d</w:t>
      </w:r>
      <w:r w:rsidRPr="005C075F">
        <w:rPr>
          <w:sz w:val="24"/>
          <w:szCs w:val="24"/>
        </w:rPr>
        <w:t xml:space="preserve"> proposed for continued postponement </w:t>
      </w:r>
      <w:r w:rsidR="00734B8D">
        <w:rPr>
          <w:sz w:val="24"/>
          <w:szCs w:val="24"/>
        </w:rPr>
        <w:t xml:space="preserve">to </w:t>
      </w:r>
      <w:r w:rsidRPr="005C075F">
        <w:rPr>
          <w:sz w:val="24"/>
          <w:szCs w:val="24"/>
        </w:rPr>
        <w:t>be temporarily withheld from full public disclosure until no later than April 26, 2018</w:t>
      </w:r>
      <w:r>
        <w:rPr>
          <w:sz w:val="24"/>
          <w:szCs w:val="24"/>
        </w:rPr>
        <w:t xml:space="preserve">. The purpose of this action was </w:t>
      </w:r>
      <w:r w:rsidRPr="005C075F">
        <w:rPr>
          <w:sz w:val="24"/>
          <w:szCs w:val="24"/>
        </w:rPr>
        <w:t xml:space="preserve">to allow sufficient time to determine </w:t>
      </w:r>
      <w:r>
        <w:rPr>
          <w:sz w:val="24"/>
          <w:szCs w:val="24"/>
        </w:rPr>
        <w:t xml:space="preserve">if </w:t>
      </w:r>
      <w:r w:rsidRPr="005C075F">
        <w:rPr>
          <w:sz w:val="24"/>
          <w:szCs w:val="24"/>
        </w:rPr>
        <w:t>such information warrant</w:t>
      </w:r>
      <w:r>
        <w:rPr>
          <w:sz w:val="24"/>
          <w:szCs w:val="24"/>
        </w:rPr>
        <w:t>ed</w:t>
      </w:r>
      <w:r w:rsidRPr="005C075F">
        <w:rPr>
          <w:sz w:val="24"/>
          <w:szCs w:val="24"/>
        </w:rPr>
        <w:t xml:space="preserve"> </w:t>
      </w:r>
      <w:r>
        <w:rPr>
          <w:sz w:val="24"/>
          <w:szCs w:val="24"/>
        </w:rPr>
        <w:t>further postponement.</w:t>
      </w:r>
      <w:r>
        <w:rPr>
          <w:rStyle w:val="FootnoteReference"/>
          <w:sz w:val="24"/>
          <w:szCs w:val="24"/>
        </w:rPr>
        <w:footnoteReference w:id="19"/>
      </w:r>
      <w:r>
        <w:rPr>
          <w:sz w:val="24"/>
          <w:szCs w:val="24"/>
        </w:rPr>
        <w:t xml:space="preserve"> In issuing this certification, the President wrote:</w:t>
      </w:r>
    </w:p>
    <w:p w14:paraId="21A4ABD7" w14:textId="77777777" w:rsidR="00BC783B" w:rsidRDefault="00BC783B" w:rsidP="00BC783B">
      <w:pPr>
        <w:widowControl/>
        <w:jc w:val="both"/>
        <w:rPr>
          <w:sz w:val="24"/>
          <w:szCs w:val="24"/>
        </w:rPr>
      </w:pPr>
    </w:p>
    <w:p w14:paraId="45612688" w14:textId="6CC2FA1F" w:rsidR="00BC783B" w:rsidRPr="0029149E" w:rsidRDefault="00BC783B" w:rsidP="00BC783B">
      <w:pPr>
        <w:widowControl/>
        <w:ind w:left="720" w:right="720"/>
        <w:jc w:val="both"/>
        <w:rPr>
          <w:i/>
          <w:iCs/>
          <w:sz w:val="24"/>
          <w:szCs w:val="24"/>
        </w:rPr>
      </w:pPr>
      <w:r w:rsidRPr="0029149E">
        <w:rPr>
          <w:i/>
          <w:iCs/>
          <w:sz w:val="24"/>
          <w:szCs w:val="24"/>
        </w:rPr>
        <w:t>The American public expects—and deserves—its Government to provide as much access as possible to the President John F. Kennedy Assassination Records (records) so that the people may finally be fully informed about all aspects of this pivotal event.</w:t>
      </w:r>
    </w:p>
    <w:p w14:paraId="3B0FF790" w14:textId="77777777" w:rsidR="00BC783B" w:rsidRDefault="00BC783B" w:rsidP="00BC783B">
      <w:pPr>
        <w:widowControl/>
        <w:ind w:left="1440" w:right="720"/>
        <w:jc w:val="both"/>
        <w:rPr>
          <w:sz w:val="24"/>
          <w:szCs w:val="24"/>
        </w:rPr>
      </w:pPr>
    </w:p>
    <w:p w14:paraId="6E992614" w14:textId="77777777" w:rsidR="00BC783B" w:rsidRDefault="00BC783B" w:rsidP="00BC783B">
      <w:pPr>
        <w:widowControl/>
        <w:ind w:right="720"/>
        <w:jc w:val="both"/>
        <w:rPr>
          <w:sz w:val="24"/>
          <w:szCs w:val="24"/>
        </w:rPr>
      </w:pPr>
      <w:r>
        <w:rPr>
          <w:sz w:val="24"/>
          <w:szCs w:val="24"/>
        </w:rPr>
        <w:t>The President went on to say that:</w:t>
      </w:r>
    </w:p>
    <w:p w14:paraId="0456B425" w14:textId="77777777" w:rsidR="00BC783B" w:rsidRDefault="00BC783B" w:rsidP="00BC783B">
      <w:pPr>
        <w:widowControl/>
        <w:ind w:left="1440" w:right="720"/>
        <w:jc w:val="both"/>
        <w:rPr>
          <w:sz w:val="24"/>
          <w:szCs w:val="24"/>
        </w:rPr>
      </w:pPr>
    </w:p>
    <w:p w14:paraId="0D49B20E" w14:textId="2B05B32F" w:rsidR="00BC783B" w:rsidRPr="0029149E" w:rsidRDefault="00BC783B" w:rsidP="00BC783B">
      <w:pPr>
        <w:widowControl/>
        <w:ind w:left="720" w:right="720"/>
        <w:jc w:val="both"/>
        <w:rPr>
          <w:sz w:val="24"/>
          <w:szCs w:val="24"/>
        </w:rPr>
      </w:pPr>
      <w:r w:rsidRPr="0029149E">
        <w:rPr>
          <w:i/>
          <w:iCs/>
          <w:sz w:val="24"/>
          <w:szCs w:val="24"/>
        </w:rPr>
        <w:t>Any agency that seeks to request further postponement beyond this temporary certification shall adhere to the findings of the Act, which state, among other things, that “</w:t>
      </w:r>
      <w:r w:rsidRPr="0029149E">
        <w:rPr>
          <w:b/>
          <w:bCs/>
          <w:i/>
          <w:iCs/>
          <w:sz w:val="24"/>
          <w:szCs w:val="24"/>
        </w:rPr>
        <w:t>only in the rarest cases is there any legitimate need for continued protection</w:t>
      </w:r>
      <w:r w:rsidRPr="0029149E">
        <w:rPr>
          <w:i/>
          <w:iCs/>
          <w:sz w:val="24"/>
          <w:szCs w:val="24"/>
        </w:rPr>
        <w:t xml:space="preserve"> </w:t>
      </w:r>
      <w:r w:rsidRPr="0029149E">
        <w:rPr>
          <w:b/>
          <w:bCs/>
          <w:i/>
          <w:iCs/>
          <w:sz w:val="24"/>
          <w:szCs w:val="24"/>
        </w:rPr>
        <w:t>of such records</w:t>
      </w:r>
      <w:r w:rsidRPr="0029149E">
        <w:rPr>
          <w:i/>
          <w:iCs/>
          <w:sz w:val="24"/>
          <w:szCs w:val="24"/>
        </w:rPr>
        <w:t xml:space="preserve">.” </w:t>
      </w:r>
      <w:r w:rsidRPr="0029149E">
        <w:rPr>
          <w:b/>
          <w:bCs/>
          <w:i/>
          <w:iCs/>
          <w:sz w:val="24"/>
          <w:szCs w:val="24"/>
        </w:rPr>
        <w:t>The need for continued protection can only have grown weaker with the passage of time since the Congress made this finding</w:t>
      </w:r>
      <w:r w:rsidRPr="0029149E">
        <w:rPr>
          <w:i/>
          <w:iCs/>
          <w:sz w:val="24"/>
          <w:szCs w:val="24"/>
        </w:rPr>
        <w:t xml:space="preserve">. Accordingly, each </w:t>
      </w:r>
      <w:r w:rsidRPr="0029149E">
        <w:rPr>
          <w:i/>
          <w:iCs/>
          <w:sz w:val="24"/>
          <w:szCs w:val="24"/>
        </w:rPr>
        <w:lastRenderedPageBreak/>
        <w:t xml:space="preserve">agency head should be </w:t>
      </w:r>
      <w:r w:rsidRPr="0029149E">
        <w:rPr>
          <w:b/>
          <w:bCs/>
          <w:i/>
          <w:iCs/>
          <w:sz w:val="24"/>
          <w:szCs w:val="24"/>
        </w:rPr>
        <w:t>extremely circumspect in recommending any further postponement of full disclosure of records</w:t>
      </w:r>
      <w:r w:rsidRPr="0029149E">
        <w:rPr>
          <w:sz w:val="24"/>
          <w:szCs w:val="24"/>
        </w:rPr>
        <w:t>.</w:t>
      </w:r>
      <w:r>
        <w:rPr>
          <w:sz w:val="24"/>
          <w:szCs w:val="24"/>
        </w:rPr>
        <w:t xml:space="preserve"> [emphasis added]</w:t>
      </w:r>
    </w:p>
    <w:p w14:paraId="5F4088EB" w14:textId="77777777" w:rsidR="00BC783B" w:rsidRDefault="00BC783B" w:rsidP="00BC783B">
      <w:pPr>
        <w:widowControl/>
        <w:jc w:val="both"/>
        <w:rPr>
          <w:sz w:val="24"/>
          <w:szCs w:val="24"/>
        </w:rPr>
      </w:pPr>
    </w:p>
    <w:p w14:paraId="49D1844D" w14:textId="03866F72" w:rsidR="00BC783B" w:rsidRDefault="00BC783B" w:rsidP="00BC783B">
      <w:pPr>
        <w:widowControl/>
        <w:jc w:val="both"/>
        <w:rPr>
          <w:sz w:val="24"/>
          <w:szCs w:val="24"/>
        </w:rPr>
      </w:pPr>
      <w:r>
        <w:rPr>
          <w:sz w:val="24"/>
          <w:szCs w:val="24"/>
        </w:rPr>
        <w:t xml:space="preserve">On </w:t>
      </w:r>
      <w:r w:rsidRPr="00A050A0">
        <w:rPr>
          <w:b/>
          <w:bCs/>
          <w:sz w:val="24"/>
          <w:szCs w:val="24"/>
        </w:rPr>
        <w:t>March 26, 2018</w:t>
      </w:r>
      <w:r>
        <w:rPr>
          <w:sz w:val="24"/>
          <w:szCs w:val="24"/>
        </w:rPr>
        <w:t xml:space="preserve">, the Archivist recommended </w:t>
      </w:r>
      <w:r w:rsidR="00734B8D">
        <w:rPr>
          <w:sz w:val="24"/>
          <w:szCs w:val="24"/>
        </w:rPr>
        <w:t xml:space="preserve">that </w:t>
      </w:r>
      <w:r>
        <w:rPr>
          <w:sz w:val="24"/>
          <w:szCs w:val="24"/>
        </w:rPr>
        <w:t>1</w:t>
      </w:r>
      <w:r w:rsidR="00BC4BB7">
        <w:rPr>
          <w:sz w:val="24"/>
          <w:szCs w:val="24"/>
        </w:rPr>
        <w:t>3</w:t>
      </w:r>
      <w:r>
        <w:rPr>
          <w:sz w:val="24"/>
          <w:szCs w:val="24"/>
        </w:rPr>
        <w:t>,</w:t>
      </w:r>
      <w:r w:rsidR="00BC4BB7">
        <w:rPr>
          <w:sz w:val="24"/>
          <w:szCs w:val="24"/>
        </w:rPr>
        <w:t>922</w:t>
      </w:r>
      <w:r>
        <w:rPr>
          <w:sz w:val="24"/>
          <w:szCs w:val="24"/>
        </w:rPr>
        <w:t xml:space="preserve"> documents of the Central Intelligence Agency, Federal Bureau of Investigation, the Department of Defense and the Department of State and Drug Enforcement Agency be further postponed under  Section </w:t>
      </w:r>
      <w:r w:rsidRPr="0057133D">
        <w:rPr>
          <w:sz w:val="24"/>
          <w:szCs w:val="24"/>
        </w:rPr>
        <w:t>5(g)(2)</w:t>
      </w:r>
      <w:r>
        <w:rPr>
          <w:sz w:val="24"/>
          <w:szCs w:val="24"/>
        </w:rPr>
        <w:t xml:space="preserve"> </w:t>
      </w:r>
      <w:r w:rsidRPr="0057133D">
        <w:rPr>
          <w:sz w:val="24"/>
          <w:szCs w:val="24"/>
        </w:rPr>
        <w:t xml:space="preserve">(D) </w:t>
      </w:r>
      <w:r>
        <w:rPr>
          <w:sz w:val="24"/>
          <w:szCs w:val="24"/>
        </w:rPr>
        <w:t>of the JFK Act.</w:t>
      </w:r>
      <w:r w:rsidR="00BC4BB7">
        <w:rPr>
          <w:rStyle w:val="FootnoteReference"/>
          <w:sz w:val="24"/>
          <w:szCs w:val="24"/>
        </w:rPr>
        <w:footnoteReference w:id="20"/>
      </w:r>
      <w:r>
        <w:rPr>
          <w:sz w:val="24"/>
          <w:szCs w:val="24"/>
        </w:rPr>
        <w:t xml:space="preserve"> The Archivist recommendation that any further </w:t>
      </w:r>
      <w:r w:rsidR="00734B8D">
        <w:rPr>
          <w:sz w:val="24"/>
          <w:szCs w:val="24"/>
        </w:rPr>
        <w:t xml:space="preserve">requests for </w:t>
      </w:r>
      <w:r>
        <w:rPr>
          <w:sz w:val="24"/>
          <w:szCs w:val="24"/>
        </w:rPr>
        <w:t xml:space="preserve">postponements be made contingent on the agencies making such </w:t>
      </w:r>
      <w:r w:rsidR="00BC4BB7">
        <w:rPr>
          <w:sz w:val="24"/>
          <w:szCs w:val="24"/>
        </w:rPr>
        <w:t xml:space="preserve">future </w:t>
      </w:r>
      <w:r>
        <w:rPr>
          <w:sz w:val="24"/>
          <w:szCs w:val="24"/>
        </w:rPr>
        <w:t xml:space="preserve">requests on a document-by-document based in writing by </w:t>
      </w:r>
      <w:r w:rsidRPr="00A050A0">
        <w:rPr>
          <w:b/>
          <w:bCs/>
          <w:sz w:val="24"/>
          <w:szCs w:val="24"/>
        </w:rPr>
        <w:t>April 26, 2021</w:t>
      </w:r>
      <w:r>
        <w:rPr>
          <w:sz w:val="24"/>
          <w:szCs w:val="24"/>
        </w:rPr>
        <w:t xml:space="preserve">. </w:t>
      </w:r>
      <w:r>
        <w:rPr>
          <w:rStyle w:val="FootnoteReference"/>
          <w:sz w:val="24"/>
          <w:szCs w:val="24"/>
        </w:rPr>
        <w:footnoteReference w:id="21"/>
      </w:r>
      <w:r>
        <w:rPr>
          <w:sz w:val="24"/>
          <w:szCs w:val="24"/>
        </w:rPr>
        <w:t xml:space="preserve">  </w:t>
      </w:r>
    </w:p>
    <w:p w14:paraId="05CD4B27" w14:textId="77777777" w:rsidR="00BC783B" w:rsidRDefault="00BC783B" w:rsidP="00BC783B">
      <w:pPr>
        <w:widowControl/>
        <w:jc w:val="both"/>
        <w:rPr>
          <w:sz w:val="24"/>
          <w:szCs w:val="24"/>
        </w:rPr>
      </w:pPr>
    </w:p>
    <w:p w14:paraId="2FC8CE17" w14:textId="576E2B66" w:rsidR="00BC783B" w:rsidRDefault="00BC783B" w:rsidP="00BC783B">
      <w:pPr>
        <w:widowControl/>
        <w:jc w:val="both"/>
        <w:rPr>
          <w:sz w:val="24"/>
          <w:szCs w:val="24"/>
        </w:rPr>
      </w:pPr>
      <w:r>
        <w:rPr>
          <w:sz w:val="24"/>
          <w:szCs w:val="24"/>
        </w:rPr>
        <w:t xml:space="preserve">On </w:t>
      </w:r>
      <w:r w:rsidRPr="0029149E">
        <w:rPr>
          <w:b/>
          <w:bCs/>
          <w:sz w:val="24"/>
          <w:szCs w:val="24"/>
        </w:rPr>
        <w:t>April 26, 2018</w:t>
      </w:r>
      <w:r>
        <w:rPr>
          <w:b/>
          <w:bCs/>
          <w:sz w:val="24"/>
          <w:szCs w:val="24"/>
        </w:rPr>
        <w:t>,</w:t>
      </w:r>
      <w:r>
        <w:rPr>
          <w:sz w:val="24"/>
          <w:szCs w:val="24"/>
        </w:rPr>
        <w:t xml:space="preserve"> President Trump issued a memorandum adopting the recommendation of Archivist to continue withholding certain records until </w:t>
      </w:r>
      <w:r w:rsidRPr="0029149E">
        <w:rPr>
          <w:b/>
          <w:bCs/>
          <w:sz w:val="24"/>
          <w:szCs w:val="24"/>
        </w:rPr>
        <w:t>October 26, 2021</w:t>
      </w:r>
      <w:r w:rsidRPr="00C47130">
        <w:rPr>
          <w:sz w:val="24"/>
          <w:szCs w:val="24"/>
        </w:rPr>
        <w:t xml:space="preserve"> </w:t>
      </w:r>
      <w:r>
        <w:rPr>
          <w:sz w:val="24"/>
          <w:szCs w:val="24"/>
        </w:rPr>
        <w:t xml:space="preserve">and directed the agencies </w:t>
      </w:r>
      <w:r w:rsidRPr="00FC5FE7">
        <w:rPr>
          <w:sz w:val="24"/>
          <w:szCs w:val="24"/>
        </w:rPr>
        <w:t xml:space="preserve">to re-review each </w:t>
      </w:r>
      <w:r w:rsidR="00734B8D">
        <w:rPr>
          <w:sz w:val="24"/>
          <w:szCs w:val="24"/>
        </w:rPr>
        <w:t xml:space="preserve">record to determine if any </w:t>
      </w:r>
      <w:r w:rsidRPr="00FC5FE7">
        <w:rPr>
          <w:sz w:val="24"/>
          <w:szCs w:val="24"/>
        </w:rPr>
        <w:t xml:space="preserve">redactions </w:t>
      </w:r>
      <w:r w:rsidR="00734B8D">
        <w:rPr>
          <w:sz w:val="24"/>
          <w:szCs w:val="24"/>
        </w:rPr>
        <w:t xml:space="preserve">were </w:t>
      </w:r>
      <w:r w:rsidRPr="00C47130">
        <w:rPr>
          <w:sz w:val="24"/>
          <w:szCs w:val="24"/>
        </w:rPr>
        <w:t>necessary.</w:t>
      </w:r>
      <w:r>
        <w:rPr>
          <w:rStyle w:val="FootnoteReference"/>
          <w:sz w:val="24"/>
          <w:szCs w:val="24"/>
        </w:rPr>
        <w:footnoteReference w:id="22"/>
      </w:r>
      <w:r>
        <w:rPr>
          <w:sz w:val="24"/>
          <w:szCs w:val="24"/>
        </w:rPr>
        <w:t xml:space="preserve"> In particular, the memorandum went on to say that: </w:t>
      </w:r>
    </w:p>
    <w:p w14:paraId="459727AA" w14:textId="77777777" w:rsidR="00BC783B" w:rsidRDefault="00BC783B" w:rsidP="00BC783B">
      <w:pPr>
        <w:widowControl/>
        <w:jc w:val="both"/>
        <w:rPr>
          <w:sz w:val="24"/>
          <w:szCs w:val="24"/>
        </w:rPr>
      </w:pPr>
    </w:p>
    <w:p w14:paraId="52D98065" w14:textId="322FAE3F" w:rsidR="00BC783B" w:rsidRDefault="008804E2" w:rsidP="00BC783B">
      <w:pPr>
        <w:widowControl/>
        <w:ind w:left="720" w:right="720"/>
        <w:jc w:val="both"/>
        <w:rPr>
          <w:sz w:val="24"/>
          <w:szCs w:val="24"/>
        </w:rPr>
      </w:pPr>
      <w:r>
        <w:rPr>
          <w:i/>
          <w:iCs/>
          <w:sz w:val="24"/>
          <w:szCs w:val="24"/>
        </w:rPr>
        <w:t>A</w:t>
      </w:r>
      <w:r w:rsidR="00BC783B" w:rsidRPr="00A5708D">
        <w:rPr>
          <w:i/>
          <w:iCs/>
          <w:sz w:val="24"/>
          <w:szCs w:val="24"/>
        </w:rPr>
        <w:t xml:space="preserve">ny agency that seeks further postponement beyond </w:t>
      </w:r>
      <w:r w:rsidR="00BC783B" w:rsidRPr="00A5708D">
        <w:rPr>
          <w:b/>
          <w:bCs/>
          <w:i/>
          <w:iCs/>
          <w:sz w:val="24"/>
          <w:szCs w:val="24"/>
        </w:rPr>
        <w:t>October 26, 2021</w:t>
      </w:r>
      <w:r w:rsidR="00BC783B" w:rsidRPr="00A5708D">
        <w:rPr>
          <w:i/>
          <w:iCs/>
          <w:sz w:val="24"/>
          <w:szCs w:val="24"/>
        </w:rPr>
        <w:t xml:space="preserve">, shall, no later than </w:t>
      </w:r>
      <w:r w:rsidR="00BC783B" w:rsidRPr="00BC4BB7">
        <w:rPr>
          <w:b/>
          <w:bCs/>
          <w:i/>
          <w:iCs/>
          <w:sz w:val="24"/>
          <w:szCs w:val="24"/>
        </w:rPr>
        <w:t>April 26, 2021</w:t>
      </w:r>
      <w:r w:rsidR="00BC783B" w:rsidRPr="00A5708D">
        <w:rPr>
          <w:i/>
          <w:iCs/>
          <w:sz w:val="24"/>
          <w:szCs w:val="24"/>
        </w:rPr>
        <w:t xml:space="preserve">, identify to the Archivist the specific basis for concluding that records (or portions of records) satisfy the standard for continued postponement under section 5(g)(2) (D) of the Act. Thereafter, the Archivist shall recommend to the President, no later than </w:t>
      </w:r>
      <w:r w:rsidR="00BC783B" w:rsidRPr="00A5708D">
        <w:rPr>
          <w:b/>
          <w:bCs/>
          <w:i/>
          <w:iCs/>
          <w:sz w:val="24"/>
          <w:szCs w:val="24"/>
        </w:rPr>
        <w:t>September 26, 2021</w:t>
      </w:r>
      <w:r w:rsidR="00BC783B" w:rsidRPr="00A5708D">
        <w:rPr>
          <w:i/>
          <w:iCs/>
          <w:sz w:val="24"/>
          <w:szCs w:val="24"/>
        </w:rPr>
        <w:t xml:space="preserve">, whether continued withholding from public disclosure of the identified records is warranted after </w:t>
      </w:r>
      <w:r w:rsidR="00BC783B" w:rsidRPr="00A5708D">
        <w:rPr>
          <w:b/>
          <w:bCs/>
          <w:i/>
          <w:iCs/>
          <w:sz w:val="24"/>
          <w:szCs w:val="24"/>
        </w:rPr>
        <w:t>October 26, 2021</w:t>
      </w:r>
      <w:r w:rsidR="00BC783B" w:rsidRPr="0057133D">
        <w:rPr>
          <w:sz w:val="24"/>
          <w:szCs w:val="24"/>
        </w:rPr>
        <w:t>.</w:t>
      </w:r>
      <w:r w:rsidR="00BC4BB7">
        <w:rPr>
          <w:sz w:val="24"/>
          <w:szCs w:val="24"/>
        </w:rPr>
        <w:t xml:space="preserve"> [emphasis added]</w:t>
      </w:r>
    </w:p>
    <w:p w14:paraId="7D1F8226" w14:textId="77777777" w:rsidR="00BC783B" w:rsidRDefault="00BC783B" w:rsidP="00BC783B">
      <w:pPr>
        <w:widowControl/>
        <w:jc w:val="both"/>
        <w:rPr>
          <w:sz w:val="24"/>
          <w:szCs w:val="24"/>
        </w:rPr>
      </w:pPr>
    </w:p>
    <w:p w14:paraId="3CD0D561" w14:textId="77777777" w:rsidR="00BC783B" w:rsidRDefault="00BC783B" w:rsidP="00BC783B">
      <w:pPr>
        <w:widowControl/>
        <w:jc w:val="both"/>
        <w:rPr>
          <w:sz w:val="24"/>
          <w:szCs w:val="24"/>
        </w:rPr>
      </w:pPr>
    </w:p>
    <w:p w14:paraId="5C8B4955" w14:textId="21DE9804" w:rsidR="00BC783B" w:rsidRPr="00476F92" w:rsidRDefault="00476F92" w:rsidP="00476F92">
      <w:pPr>
        <w:pStyle w:val="ListParagraph"/>
        <w:widowControl/>
        <w:numPr>
          <w:ilvl w:val="0"/>
          <w:numId w:val="6"/>
        </w:numPr>
        <w:jc w:val="both"/>
        <w:rPr>
          <w:b/>
          <w:bCs/>
          <w:sz w:val="24"/>
          <w:szCs w:val="24"/>
        </w:rPr>
      </w:pPr>
      <w:r w:rsidRPr="00476F92">
        <w:rPr>
          <w:b/>
          <w:bCs/>
          <w:sz w:val="24"/>
          <w:szCs w:val="24"/>
        </w:rPr>
        <w:t xml:space="preserve">The </w:t>
      </w:r>
      <w:r w:rsidR="009733D5" w:rsidRPr="00476F92">
        <w:rPr>
          <w:b/>
          <w:bCs/>
          <w:sz w:val="24"/>
          <w:szCs w:val="24"/>
        </w:rPr>
        <w:t>Committee</w:t>
      </w:r>
      <w:r w:rsidRPr="00476F92">
        <w:rPr>
          <w:b/>
          <w:bCs/>
          <w:sz w:val="24"/>
          <w:szCs w:val="24"/>
        </w:rPr>
        <w:t xml:space="preserve"> Has Statutory Oversight Authority </w:t>
      </w:r>
    </w:p>
    <w:p w14:paraId="48C63AF4" w14:textId="77777777" w:rsidR="00476F92" w:rsidRDefault="00476F92" w:rsidP="00BC783B">
      <w:pPr>
        <w:widowControl/>
        <w:jc w:val="both"/>
        <w:rPr>
          <w:sz w:val="24"/>
          <w:szCs w:val="24"/>
        </w:rPr>
      </w:pPr>
    </w:p>
    <w:p w14:paraId="6381A48B" w14:textId="5B66A2AA" w:rsidR="00476F92" w:rsidRDefault="00BC783B" w:rsidP="00BC783B">
      <w:pPr>
        <w:widowControl/>
        <w:jc w:val="both"/>
        <w:rPr>
          <w:sz w:val="24"/>
          <w:szCs w:val="24"/>
        </w:rPr>
      </w:pPr>
      <w:r w:rsidRPr="001B5D28">
        <w:rPr>
          <w:sz w:val="24"/>
          <w:szCs w:val="24"/>
        </w:rPr>
        <w:t xml:space="preserve">The </w:t>
      </w:r>
      <w:r>
        <w:rPr>
          <w:sz w:val="24"/>
          <w:szCs w:val="24"/>
        </w:rPr>
        <w:t xml:space="preserve">JFK Act provides that the </w:t>
      </w:r>
      <w:r w:rsidRPr="001B5D28">
        <w:rPr>
          <w:sz w:val="24"/>
          <w:szCs w:val="24"/>
        </w:rPr>
        <w:t>Committee and the</w:t>
      </w:r>
      <w:r>
        <w:rPr>
          <w:sz w:val="24"/>
          <w:szCs w:val="24"/>
        </w:rPr>
        <w:t xml:space="preserve"> Senate </w:t>
      </w:r>
      <w:r w:rsidRPr="001B5D28">
        <w:rPr>
          <w:sz w:val="24"/>
          <w:szCs w:val="24"/>
        </w:rPr>
        <w:t xml:space="preserve">Committee on Governmental Affairs shall have </w:t>
      </w:r>
      <w:r w:rsidRPr="006314BD">
        <w:rPr>
          <w:i/>
          <w:iCs/>
          <w:sz w:val="24"/>
          <w:szCs w:val="24"/>
        </w:rPr>
        <w:t>continuing oversight jurisdiction</w:t>
      </w:r>
      <w:r>
        <w:rPr>
          <w:sz w:val="24"/>
          <w:szCs w:val="24"/>
        </w:rPr>
        <w:t xml:space="preserve"> </w:t>
      </w:r>
      <w:r w:rsidR="006314BD">
        <w:rPr>
          <w:sz w:val="24"/>
          <w:szCs w:val="24"/>
        </w:rPr>
        <w:t xml:space="preserve">over </w:t>
      </w:r>
      <w:r w:rsidRPr="001B5D28">
        <w:rPr>
          <w:sz w:val="24"/>
          <w:szCs w:val="24"/>
        </w:rPr>
        <w:t xml:space="preserve">the </w:t>
      </w:r>
      <w:r>
        <w:rPr>
          <w:sz w:val="24"/>
          <w:szCs w:val="24"/>
        </w:rPr>
        <w:t>d</w:t>
      </w:r>
      <w:r w:rsidRPr="001B5D28">
        <w:rPr>
          <w:sz w:val="24"/>
          <w:szCs w:val="24"/>
        </w:rPr>
        <w:t>isposition of</w:t>
      </w:r>
      <w:r>
        <w:rPr>
          <w:sz w:val="24"/>
          <w:szCs w:val="24"/>
        </w:rPr>
        <w:t xml:space="preserve"> </w:t>
      </w:r>
      <w:r w:rsidRPr="001B5D28">
        <w:rPr>
          <w:sz w:val="24"/>
          <w:szCs w:val="24"/>
        </w:rPr>
        <w:t>postponed records after termination of the</w:t>
      </w:r>
      <w:r>
        <w:rPr>
          <w:sz w:val="24"/>
          <w:szCs w:val="24"/>
        </w:rPr>
        <w:t xml:space="preserve"> </w:t>
      </w:r>
      <w:r w:rsidRPr="001B5D28">
        <w:rPr>
          <w:sz w:val="24"/>
          <w:szCs w:val="24"/>
        </w:rPr>
        <w:t>Review Board</w:t>
      </w:r>
      <w:r>
        <w:rPr>
          <w:sz w:val="24"/>
          <w:szCs w:val="24"/>
        </w:rPr>
        <w:t>.</w:t>
      </w:r>
      <w:r>
        <w:rPr>
          <w:rStyle w:val="FootnoteReference"/>
          <w:sz w:val="24"/>
          <w:szCs w:val="24"/>
        </w:rPr>
        <w:footnoteReference w:id="23"/>
      </w:r>
      <w:r>
        <w:rPr>
          <w:sz w:val="24"/>
          <w:szCs w:val="24"/>
        </w:rPr>
        <w:t xml:space="preserve"> </w:t>
      </w:r>
      <w:r w:rsidR="00476F92">
        <w:rPr>
          <w:sz w:val="24"/>
          <w:szCs w:val="24"/>
        </w:rPr>
        <w:t xml:space="preserve"> Moreover, Section 12(b) of the JFK Act provides that</w:t>
      </w:r>
      <w:r w:rsidR="009733D5">
        <w:rPr>
          <w:sz w:val="24"/>
          <w:szCs w:val="24"/>
        </w:rPr>
        <w:t>:</w:t>
      </w:r>
      <w:r w:rsidR="00476F92">
        <w:rPr>
          <w:sz w:val="24"/>
          <w:szCs w:val="24"/>
        </w:rPr>
        <w:t xml:space="preserve"> </w:t>
      </w:r>
    </w:p>
    <w:p w14:paraId="29D9857A" w14:textId="77777777" w:rsidR="00476F92" w:rsidRDefault="00476F92" w:rsidP="00BC783B">
      <w:pPr>
        <w:widowControl/>
        <w:jc w:val="both"/>
        <w:rPr>
          <w:sz w:val="24"/>
          <w:szCs w:val="24"/>
        </w:rPr>
      </w:pPr>
    </w:p>
    <w:p w14:paraId="18CEC01C" w14:textId="235925A3" w:rsidR="00476F92" w:rsidRDefault="00476F92" w:rsidP="00476F92">
      <w:pPr>
        <w:widowControl/>
        <w:ind w:left="810" w:right="720"/>
        <w:jc w:val="both"/>
        <w:rPr>
          <w:sz w:val="24"/>
          <w:szCs w:val="24"/>
        </w:rPr>
      </w:pPr>
      <w:r w:rsidRPr="00476F92">
        <w:rPr>
          <w:i/>
          <w:iCs/>
          <w:sz w:val="24"/>
          <w:szCs w:val="24"/>
        </w:rPr>
        <w:lastRenderedPageBreak/>
        <w:t xml:space="preserve">The remaining provisions of this Act shall continue in effect until such time as the Archivist certifies to the President and the Congress that all assassination records have been made available to the public in accordance with this </w:t>
      </w:r>
      <w:r w:rsidR="009733D5" w:rsidRPr="00476F92">
        <w:rPr>
          <w:i/>
          <w:iCs/>
          <w:sz w:val="24"/>
          <w:szCs w:val="24"/>
        </w:rPr>
        <w:t>Act.</w:t>
      </w:r>
    </w:p>
    <w:p w14:paraId="51C8B28D" w14:textId="77777777" w:rsidR="00476F92" w:rsidRDefault="00476F92" w:rsidP="00BC783B">
      <w:pPr>
        <w:widowControl/>
        <w:jc w:val="both"/>
        <w:rPr>
          <w:sz w:val="24"/>
          <w:szCs w:val="24"/>
        </w:rPr>
      </w:pPr>
    </w:p>
    <w:p w14:paraId="6689344B" w14:textId="0B7B4DAB" w:rsidR="00BC783B" w:rsidRDefault="00476F92" w:rsidP="00BC783B">
      <w:pPr>
        <w:widowControl/>
        <w:jc w:val="both"/>
        <w:rPr>
          <w:sz w:val="24"/>
          <w:szCs w:val="24"/>
        </w:rPr>
      </w:pPr>
      <w:r>
        <w:rPr>
          <w:sz w:val="24"/>
          <w:szCs w:val="24"/>
        </w:rPr>
        <w:t xml:space="preserve">Since the AARB concluded its work in 1998, the Committee has had  the authority to conduct oversight hearings. Despite the fact that thousands of assassination records continue to be withheld for alleged national security reasons and the agencies requesting postponement have failed to identify the specific harm posed by each postponed record or how these harms outweigh the public interest in disclosure, the Committee has not conducted any hearings </w:t>
      </w:r>
      <w:r w:rsidR="00824FAA">
        <w:rPr>
          <w:sz w:val="24"/>
          <w:szCs w:val="24"/>
        </w:rPr>
        <w:t>or conducted any investigation to determine if the continued withholding of records complies with the JFK Act</w:t>
      </w:r>
      <w:r w:rsidR="00904964">
        <w:rPr>
          <w:sz w:val="24"/>
          <w:szCs w:val="24"/>
        </w:rPr>
        <w:t xml:space="preserve"> much less if the </w:t>
      </w:r>
      <w:r w:rsidR="009733D5">
        <w:rPr>
          <w:sz w:val="24"/>
          <w:szCs w:val="24"/>
        </w:rPr>
        <w:t>postponements</w:t>
      </w:r>
      <w:r w:rsidR="00904964">
        <w:rPr>
          <w:sz w:val="24"/>
          <w:szCs w:val="24"/>
        </w:rPr>
        <w:t xml:space="preserve"> have been based on “</w:t>
      </w:r>
      <w:r w:rsidR="00904964" w:rsidRPr="00904964">
        <w:rPr>
          <w:i/>
          <w:iCs/>
          <w:sz w:val="24"/>
          <w:szCs w:val="24"/>
        </w:rPr>
        <w:t>clear and convincing evidence</w:t>
      </w:r>
      <w:r w:rsidR="00F9726B">
        <w:rPr>
          <w:i/>
          <w:iCs/>
          <w:sz w:val="24"/>
          <w:szCs w:val="24"/>
        </w:rPr>
        <w:t>.</w:t>
      </w:r>
      <w:r w:rsidR="00904964">
        <w:rPr>
          <w:sz w:val="24"/>
          <w:szCs w:val="24"/>
        </w:rPr>
        <w:t>”</w:t>
      </w:r>
      <w:r w:rsidR="00904964">
        <w:rPr>
          <w:rStyle w:val="FootnoteReference"/>
          <w:sz w:val="24"/>
          <w:szCs w:val="24"/>
        </w:rPr>
        <w:footnoteReference w:id="24"/>
      </w:r>
    </w:p>
    <w:p w14:paraId="38A80919" w14:textId="77777777" w:rsidR="00BC783B" w:rsidRDefault="00BC783B" w:rsidP="00BC783B">
      <w:pPr>
        <w:widowControl/>
        <w:jc w:val="both"/>
        <w:rPr>
          <w:sz w:val="24"/>
          <w:szCs w:val="24"/>
        </w:rPr>
      </w:pPr>
    </w:p>
    <w:p w14:paraId="4E920C72" w14:textId="77777777" w:rsidR="00824FAA" w:rsidRPr="00126BCE" w:rsidRDefault="00824FAA" w:rsidP="00476F92">
      <w:pPr>
        <w:pStyle w:val="ListParagraph"/>
        <w:widowControl/>
        <w:numPr>
          <w:ilvl w:val="0"/>
          <w:numId w:val="6"/>
        </w:numPr>
        <w:jc w:val="both"/>
        <w:rPr>
          <w:b/>
          <w:bCs/>
          <w:sz w:val="24"/>
          <w:szCs w:val="24"/>
        </w:rPr>
      </w:pPr>
      <w:r w:rsidRPr="00126BCE">
        <w:rPr>
          <w:b/>
          <w:bCs/>
          <w:sz w:val="24"/>
          <w:szCs w:val="24"/>
        </w:rPr>
        <w:t xml:space="preserve">Both the HOUSE and SENATE have Adopted Resolutions Calling for Release of the Remaining Assassination Records </w:t>
      </w:r>
    </w:p>
    <w:p w14:paraId="5E792877" w14:textId="77777777" w:rsidR="00824FAA" w:rsidRPr="00824FAA" w:rsidRDefault="00824FAA" w:rsidP="00824FAA">
      <w:pPr>
        <w:widowControl/>
        <w:ind w:left="360"/>
        <w:jc w:val="both"/>
        <w:rPr>
          <w:sz w:val="24"/>
          <w:szCs w:val="24"/>
        </w:rPr>
      </w:pPr>
    </w:p>
    <w:p w14:paraId="60A270F4" w14:textId="3DB21DE6" w:rsidR="00824FAA" w:rsidRDefault="00824FAA" w:rsidP="00824FAA">
      <w:pPr>
        <w:widowControl/>
        <w:jc w:val="both"/>
        <w:rPr>
          <w:sz w:val="24"/>
          <w:szCs w:val="24"/>
        </w:rPr>
      </w:pPr>
      <w:r>
        <w:rPr>
          <w:sz w:val="24"/>
          <w:szCs w:val="24"/>
        </w:rPr>
        <w:t xml:space="preserve">On </w:t>
      </w:r>
      <w:r w:rsidRPr="00C3169B">
        <w:rPr>
          <w:b/>
          <w:bCs/>
          <w:sz w:val="24"/>
          <w:szCs w:val="24"/>
        </w:rPr>
        <w:t>October 4, 2017</w:t>
      </w:r>
      <w:r>
        <w:rPr>
          <w:sz w:val="24"/>
          <w:szCs w:val="24"/>
        </w:rPr>
        <w:t>, Senators Ch</w:t>
      </w:r>
      <w:r w:rsidR="006314BD">
        <w:rPr>
          <w:sz w:val="24"/>
          <w:szCs w:val="24"/>
        </w:rPr>
        <w:t xml:space="preserve">arles </w:t>
      </w:r>
      <w:r>
        <w:rPr>
          <w:sz w:val="24"/>
          <w:szCs w:val="24"/>
        </w:rPr>
        <w:t xml:space="preserve">Grassley and </w:t>
      </w:r>
      <w:r w:rsidRPr="00B1618A">
        <w:rPr>
          <w:sz w:val="24"/>
          <w:szCs w:val="24"/>
        </w:rPr>
        <w:t xml:space="preserve">Senator </w:t>
      </w:r>
      <w:r>
        <w:rPr>
          <w:sz w:val="24"/>
          <w:szCs w:val="24"/>
        </w:rPr>
        <w:t xml:space="preserve">Patrick </w:t>
      </w:r>
      <w:r w:rsidRPr="00B1618A">
        <w:rPr>
          <w:sz w:val="24"/>
          <w:szCs w:val="24"/>
        </w:rPr>
        <w:t xml:space="preserve">Leahy </w:t>
      </w:r>
      <w:r>
        <w:rPr>
          <w:sz w:val="24"/>
          <w:szCs w:val="24"/>
        </w:rPr>
        <w:t>co-sponsored a Senate resolution calling for “</w:t>
      </w:r>
      <w:r w:rsidRPr="00C3169B">
        <w:rPr>
          <w:i/>
          <w:iCs/>
          <w:sz w:val="24"/>
          <w:szCs w:val="24"/>
        </w:rPr>
        <w:t>full public disclosure of documents pertaining to the assassination of President John F. Kennedy</w:t>
      </w:r>
      <w:r>
        <w:rPr>
          <w:sz w:val="24"/>
          <w:szCs w:val="24"/>
        </w:rPr>
        <w:t>”</w:t>
      </w:r>
      <w:r>
        <w:rPr>
          <w:rStyle w:val="FootnoteReference"/>
          <w:sz w:val="24"/>
          <w:szCs w:val="24"/>
        </w:rPr>
        <w:footnoteReference w:id="25"/>
      </w:r>
      <w:r>
        <w:rPr>
          <w:sz w:val="24"/>
          <w:szCs w:val="24"/>
        </w:rPr>
        <w:t xml:space="preserve"> An identical resolution was introduced in the House of Representatives at the same time and was referred to the </w:t>
      </w:r>
      <w:r w:rsidRPr="00061FAB">
        <w:rPr>
          <w:sz w:val="24"/>
          <w:szCs w:val="24"/>
        </w:rPr>
        <w:t>Committee</w:t>
      </w:r>
      <w:r>
        <w:rPr>
          <w:sz w:val="24"/>
          <w:szCs w:val="24"/>
        </w:rPr>
        <w:t xml:space="preserve">. Co-sponsors included current chair of the Subcommittee on Government Operations, Congressman </w:t>
      </w:r>
      <w:r w:rsidRPr="00A4447E">
        <w:rPr>
          <w:sz w:val="24"/>
          <w:szCs w:val="24"/>
        </w:rPr>
        <w:t>Gerald Connolly.</w:t>
      </w:r>
      <w:r>
        <w:rPr>
          <w:rStyle w:val="FootnoteReference"/>
          <w:sz w:val="24"/>
          <w:szCs w:val="24"/>
        </w:rPr>
        <w:footnoteReference w:id="26"/>
      </w:r>
    </w:p>
    <w:p w14:paraId="52D41DA0" w14:textId="77777777" w:rsidR="00824FAA" w:rsidRDefault="00824FAA" w:rsidP="00824FAA">
      <w:pPr>
        <w:widowControl/>
        <w:jc w:val="both"/>
        <w:rPr>
          <w:sz w:val="24"/>
          <w:szCs w:val="24"/>
        </w:rPr>
      </w:pPr>
    </w:p>
    <w:p w14:paraId="2E816CED" w14:textId="77777777" w:rsidR="00824FAA" w:rsidRDefault="00824FAA" w:rsidP="00824FAA">
      <w:pPr>
        <w:widowControl/>
        <w:jc w:val="both"/>
        <w:rPr>
          <w:sz w:val="24"/>
          <w:szCs w:val="24"/>
        </w:rPr>
      </w:pPr>
      <w:r>
        <w:rPr>
          <w:sz w:val="24"/>
          <w:szCs w:val="24"/>
        </w:rPr>
        <w:t xml:space="preserve">In sponsoring the House Resolution, Congressman Walter B. Jones said: </w:t>
      </w:r>
    </w:p>
    <w:p w14:paraId="78A39B60" w14:textId="77777777" w:rsidR="009733D5" w:rsidRDefault="009733D5" w:rsidP="00824FAA">
      <w:pPr>
        <w:widowControl/>
        <w:ind w:left="720" w:right="720"/>
        <w:jc w:val="both"/>
        <w:rPr>
          <w:sz w:val="24"/>
          <w:szCs w:val="24"/>
        </w:rPr>
      </w:pPr>
    </w:p>
    <w:p w14:paraId="4AE80085" w14:textId="2431711A" w:rsidR="00824FAA" w:rsidRDefault="00824FAA" w:rsidP="00824FAA">
      <w:pPr>
        <w:widowControl/>
        <w:ind w:left="720" w:right="720"/>
        <w:jc w:val="both"/>
        <w:rPr>
          <w:sz w:val="24"/>
          <w:szCs w:val="24"/>
        </w:rPr>
      </w:pPr>
      <w:r w:rsidRPr="00A4447E">
        <w:rPr>
          <w:i/>
          <w:iCs/>
          <w:sz w:val="24"/>
          <w:szCs w:val="24"/>
        </w:rPr>
        <w:t>After 54 years, there is no reason, for the sake of honesty and integrity in America, that the facts of the JFK assassination should not be made public. Virgil once said, ‘Evil is nourished and grows by concealment.’ It’s time to reveal what happened that awful afternoon in 1963</w:t>
      </w:r>
      <w:r w:rsidR="008804E2">
        <w:rPr>
          <w:i/>
          <w:iCs/>
          <w:sz w:val="24"/>
          <w:szCs w:val="24"/>
        </w:rPr>
        <w:t>.</w:t>
      </w:r>
    </w:p>
    <w:p w14:paraId="5EF11EF8" w14:textId="77777777" w:rsidR="00824FAA" w:rsidRPr="00824FAA" w:rsidRDefault="00824FAA" w:rsidP="00824FAA">
      <w:pPr>
        <w:widowControl/>
        <w:ind w:left="360"/>
        <w:jc w:val="both"/>
        <w:rPr>
          <w:sz w:val="24"/>
          <w:szCs w:val="24"/>
        </w:rPr>
      </w:pPr>
    </w:p>
    <w:p w14:paraId="3E091074" w14:textId="3D2AFCA2" w:rsidR="00476F92" w:rsidRPr="00476F92" w:rsidRDefault="00824FAA" w:rsidP="00476F92">
      <w:pPr>
        <w:pStyle w:val="ListParagraph"/>
        <w:widowControl/>
        <w:numPr>
          <w:ilvl w:val="0"/>
          <w:numId w:val="6"/>
        </w:numPr>
        <w:jc w:val="both"/>
        <w:rPr>
          <w:sz w:val="24"/>
          <w:szCs w:val="24"/>
        </w:rPr>
      </w:pPr>
      <w:r w:rsidRPr="00126BCE">
        <w:rPr>
          <w:b/>
          <w:bCs/>
          <w:sz w:val="24"/>
          <w:szCs w:val="24"/>
        </w:rPr>
        <w:t>Continued Withholding of Assassination Records Violates Other Government Policies Adopted Since the Passage of the JFK Act</w:t>
      </w:r>
      <w:r>
        <w:rPr>
          <w:sz w:val="24"/>
          <w:szCs w:val="24"/>
        </w:rPr>
        <w:t xml:space="preserve">. </w:t>
      </w:r>
    </w:p>
    <w:p w14:paraId="45314CA3" w14:textId="77777777" w:rsidR="00476F92" w:rsidRDefault="00476F92" w:rsidP="00BC783B">
      <w:pPr>
        <w:widowControl/>
        <w:jc w:val="both"/>
        <w:rPr>
          <w:sz w:val="24"/>
          <w:szCs w:val="24"/>
        </w:rPr>
      </w:pPr>
    </w:p>
    <w:p w14:paraId="01F385C1" w14:textId="00F61E54" w:rsidR="003D4FA6" w:rsidRDefault="00BC783B" w:rsidP="00BC783B">
      <w:pPr>
        <w:widowControl/>
        <w:jc w:val="both"/>
        <w:rPr>
          <w:sz w:val="24"/>
          <w:szCs w:val="24"/>
        </w:rPr>
      </w:pPr>
      <w:r>
        <w:rPr>
          <w:sz w:val="24"/>
          <w:szCs w:val="24"/>
        </w:rPr>
        <w:lastRenderedPageBreak/>
        <w:t xml:space="preserve">Since the JFK Act was enacted, there has been </w:t>
      </w:r>
      <w:r w:rsidRPr="00CC25AF">
        <w:rPr>
          <w:sz w:val="24"/>
          <w:szCs w:val="24"/>
        </w:rPr>
        <w:t>widespread, bipartisan recognition that the</w:t>
      </w:r>
      <w:r>
        <w:rPr>
          <w:sz w:val="24"/>
          <w:szCs w:val="24"/>
        </w:rPr>
        <w:t xml:space="preserve"> federal g</w:t>
      </w:r>
      <w:r w:rsidRPr="00CC25AF">
        <w:rPr>
          <w:sz w:val="24"/>
          <w:szCs w:val="24"/>
        </w:rPr>
        <w:t>overnment classif</w:t>
      </w:r>
      <w:r>
        <w:rPr>
          <w:sz w:val="24"/>
          <w:szCs w:val="24"/>
        </w:rPr>
        <w:t>i</w:t>
      </w:r>
      <w:r w:rsidRPr="00CC25AF">
        <w:rPr>
          <w:sz w:val="24"/>
          <w:szCs w:val="24"/>
        </w:rPr>
        <w:t>es too much information for too</w:t>
      </w:r>
      <w:r>
        <w:rPr>
          <w:sz w:val="24"/>
          <w:szCs w:val="24"/>
        </w:rPr>
        <w:t xml:space="preserve"> </w:t>
      </w:r>
      <w:r w:rsidRPr="00CC25AF">
        <w:rPr>
          <w:sz w:val="24"/>
          <w:szCs w:val="24"/>
        </w:rPr>
        <w:t>long, at great and unnecessary cost to taxpayers</w:t>
      </w:r>
      <w:r>
        <w:rPr>
          <w:sz w:val="24"/>
          <w:szCs w:val="24"/>
        </w:rPr>
        <w:t xml:space="preserve">. </w:t>
      </w:r>
      <w:r w:rsidR="004E6969">
        <w:rPr>
          <w:rStyle w:val="FootnoteReference"/>
          <w:sz w:val="24"/>
          <w:szCs w:val="24"/>
        </w:rPr>
        <w:footnoteReference w:id="27"/>
      </w:r>
    </w:p>
    <w:p w14:paraId="32B0E8FF" w14:textId="77777777" w:rsidR="003D4FA6" w:rsidRDefault="003D4FA6" w:rsidP="00BC783B">
      <w:pPr>
        <w:widowControl/>
        <w:jc w:val="both"/>
        <w:rPr>
          <w:sz w:val="24"/>
          <w:szCs w:val="24"/>
        </w:rPr>
      </w:pPr>
    </w:p>
    <w:p w14:paraId="2171D47B" w14:textId="765EECD7" w:rsidR="00BC783B" w:rsidRDefault="00BC783B" w:rsidP="00BC783B">
      <w:pPr>
        <w:widowControl/>
        <w:jc w:val="both"/>
        <w:rPr>
          <w:sz w:val="24"/>
          <w:szCs w:val="24"/>
        </w:rPr>
      </w:pPr>
      <w:r>
        <w:rPr>
          <w:sz w:val="24"/>
          <w:szCs w:val="24"/>
        </w:rPr>
        <w:t xml:space="preserve">In 2000, Congress established the </w:t>
      </w:r>
      <w:r w:rsidRPr="000D265F">
        <w:rPr>
          <w:sz w:val="24"/>
          <w:szCs w:val="24"/>
        </w:rPr>
        <w:t xml:space="preserve">Public Interest Declassification Board (PIDB) </w:t>
      </w:r>
      <w:r>
        <w:rPr>
          <w:rStyle w:val="FootnoteReference"/>
          <w:sz w:val="24"/>
          <w:szCs w:val="24"/>
        </w:rPr>
        <w:footnoteReference w:id="28"/>
      </w:r>
      <w:r>
        <w:rPr>
          <w:sz w:val="24"/>
          <w:szCs w:val="24"/>
        </w:rPr>
        <w:t xml:space="preserve"> </w:t>
      </w:r>
      <w:r w:rsidRPr="000D265F">
        <w:rPr>
          <w:sz w:val="24"/>
          <w:szCs w:val="24"/>
        </w:rPr>
        <w:t>“</w:t>
      </w:r>
      <w:r w:rsidRPr="000D265F">
        <w:rPr>
          <w:i/>
          <w:iCs/>
          <w:sz w:val="24"/>
          <w:szCs w:val="24"/>
        </w:rPr>
        <w:t>to promote the fullest possible public access to a thorough, accurate, and reliable documentary record of significant U.S. national security decisions and activities</w:t>
      </w:r>
      <w:r>
        <w:rPr>
          <w:sz w:val="24"/>
          <w:szCs w:val="24"/>
        </w:rPr>
        <w:t xml:space="preserve">.” Since 2008, the PIDB has issued a number of reports and recommendations that call for </w:t>
      </w:r>
      <w:r w:rsidRPr="00627816">
        <w:rPr>
          <w:sz w:val="24"/>
          <w:szCs w:val="24"/>
        </w:rPr>
        <w:t>Government-wide reform of the nation’s classification and declassification system</w:t>
      </w:r>
      <w:r>
        <w:rPr>
          <w:sz w:val="24"/>
          <w:szCs w:val="24"/>
        </w:rPr>
        <w:t>.</w:t>
      </w:r>
      <w:r>
        <w:rPr>
          <w:rStyle w:val="FootnoteReference"/>
          <w:sz w:val="24"/>
          <w:szCs w:val="24"/>
        </w:rPr>
        <w:footnoteReference w:id="29"/>
      </w:r>
      <w:r>
        <w:rPr>
          <w:sz w:val="24"/>
          <w:szCs w:val="24"/>
        </w:rPr>
        <w:t xml:space="preserve"> </w:t>
      </w:r>
    </w:p>
    <w:p w14:paraId="26F148B4" w14:textId="77777777" w:rsidR="00BC783B" w:rsidRDefault="00BC783B" w:rsidP="00BC783B">
      <w:pPr>
        <w:widowControl/>
        <w:jc w:val="both"/>
        <w:rPr>
          <w:sz w:val="24"/>
          <w:szCs w:val="24"/>
        </w:rPr>
      </w:pPr>
    </w:p>
    <w:p w14:paraId="117EE8F3" w14:textId="3E3AA6DF" w:rsidR="00BC783B" w:rsidRDefault="00473308" w:rsidP="00BC783B">
      <w:pPr>
        <w:widowControl/>
        <w:jc w:val="both"/>
        <w:rPr>
          <w:sz w:val="24"/>
          <w:szCs w:val="24"/>
        </w:rPr>
      </w:pPr>
      <w:r>
        <w:rPr>
          <w:sz w:val="24"/>
          <w:szCs w:val="24"/>
        </w:rPr>
        <w:t xml:space="preserve">A recurring theme in </w:t>
      </w:r>
      <w:r w:rsidR="003D4FA6">
        <w:rPr>
          <w:sz w:val="24"/>
          <w:szCs w:val="24"/>
        </w:rPr>
        <w:t xml:space="preserve">the PIDB Reports </w:t>
      </w:r>
      <w:r w:rsidR="00BC783B">
        <w:rPr>
          <w:sz w:val="24"/>
          <w:szCs w:val="24"/>
        </w:rPr>
        <w:t>is to p</w:t>
      </w:r>
      <w:r w:rsidR="00BC783B" w:rsidRPr="00A62993">
        <w:rPr>
          <w:sz w:val="24"/>
          <w:szCs w:val="24"/>
        </w:rPr>
        <w:t xml:space="preserve">rioritize </w:t>
      </w:r>
      <w:r w:rsidR="00BC783B">
        <w:rPr>
          <w:sz w:val="24"/>
          <w:szCs w:val="24"/>
        </w:rPr>
        <w:t>and simpl</w:t>
      </w:r>
      <w:r w:rsidR="00734B8D">
        <w:rPr>
          <w:sz w:val="24"/>
          <w:szCs w:val="24"/>
        </w:rPr>
        <w:t>if</w:t>
      </w:r>
      <w:r w:rsidR="00BC783B">
        <w:rPr>
          <w:sz w:val="24"/>
          <w:szCs w:val="24"/>
        </w:rPr>
        <w:t xml:space="preserve">y the </w:t>
      </w:r>
      <w:r w:rsidR="00BC783B" w:rsidRPr="00A62993">
        <w:rPr>
          <w:sz w:val="24"/>
          <w:szCs w:val="24"/>
        </w:rPr>
        <w:t>declassi</w:t>
      </w:r>
      <w:r w:rsidR="00BC783B">
        <w:rPr>
          <w:sz w:val="24"/>
          <w:szCs w:val="24"/>
        </w:rPr>
        <w:t>fi</w:t>
      </w:r>
      <w:r w:rsidR="00BC783B" w:rsidRPr="00A62993">
        <w:rPr>
          <w:sz w:val="24"/>
          <w:szCs w:val="24"/>
        </w:rPr>
        <w:t xml:space="preserve">cation of records of major historical </w:t>
      </w:r>
      <w:r w:rsidR="00BC783B">
        <w:rPr>
          <w:sz w:val="24"/>
          <w:szCs w:val="24"/>
        </w:rPr>
        <w:t>significance.</w:t>
      </w:r>
      <w:r w:rsidR="003D4FA6">
        <w:rPr>
          <w:sz w:val="24"/>
          <w:szCs w:val="24"/>
        </w:rPr>
        <w:t xml:space="preserve"> A</w:t>
      </w:r>
      <w:r w:rsidR="00BC783B">
        <w:rPr>
          <w:sz w:val="24"/>
          <w:szCs w:val="24"/>
        </w:rPr>
        <w:t xml:space="preserve">t many of PIDB </w:t>
      </w:r>
      <w:r w:rsidR="00BC783B" w:rsidRPr="00A85E3D">
        <w:rPr>
          <w:sz w:val="24"/>
          <w:szCs w:val="24"/>
        </w:rPr>
        <w:t xml:space="preserve">Board meetings, there have been continued and prominent calls and suggestions from researchers that the PIDB and </w:t>
      </w:r>
      <w:r w:rsidRPr="00473308">
        <w:rPr>
          <w:sz w:val="24"/>
          <w:szCs w:val="24"/>
        </w:rPr>
        <w:t xml:space="preserve">National </w:t>
      </w:r>
      <w:r w:rsidR="00611B82" w:rsidRPr="00473308">
        <w:rPr>
          <w:sz w:val="24"/>
          <w:szCs w:val="24"/>
        </w:rPr>
        <w:t>Declassification</w:t>
      </w:r>
      <w:r w:rsidRPr="00473308">
        <w:rPr>
          <w:sz w:val="24"/>
          <w:szCs w:val="24"/>
        </w:rPr>
        <w:t xml:space="preserve"> Center</w:t>
      </w:r>
      <w:r>
        <w:rPr>
          <w:sz w:val="24"/>
          <w:szCs w:val="24"/>
        </w:rPr>
        <w:t xml:space="preserve"> (</w:t>
      </w:r>
      <w:r w:rsidR="00BC783B" w:rsidRPr="00A85E3D">
        <w:rPr>
          <w:sz w:val="24"/>
          <w:szCs w:val="24"/>
        </w:rPr>
        <w:t>NDC</w:t>
      </w:r>
      <w:r>
        <w:rPr>
          <w:sz w:val="24"/>
          <w:szCs w:val="24"/>
        </w:rPr>
        <w:t>)</w:t>
      </w:r>
      <w:r w:rsidR="00BC783B" w:rsidRPr="00A85E3D">
        <w:rPr>
          <w:sz w:val="24"/>
          <w:szCs w:val="24"/>
        </w:rPr>
        <w:t xml:space="preserve"> review </w:t>
      </w:r>
      <w:r w:rsidR="00BC783B">
        <w:rPr>
          <w:sz w:val="24"/>
          <w:szCs w:val="24"/>
        </w:rPr>
        <w:t xml:space="preserve">the postponed JFK Records. </w:t>
      </w:r>
      <w:r w:rsidR="003D4FA6">
        <w:rPr>
          <w:sz w:val="24"/>
          <w:szCs w:val="24"/>
        </w:rPr>
        <w:t>Indeed</w:t>
      </w:r>
      <w:r w:rsidR="00BC783B">
        <w:rPr>
          <w:sz w:val="24"/>
          <w:szCs w:val="24"/>
        </w:rPr>
        <w:t xml:space="preserve">, when the PIDB asked for recommendations on priorities of records older than 25 years, 12 of the 13 comments were about declassifying the records related to the assassination </w:t>
      </w:r>
      <w:r w:rsidR="00BC783B" w:rsidRPr="00627816">
        <w:rPr>
          <w:sz w:val="24"/>
          <w:szCs w:val="24"/>
        </w:rPr>
        <w:t>of President Kennedy</w:t>
      </w:r>
      <w:r w:rsidR="00BC783B">
        <w:rPr>
          <w:sz w:val="24"/>
          <w:szCs w:val="24"/>
        </w:rPr>
        <w:t>.</w:t>
      </w:r>
      <w:r w:rsidR="00BC783B">
        <w:rPr>
          <w:rStyle w:val="FootnoteReference"/>
          <w:sz w:val="24"/>
          <w:szCs w:val="24"/>
        </w:rPr>
        <w:footnoteReference w:id="30"/>
      </w:r>
    </w:p>
    <w:p w14:paraId="5CADA884" w14:textId="77777777" w:rsidR="00E349CD" w:rsidRDefault="00E349CD" w:rsidP="00BC783B">
      <w:pPr>
        <w:widowControl/>
        <w:jc w:val="both"/>
        <w:rPr>
          <w:sz w:val="24"/>
          <w:szCs w:val="24"/>
        </w:rPr>
      </w:pPr>
    </w:p>
    <w:p w14:paraId="7756DF55" w14:textId="74542F76" w:rsidR="00637FA4" w:rsidRDefault="00637FA4" w:rsidP="00BC783B">
      <w:pPr>
        <w:widowControl/>
        <w:jc w:val="both"/>
        <w:rPr>
          <w:sz w:val="24"/>
          <w:szCs w:val="24"/>
        </w:rPr>
      </w:pPr>
      <w:r>
        <w:rPr>
          <w:sz w:val="24"/>
          <w:szCs w:val="24"/>
        </w:rPr>
        <w:t xml:space="preserve">After President Trump’s April 26, 2018 memorandum certifying withholding of JFK Records until </w:t>
      </w:r>
      <w:r w:rsidRPr="00473308">
        <w:rPr>
          <w:b/>
          <w:bCs/>
          <w:sz w:val="24"/>
          <w:szCs w:val="24"/>
        </w:rPr>
        <w:t>October 26, 2017</w:t>
      </w:r>
      <w:r>
        <w:rPr>
          <w:sz w:val="24"/>
          <w:szCs w:val="24"/>
        </w:rPr>
        <w:t>, the PIDB Blog said:</w:t>
      </w:r>
    </w:p>
    <w:p w14:paraId="7D49CC32" w14:textId="77777777" w:rsidR="00637FA4" w:rsidRDefault="00637FA4" w:rsidP="00BC783B">
      <w:pPr>
        <w:widowControl/>
        <w:jc w:val="both"/>
        <w:rPr>
          <w:sz w:val="24"/>
          <w:szCs w:val="24"/>
        </w:rPr>
      </w:pPr>
    </w:p>
    <w:p w14:paraId="54D6B731" w14:textId="7FA05A8D" w:rsidR="00637FA4" w:rsidRDefault="00637FA4" w:rsidP="00637FA4">
      <w:pPr>
        <w:widowControl/>
        <w:ind w:left="720" w:right="810"/>
        <w:jc w:val="both"/>
        <w:rPr>
          <w:sz w:val="24"/>
          <w:szCs w:val="24"/>
        </w:rPr>
      </w:pPr>
      <w:r w:rsidRPr="00637FA4">
        <w:rPr>
          <w:i/>
          <w:iCs/>
          <w:sz w:val="24"/>
          <w:szCs w:val="24"/>
        </w:rPr>
        <w:t xml:space="preserve"> we must note disappointment</w:t>
      </w:r>
      <w:r>
        <w:rPr>
          <w:sz w:val="24"/>
          <w:szCs w:val="24"/>
        </w:rPr>
        <w:t xml:space="preserve"> </w:t>
      </w:r>
      <w:r w:rsidR="000E740E">
        <w:rPr>
          <w:sz w:val="24"/>
          <w:szCs w:val="24"/>
        </w:rPr>
        <w:t xml:space="preserve">[with the] </w:t>
      </w:r>
      <w:r w:rsidRPr="00637FA4">
        <w:rPr>
          <w:b/>
          <w:bCs/>
          <w:i/>
          <w:iCs/>
          <w:sz w:val="24"/>
          <w:szCs w:val="24"/>
        </w:rPr>
        <w:t>failure of the responsible agencies to meet the legal requirements set by the President John F. Kennedy Assassination Records Collection Act of 1992</w:t>
      </w:r>
      <w:r>
        <w:rPr>
          <w:b/>
          <w:bCs/>
          <w:i/>
          <w:iCs/>
          <w:sz w:val="24"/>
          <w:szCs w:val="24"/>
        </w:rPr>
        <w:t>…</w:t>
      </w:r>
      <w:r>
        <w:rPr>
          <w:sz w:val="24"/>
          <w:szCs w:val="24"/>
        </w:rPr>
        <w:t>.</w:t>
      </w:r>
      <w:r w:rsidRPr="00637FA4">
        <w:rPr>
          <w:sz w:val="24"/>
          <w:szCs w:val="24"/>
        </w:rPr>
        <w:t xml:space="preserve"> </w:t>
      </w:r>
      <w:r w:rsidRPr="00637FA4">
        <w:rPr>
          <w:i/>
          <w:iCs/>
          <w:sz w:val="24"/>
          <w:szCs w:val="24"/>
        </w:rPr>
        <w:t xml:space="preserve">with the 25 years of advance notice afforded by the 1992 Act, it is difficult now to understand </w:t>
      </w:r>
      <w:r w:rsidRPr="00637FA4">
        <w:rPr>
          <w:b/>
          <w:bCs/>
          <w:i/>
          <w:iCs/>
          <w:sz w:val="24"/>
          <w:szCs w:val="24"/>
        </w:rPr>
        <w:t>why the October 26 deadline passed largely unmet</w:t>
      </w:r>
      <w:r w:rsidRPr="00637FA4">
        <w:rPr>
          <w:i/>
          <w:iCs/>
          <w:sz w:val="24"/>
          <w:szCs w:val="24"/>
        </w:rPr>
        <w:t>. Certainly, there will be no excuse for a failure by any agency to meet the extended deadline of April 26, 2018, set by the President. The American public deserves no less.  We look forward to the completion of the re-</w:t>
      </w:r>
      <w:r w:rsidRPr="00637FA4">
        <w:rPr>
          <w:i/>
          <w:iCs/>
          <w:sz w:val="24"/>
          <w:szCs w:val="24"/>
        </w:rPr>
        <w:lastRenderedPageBreak/>
        <w:t>review process that the President has directed and will continue monitoring the release of these records of high historical significance</w:t>
      </w:r>
      <w:r w:rsidRPr="00637FA4">
        <w:rPr>
          <w:sz w:val="24"/>
          <w:szCs w:val="24"/>
        </w:rPr>
        <w:t>.</w:t>
      </w:r>
      <w:r>
        <w:rPr>
          <w:rStyle w:val="FootnoteReference"/>
          <w:sz w:val="24"/>
          <w:szCs w:val="24"/>
        </w:rPr>
        <w:footnoteReference w:id="31"/>
      </w:r>
      <w:r>
        <w:rPr>
          <w:sz w:val="24"/>
          <w:szCs w:val="24"/>
        </w:rPr>
        <w:t xml:space="preserve"> [emphasis added]</w:t>
      </w:r>
    </w:p>
    <w:p w14:paraId="4CBB77A9" w14:textId="77777777" w:rsidR="00BC783B" w:rsidRDefault="00BC783B" w:rsidP="00BC783B">
      <w:pPr>
        <w:widowControl/>
        <w:jc w:val="both"/>
        <w:rPr>
          <w:sz w:val="24"/>
          <w:szCs w:val="24"/>
        </w:rPr>
      </w:pPr>
    </w:p>
    <w:p w14:paraId="12D2CA48" w14:textId="2856160C" w:rsidR="00BC783B" w:rsidRDefault="00BC783B" w:rsidP="00BC783B">
      <w:pPr>
        <w:widowControl/>
        <w:jc w:val="both"/>
        <w:rPr>
          <w:sz w:val="24"/>
          <w:szCs w:val="24"/>
        </w:rPr>
      </w:pPr>
      <w:r>
        <w:rPr>
          <w:sz w:val="24"/>
          <w:szCs w:val="24"/>
        </w:rPr>
        <w:t xml:space="preserve">On his first day in office, President Obama </w:t>
      </w:r>
      <w:r w:rsidRPr="00CC25AF">
        <w:rPr>
          <w:sz w:val="24"/>
          <w:szCs w:val="24"/>
        </w:rPr>
        <w:t xml:space="preserve"> </w:t>
      </w:r>
      <w:r w:rsidRPr="004F73B0">
        <w:rPr>
          <w:sz w:val="24"/>
          <w:szCs w:val="24"/>
        </w:rPr>
        <w:t>issued a memorandum to the heads of all departments and agencies on the Freedom of Information Act</w:t>
      </w:r>
      <w:r w:rsidR="00EF2D9B">
        <w:rPr>
          <w:rStyle w:val="FootnoteReference"/>
          <w:sz w:val="24"/>
          <w:szCs w:val="24"/>
        </w:rPr>
        <w:footnoteReference w:id="32"/>
      </w:r>
      <w:r w:rsidRPr="004F73B0">
        <w:rPr>
          <w:sz w:val="24"/>
          <w:szCs w:val="24"/>
        </w:rPr>
        <w:t xml:space="preserve"> (</w:t>
      </w:r>
      <w:r w:rsidR="00E147A7">
        <w:rPr>
          <w:sz w:val="24"/>
          <w:szCs w:val="24"/>
        </w:rPr>
        <w:t>“</w:t>
      </w:r>
      <w:r w:rsidRPr="004F73B0">
        <w:rPr>
          <w:sz w:val="24"/>
          <w:szCs w:val="24"/>
        </w:rPr>
        <w:t>FOIA</w:t>
      </w:r>
      <w:r w:rsidR="00E147A7">
        <w:rPr>
          <w:sz w:val="24"/>
          <w:szCs w:val="24"/>
        </w:rPr>
        <w:t xml:space="preserve"> Memo”</w:t>
      </w:r>
      <w:r w:rsidRPr="004F73B0">
        <w:rPr>
          <w:sz w:val="24"/>
          <w:szCs w:val="24"/>
        </w:rPr>
        <w:t>) direct</w:t>
      </w:r>
      <w:r>
        <w:rPr>
          <w:sz w:val="24"/>
          <w:szCs w:val="24"/>
        </w:rPr>
        <w:t>ing</w:t>
      </w:r>
      <w:r w:rsidRPr="004F73B0">
        <w:rPr>
          <w:sz w:val="24"/>
          <w:szCs w:val="24"/>
        </w:rPr>
        <w:t xml:space="preserve"> that </w:t>
      </w:r>
      <w:r>
        <w:rPr>
          <w:sz w:val="24"/>
          <w:szCs w:val="24"/>
        </w:rPr>
        <w:t xml:space="preserve">agencies should act </w:t>
      </w:r>
      <w:r w:rsidR="009733D5">
        <w:rPr>
          <w:sz w:val="24"/>
          <w:szCs w:val="24"/>
        </w:rPr>
        <w:t xml:space="preserve">with a </w:t>
      </w:r>
      <w:r w:rsidRPr="004F73B0">
        <w:rPr>
          <w:sz w:val="24"/>
          <w:szCs w:val="24"/>
        </w:rPr>
        <w:t xml:space="preserve">clear presumption </w:t>
      </w:r>
      <w:r>
        <w:rPr>
          <w:sz w:val="24"/>
          <w:szCs w:val="24"/>
        </w:rPr>
        <w:t xml:space="preserve">of transparency. </w:t>
      </w:r>
      <w:r w:rsidR="00E349CD" w:rsidRPr="00E349CD">
        <w:rPr>
          <w:sz w:val="24"/>
          <w:szCs w:val="24"/>
        </w:rPr>
        <w:t>The</w:t>
      </w:r>
      <w:r w:rsidR="00E349CD">
        <w:rPr>
          <w:sz w:val="24"/>
          <w:szCs w:val="24"/>
        </w:rPr>
        <w:t xml:space="preserve"> </w:t>
      </w:r>
      <w:r w:rsidR="00E349CD" w:rsidRPr="00E349CD">
        <w:rPr>
          <w:sz w:val="24"/>
          <w:szCs w:val="24"/>
        </w:rPr>
        <w:t xml:space="preserve">President </w:t>
      </w:r>
      <w:r w:rsidR="00A73ACC">
        <w:rPr>
          <w:sz w:val="24"/>
          <w:szCs w:val="24"/>
        </w:rPr>
        <w:t xml:space="preserve">instructed </w:t>
      </w:r>
      <w:r w:rsidR="00E349CD" w:rsidRPr="00E349CD">
        <w:rPr>
          <w:sz w:val="24"/>
          <w:szCs w:val="24"/>
        </w:rPr>
        <w:t>departments and agencies not to withhold information</w:t>
      </w:r>
      <w:r w:rsidR="00E349CD">
        <w:rPr>
          <w:sz w:val="24"/>
          <w:szCs w:val="24"/>
        </w:rPr>
        <w:t xml:space="preserve">: </w:t>
      </w:r>
    </w:p>
    <w:p w14:paraId="25CCE093" w14:textId="77777777" w:rsidR="00E349CD" w:rsidRDefault="00E349CD" w:rsidP="00BC783B">
      <w:pPr>
        <w:widowControl/>
        <w:ind w:left="810" w:right="720"/>
        <w:jc w:val="both"/>
        <w:rPr>
          <w:i/>
          <w:iCs/>
          <w:sz w:val="24"/>
          <w:szCs w:val="24"/>
        </w:rPr>
      </w:pPr>
    </w:p>
    <w:p w14:paraId="3BA6E0D5" w14:textId="63EACC80" w:rsidR="00BC783B" w:rsidRPr="003757C7" w:rsidRDefault="00BC783B" w:rsidP="00BC783B">
      <w:pPr>
        <w:widowControl/>
        <w:ind w:left="810" w:right="720"/>
        <w:jc w:val="both"/>
        <w:rPr>
          <w:sz w:val="24"/>
          <w:szCs w:val="24"/>
        </w:rPr>
      </w:pPr>
      <w:r w:rsidRPr="00C3169B">
        <w:rPr>
          <w:i/>
          <w:iCs/>
          <w:sz w:val="24"/>
          <w:szCs w:val="24"/>
        </w:rPr>
        <w:t>merely because "public officials might be embarrassed by disclosure, because errors and failures might be revealed, or because of speculative or abstract fears</w:t>
      </w:r>
      <w:r w:rsidRPr="003757C7">
        <w:rPr>
          <w:sz w:val="24"/>
          <w:szCs w:val="24"/>
        </w:rPr>
        <w:t>.</w:t>
      </w:r>
      <w:r w:rsidR="00B16CB5">
        <w:rPr>
          <w:rStyle w:val="FootnoteReference"/>
          <w:sz w:val="24"/>
          <w:szCs w:val="24"/>
        </w:rPr>
        <w:footnoteReference w:id="33"/>
      </w:r>
    </w:p>
    <w:p w14:paraId="0C0C1975" w14:textId="41B43E1D" w:rsidR="00BC783B" w:rsidRDefault="00BC783B" w:rsidP="00BC783B">
      <w:pPr>
        <w:widowControl/>
        <w:jc w:val="both"/>
        <w:rPr>
          <w:sz w:val="24"/>
          <w:szCs w:val="24"/>
        </w:rPr>
      </w:pPr>
    </w:p>
    <w:p w14:paraId="5156AF0D" w14:textId="50FA5025" w:rsidR="00E349CD" w:rsidRDefault="00E349CD" w:rsidP="00E349CD">
      <w:pPr>
        <w:widowControl/>
        <w:jc w:val="both"/>
        <w:rPr>
          <w:sz w:val="24"/>
          <w:szCs w:val="24"/>
        </w:rPr>
      </w:pPr>
      <w:r>
        <w:rPr>
          <w:sz w:val="24"/>
          <w:szCs w:val="24"/>
        </w:rPr>
        <w:t xml:space="preserve">The President also </w:t>
      </w:r>
      <w:r w:rsidR="00A73ACC">
        <w:rPr>
          <w:sz w:val="24"/>
          <w:szCs w:val="24"/>
        </w:rPr>
        <w:t xml:space="preserve">required </w:t>
      </w:r>
      <w:r w:rsidRPr="00E349CD">
        <w:rPr>
          <w:sz w:val="24"/>
          <w:szCs w:val="24"/>
        </w:rPr>
        <w:t>agencies</w:t>
      </w:r>
      <w:r>
        <w:rPr>
          <w:sz w:val="24"/>
          <w:szCs w:val="24"/>
        </w:rPr>
        <w:t xml:space="preserve"> </w:t>
      </w:r>
      <w:r w:rsidRPr="00E349CD">
        <w:rPr>
          <w:sz w:val="24"/>
          <w:szCs w:val="24"/>
        </w:rPr>
        <w:t xml:space="preserve">to respond </w:t>
      </w:r>
      <w:r w:rsidR="00A73ACC">
        <w:rPr>
          <w:sz w:val="24"/>
          <w:szCs w:val="24"/>
        </w:rPr>
        <w:t xml:space="preserve">to FOIA requests </w:t>
      </w:r>
      <w:r w:rsidRPr="00E349CD">
        <w:rPr>
          <w:sz w:val="24"/>
          <w:szCs w:val="24"/>
        </w:rPr>
        <w:t>"</w:t>
      </w:r>
      <w:r w:rsidRPr="00E349CD">
        <w:rPr>
          <w:i/>
          <w:iCs/>
          <w:sz w:val="24"/>
          <w:szCs w:val="24"/>
        </w:rPr>
        <w:t>promptly and in a spirit of cooperation</w:t>
      </w:r>
      <w:r w:rsidR="00A73ACC">
        <w:rPr>
          <w:i/>
          <w:iCs/>
          <w:sz w:val="24"/>
          <w:szCs w:val="24"/>
        </w:rPr>
        <w:t>.</w:t>
      </w:r>
      <w:r w:rsidRPr="00E349CD">
        <w:rPr>
          <w:sz w:val="24"/>
          <w:szCs w:val="24"/>
        </w:rPr>
        <w:t>" The President further</w:t>
      </w:r>
      <w:r>
        <w:rPr>
          <w:sz w:val="24"/>
          <w:szCs w:val="24"/>
        </w:rPr>
        <w:t xml:space="preserve"> </w:t>
      </w:r>
      <w:r w:rsidRPr="00E349CD">
        <w:rPr>
          <w:sz w:val="24"/>
          <w:szCs w:val="24"/>
        </w:rPr>
        <w:t>directed agencies to adopt a presumption in favor of disclosure with regard to all FOIA</w:t>
      </w:r>
      <w:r>
        <w:rPr>
          <w:sz w:val="24"/>
          <w:szCs w:val="24"/>
        </w:rPr>
        <w:t xml:space="preserve"> </w:t>
      </w:r>
      <w:r w:rsidRPr="00E349CD">
        <w:rPr>
          <w:sz w:val="24"/>
          <w:szCs w:val="24"/>
        </w:rPr>
        <w:t xml:space="preserve">decisions. </w:t>
      </w:r>
      <w:r>
        <w:rPr>
          <w:sz w:val="24"/>
          <w:szCs w:val="24"/>
        </w:rPr>
        <w:t xml:space="preserve"> </w:t>
      </w:r>
      <w:r w:rsidRPr="00E349CD">
        <w:rPr>
          <w:sz w:val="24"/>
          <w:szCs w:val="24"/>
        </w:rPr>
        <w:t xml:space="preserve">The President </w:t>
      </w:r>
      <w:r w:rsidR="00A73ACC">
        <w:rPr>
          <w:sz w:val="24"/>
          <w:szCs w:val="24"/>
        </w:rPr>
        <w:t xml:space="preserve">asked </w:t>
      </w:r>
      <w:r w:rsidRPr="00E349CD">
        <w:rPr>
          <w:sz w:val="24"/>
          <w:szCs w:val="24"/>
        </w:rPr>
        <w:t>the Attorney General</w:t>
      </w:r>
      <w:r>
        <w:rPr>
          <w:sz w:val="24"/>
          <w:szCs w:val="24"/>
        </w:rPr>
        <w:t xml:space="preserve"> </w:t>
      </w:r>
      <w:r w:rsidRPr="00E349CD">
        <w:rPr>
          <w:sz w:val="24"/>
          <w:szCs w:val="24"/>
        </w:rPr>
        <w:t>to issue FOIA Guidelines for the Executive Branch that "</w:t>
      </w:r>
      <w:r w:rsidRPr="00E349CD">
        <w:rPr>
          <w:i/>
          <w:iCs/>
          <w:sz w:val="24"/>
          <w:szCs w:val="24"/>
        </w:rPr>
        <w:t>reaffirm[] the commitment to accountability and transparency.</w:t>
      </w:r>
      <w:r w:rsidRPr="00E349CD">
        <w:rPr>
          <w:sz w:val="24"/>
          <w:szCs w:val="24"/>
        </w:rPr>
        <w:t>"</w:t>
      </w:r>
      <w:r>
        <w:rPr>
          <w:rStyle w:val="FootnoteReference"/>
          <w:sz w:val="24"/>
          <w:szCs w:val="24"/>
        </w:rPr>
        <w:footnoteReference w:id="34"/>
      </w:r>
    </w:p>
    <w:p w14:paraId="3ABFC2CA" w14:textId="77777777" w:rsidR="00E349CD" w:rsidRDefault="00E349CD" w:rsidP="00BC783B">
      <w:pPr>
        <w:widowControl/>
        <w:jc w:val="both"/>
        <w:rPr>
          <w:sz w:val="24"/>
          <w:szCs w:val="24"/>
        </w:rPr>
      </w:pPr>
    </w:p>
    <w:p w14:paraId="79A755B1" w14:textId="3E1504B2" w:rsidR="00E147A7" w:rsidRDefault="00E147A7" w:rsidP="00E147A7">
      <w:pPr>
        <w:widowControl/>
        <w:jc w:val="both"/>
        <w:rPr>
          <w:sz w:val="24"/>
          <w:szCs w:val="24"/>
        </w:rPr>
      </w:pPr>
      <w:r>
        <w:rPr>
          <w:sz w:val="24"/>
          <w:szCs w:val="24"/>
        </w:rPr>
        <w:t xml:space="preserve">Attorney General </w:t>
      </w:r>
      <w:r w:rsidR="00A73ACC">
        <w:rPr>
          <w:sz w:val="24"/>
          <w:szCs w:val="24"/>
        </w:rPr>
        <w:t xml:space="preserve">Eric Holder, Jr. then issued </w:t>
      </w:r>
      <w:r>
        <w:rPr>
          <w:sz w:val="24"/>
          <w:szCs w:val="24"/>
        </w:rPr>
        <w:t>his own memorandum (“DOJ FOIA Memo”)</w:t>
      </w:r>
      <w:r>
        <w:rPr>
          <w:rStyle w:val="FootnoteReference"/>
          <w:sz w:val="24"/>
          <w:szCs w:val="24"/>
        </w:rPr>
        <w:footnoteReference w:id="35"/>
      </w:r>
      <w:r>
        <w:rPr>
          <w:sz w:val="24"/>
          <w:szCs w:val="24"/>
        </w:rPr>
        <w:t xml:space="preserve"> which established </w:t>
      </w:r>
      <w:r w:rsidRPr="00E147A7">
        <w:rPr>
          <w:sz w:val="24"/>
          <w:szCs w:val="24"/>
        </w:rPr>
        <w:t>new guidelines</w:t>
      </w:r>
      <w:r>
        <w:rPr>
          <w:sz w:val="24"/>
          <w:szCs w:val="24"/>
        </w:rPr>
        <w:t xml:space="preserve"> </w:t>
      </w:r>
      <w:r w:rsidRPr="00E147A7">
        <w:rPr>
          <w:sz w:val="24"/>
          <w:szCs w:val="24"/>
        </w:rPr>
        <w:t xml:space="preserve">for </w:t>
      </w:r>
      <w:r>
        <w:rPr>
          <w:sz w:val="24"/>
          <w:szCs w:val="24"/>
        </w:rPr>
        <w:t xml:space="preserve">complying with </w:t>
      </w:r>
      <w:r w:rsidRPr="00E147A7">
        <w:rPr>
          <w:sz w:val="24"/>
          <w:szCs w:val="24"/>
        </w:rPr>
        <w:t xml:space="preserve">the Freedom of Information Act. </w:t>
      </w:r>
      <w:r>
        <w:rPr>
          <w:sz w:val="24"/>
          <w:szCs w:val="24"/>
        </w:rPr>
        <w:t xml:space="preserve">In this memo, </w:t>
      </w:r>
      <w:r w:rsidRPr="00E147A7">
        <w:rPr>
          <w:sz w:val="24"/>
          <w:szCs w:val="24"/>
        </w:rPr>
        <w:t xml:space="preserve">the Attorney General </w:t>
      </w:r>
      <w:r>
        <w:rPr>
          <w:sz w:val="24"/>
          <w:szCs w:val="24"/>
        </w:rPr>
        <w:t xml:space="preserve">stated that </w:t>
      </w:r>
      <w:r w:rsidRPr="00E147A7">
        <w:rPr>
          <w:sz w:val="24"/>
          <w:szCs w:val="24"/>
        </w:rPr>
        <w:t xml:space="preserve">the principle </w:t>
      </w:r>
      <w:r>
        <w:rPr>
          <w:sz w:val="24"/>
          <w:szCs w:val="24"/>
        </w:rPr>
        <w:t xml:space="preserve">of </w:t>
      </w:r>
      <w:r w:rsidRPr="00E147A7">
        <w:rPr>
          <w:sz w:val="24"/>
          <w:szCs w:val="24"/>
        </w:rPr>
        <w:t xml:space="preserve">openness </w:t>
      </w:r>
      <w:r>
        <w:rPr>
          <w:sz w:val="24"/>
          <w:szCs w:val="24"/>
        </w:rPr>
        <w:t>wa</w:t>
      </w:r>
      <w:r w:rsidRPr="00E147A7">
        <w:rPr>
          <w:sz w:val="24"/>
          <w:szCs w:val="24"/>
        </w:rPr>
        <w:t>s the Federal Government’s default position for FOIA issues</w:t>
      </w:r>
      <w:r>
        <w:rPr>
          <w:sz w:val="24"/>
          <w:szCs w:val="24"/>
        </w:rPr>
        <w:t xml:space="preserve"> and that this principle had the following implications:</w:t>
      </w:r>
    </w:p>
    <w:p w14:paraId="51263EBA" w14:textId="77777777" w:rsidR="00E147A7" w:rsidRDefault="00E147A7" w:rsidP="00E147A7">
      <w:pPr>
        <w:widowControl/>
        <w:jc w:val="both"/>
        <w:rPr>
          <w:sz w:val="24"/>
          <w:szCs w:val="24"/>
        </w:rPr>
      </w:pPr>
    </w:p>
    <w:p w14:paraId="3DB19FA9" w14:textId="044283C0" w:rsidR="00E147A7" w:rsidRDefault="00E147A7" w:rsidP="00E147A7">
      <w:pPr>
        <w:pStyle w:val="ListParagraph"/>
        <w:widowControl/>
        <w:numPr>
          <w:ilvl w:val="0"/>
          <w:numId w:val="7"/>
        </w:numPr>
        <w:jc w:val="both"/>
        <w:rPr>
          <w:sz w:val="24"/>
          <w:szCs w:val="24"/>
        </w:rPr>
      </w:pPr>
      <w:r w:rsidRPr="00E147A7">
        <w:rPr>
          <w:sz w:val="24"/>
          <w:szCs w:val="24"/>
        </w:rPr>
        <w:t>An agency should not withhold records merely because it can demonstrate, as a technical matter, that the records fall within the scope of a FOIA exemption</w:t>
      </w:r>
      <w:r>
        <w:rPr>
          <w:sz w:val="24"/>
          <w:szCs w:val="24"/>
        </w:rPr>
        <w:t xml:space="preserve">; and </w:t>
      </w:r>
    </w:p>
    <w:p w14:paraId="06C50271" w14:textId="77777777" w:rsidR="00E147A7" w:rsidRPr="00E147A7" w:rsidRDefault="00E147A7" w:rsidP="00E147A7">
      <w:pPr>
        <w:widowControl/>
        <w:ind w:left="720"/>
        <w:jc w:val="both"/>
        <w:rPr>
          <w:sz w:val="24"/>
          <w:szCs w:val="24"/>
        </w:rPr>
      </w:pPr>
    </w:p>
    <w:p w14:paraId="25D08502" w14:textId="2246921F" w:rsidR="00E147A7" w:rsidRDefault="00E147A7" w:rsidP="00E147A7">
      <w:pPr>
        <w:pStyle w:val="ListParagraph"/>
        <w:widowControl/>
        <w:numPr>
          <w:ilvl w:val="0"/>
          <w:numId w:val="7"/>
        </w:numPr>
        <w:jc w:val="both"/>
        <w:rPr>
          <w:sz w:val="24"/>
          <w:szCs w:val="24"/>
        </w:rPr>
      </w:pPr>
      <w:r>
        <w:rPr>
          <w:sz w:val="24"/>
          <w:szCs w:val="24"/>
        </w:rPr>
        <w:t>W</w:t>
      </w:r>
      <w:r w:rsidRPr="00E147A7">
        <w:rPr>
          <w:sz w:val="24"/>
          <w:szCs w:val="24"/>
        </w:rPr>
        <w:t>henever an agency determines that it cannot make full disclosure of a requested record, it must consider whether it can make partial disclosure.</w:t>
      </w:r>
      <w:r w:rsidR="00EF2D9B">
        <w:rPr>
          <w:rStyle w:val="FootnoteReference"/>
          <w:sz w:val="24"/>
          <w:szCs w:val="24"/>
        </w:rPr>
        <w:footnoteReference w:id="36"/>
      </w:r>
      <w:r w:rsidRPr="00E147A7">
        <w:rPr>
          <w:sz w:val="24"/>
          <w:szCs w:val="24"/>
        </w:rPr>
        <w:t xml:space="preserve">    </w:t>
      </w:r>
    </w:p>
    <w:p w14:paraId="75F2103C" w14:textId="77777777" w:rsidR="00842B70" w:rsidRPr="00842B70" w:rsidRDefault="00842B70" w:rsidP="00842B70">
      <w:pPr>
        <w:pStyle w:val="ListParagraph"/>
        <w:rPr>
          <w:sz w:val="24"/>
          <w:szCs w:val="24"/>
        </w:rPr>
      </w:pPr>
    </w:p>
    <w:p w14:paraId="08606AE9" w14:textId="3D2096E7" w:rsidR="00842B70" w:rsidRPr="00842B70" w:rsidRDefault="00842B70" w:rsidP="00842B70">
      <w:pPr>
        <w:widowControl/>
        <w:jc w:val="both"/>
        <w:rPr>
          <w:sz w:val="24"/>
          <w:szCs w:val="24"/>
        </w:rPr>
      </w:pPr>
      <w:r>
        <w:rPr>
          <w:sz w:val="24"/>
          <w:szCs w:val="24"/>
        </w:rPr>
        <w:t xml:space="preserve">The DOJ FOIA Memo also </w:t>
      </w:r>
      <w:r w:rsidRPr="00842B70">
        <w:rPr>
          <w:sz w:val="24"/>
          <w:szCs w:val="24"/>
        </w:rPr>
        <w:t>established a "foreseeable harm" standard for defending agency decisions to withhold</w:t>
      </w:r>
      <w:r>
        <w:rPr>
          <w:sz w:val="24"/>
          <w:szCs w:val="24"/>
        </w:rPr>
        <w:t xml:space="preserve"> </w:t>
      </w:r>
      <w:r w:rsidRPr="00842B70">
        <w:rPr>
          <w:sz w:val="24"/>
          <w:szCs w:val="24"/>
        </w:rPr>
        <w:t>information</w:t>
      </w:r>
      <w:r>
        <w:rPr>
          <w:sz w:val="24"/>
          <w:szCs w:val="24"/>
        </w:rPr>
        <w:t>.</w:t>
      </w:r>
      <w:r>
        <w:rPr>
          <w:rStyle w:val="FootnoteReference"/>
          <w:sz w:val="24"/>
          <w:szCs w:val="24"/>
        </w:rPr>
        <w:footnoteReference w:id="37"/>
      </w:r>
    </w:p>
    <w:p w14:paraId="2A1A1BC1" w14:textId="77777777" w:rsidR="00E147A7" w:rsidRDefault="00E147A7" w:rsidP="00FD6A57">
      <w:pPr>
        <w:widowControl/>
        <w:jc w:val="both"/>
        <w:rPr>
          <w:sz w:val="24"/>
          <w:szCs w:val="24"/>
        </w:rPr>
      </w:pPr>
    </w:p>
    <w:p w14:paraId="101082A1" w14:textId="0C1B748A" w:rsidR="009733D5" w:rsidRDefault="00BC783B" w:rsidP="00FD6A57">
      <w:pPr>
        <w:widowControl/>
        <w:jc w:val="both"/>
        <w:rPr>
          <w:sz w:val="24"/>
          <w:szCs w:val="24"/>
        </w:rPr>
      </w:pPr>
      <w:r>
        <w:rPr>
          <w:sz w:val="24"/>
          <w:szCs w:val="24"/>
        </w:rPr>
        <w:t xml:space="preserve">On </w:t>
      </w:r>
      <w:r w:rsidRPr="00A73ACC">
        <w:rPr>
          <w:b/>
          <w:bCs/>
          <w:sz w:val="24"/>
          <w:szCs w:val="24"/>
        </w:rPr>
        <w:t>December 29, 2009</w:t>
      </w:r>
      <w:r>
        <w:rPr>
          <w:sz w:val="24"/>
          <w:szCs w:val="24"/>
        </w:rPr>
        <w:t xml:space="preserve">, President Obama issued Executive Order </w:t>
      </w:r>
      <w:r w:rsidRPr="003757C7">
        <w:rPr>
          <w:sz w:val="24"/>
          <w:szCs w:val="24"/>
        </w:rPr>
        <w:t>13526</w:t>
      </w:r>
      <w:r w:rsidR="00185504">
        <w:rPr>
          <w:rStyle w:val="FootnoteReference"/>
          <w:sz w:val="24"/>
          <w:szCs w:val="24"/>
        </w:rPr>
        <w:footnoteReference w:id="38"/>
      </w:r>
      <w:r w:rsidRPr="003757C7">
        <w:rPr>
          <w:sz w:val="24"/>
          <w:szCs w:val="24"/>
        </w:rPr>
        <w:t xml:space="preserve"> </w:t>
      </w:r>
      <w:r>
        <w:rPr>
          <w:sz w:val="24"/>
          <w:szCs w:val="24"/>
        </w:rPr>
        <w:t xml:space="preserve">which </w:t>
      </w:r>
      <w:r w:rsidRPr="0016468F">
        <w:rPr>
          <w:sz w:val="24"/>
          <w:szCs w:val="24"/>
        </w:rPr>
        <w:t>made a number of significant changes to current information policies</w:t>
      </w:r>
      <w:r>
        <w:rPr>
          <w:sz w:val="24"/>
          <w:szCs w:val="24"/>
        </w:rPr>
        <w:t xml:space="preserve"> including:</w:t>
      </w:r>
    </w:p>
    <w:p w14:paraId="47395B52" w14:textId="276CB2B5" w:rsidR="00BC783B" w:rsidRDefault="00BC783B" w:rsidP="00BC783B">
      <w:pPr>
        <w:widowControl/>
        <w:jc w:val="both"/>
        <w:rPr>
          <w:sz w:val="24"/>
          <w:szCs w:val="24"/>
        </w:rPr>
      </w:pPr>
      <w:r>
        <w:rPr>
          <w:sz w:val="24"/>
          <w:szCs w:val="24"/>
        </w:rPr>
        <w:t xml:space="preserve"> </w:t>
      </w:r>
    </w:p>
    <w:p w14:paraId="0D4FD2F0" w14:textId="1E610CFE" w:rsidR="008C2EA7" w:rsidRDefault="00BC783B" w:rsidP="00BC783B">
      <w:pPr>
        <w:widowControl/>
        <w:ind w:left="720"/>
        <w:jc w:val="both"/>
        <w:rPr>
          <w:sz w:val="24"/>
          <w:szCs w:val="24"/>
        </w:rPr>
      </w:pPr>
      <w:r w:rsidRPr="0016468F">
        <w:rPr>
          <w:sz w:val="24"/>
          <w:szCs w:val="24"/>
        </w:rPr>
        <w:t xml:space="preserve">(1) </w:t>
      </w:r>
      <w:r w:rsidR="008C2EA7">
        <w:rPr>
          <w:sz w:val="24"/>
          <w:szCs w:val="24"/>
        </w:rPr>
        <w:t>creating a presumption that records older than 25 years are to be automatically declassified</w:t>
      </w:r>
      <w:r w:rsidR="00464327">
        <w:rPr>
          <w:sz w:val="24"/>
          <w:szCs w:val="24"/>
        </w:rPr>
        <w:t>;</w:t>
      </w:r>
      <w:r w:rsidR="008C2EA7">
        <w:rPr>
          <w:rStyle w:val="FootnoteReference"/>
          <w:sz w:val="24"/>
          <w:szCs w:val="24"/>
        </w:rPr>
        <w:footnoteReference w:id="39"/>
      </w:r>
      <w:r w:rsidRPr="0016468F">
        <w:rPr>
          <w:sz w:val="24"/>
          <w:szCs w:val="24"/>
        </w:rPr>
        <w:t xml:space="preserve"> </w:t>
      </w:r>
    </w:p>
    <w:p w14:paraId="4448EC7F" w14:textId="77777777" w:rsidR="008C2EA7" w:rsidRDefault="008C2EA7" w:rsidP="00BC783B">
      <w:pPr>
        <w:widowControl/>
        <w:ind w:left="720"/>
        <w:jc w:val="both"/>
        <w:rPr>
          <w:sz w:val="24"/>
          <w:szCs w:val="24"/>
        </w:rPr>
      </w:pPr>
    </w:p>
    <w:p w14:paraId="56D885DC" w14:textId="73F31A5E" w:rsidR="00BC783B" w:rsidRDefault="008C2EA7" w:rsidP="00BC783B">
      <w:pPr>
        <w:widowControl/>
        <w:ind w:left="720"/>
        <w:jc w:val="both"/>
        <w:rPr>
          <w:sz w:val="24"/>
          <w:szCs w:val="24"/>
        </w:rPr>
      </w:pPr>
      <w:r>
        <w:rPr>
          <w:sz w:val="24"/>
          <w:szCs w:val="24"/>
        </w:rPr>
        <w:t xml:space="preserve">(2) </w:t>
      </w:r>
      <w:r w:rsidR="00BC783B" w:rsidRPr="0016468F">
        <w:rPr>
          <w:sz w:val="24"/>
          <w:szCs w:val="24"/>
        </w:rPr>
        <w:t>declaring that “no information may remain classified</w:t>
      </w:r>
      <w:r w:rsidR="00BC783B">
        <w:rPr>
          <w:sz w:val="24"/>
          <w:szCs w:val="24"/>
        </w:rPr>
        <w:t xml:space="preserve"> </w:t>
      </w:r>
      <w:r w:rsidR="00BC783B" w:rsidRPr="0016468F">
        <w:rPr>
          <w:sz w:val="24"/>
          <w:szCs w:val="24"/>
        </w:rPr>
        <w:t>indefinitely</w:t>
      </w:r>
      <w:r w:rsidR="00A73ACC">
        <w:rPr>
          <w:sz w:val="24"/>
          <w:szCs w:val="24"/>
        </w:rPr>
        <w:t>”</w:t>
      </w:r>
      <w:r w:rsidR="00464327">
        <w:rPr>
          <w:sz w:val="24"/>
          <w:szCs w:val="24"/>
        </w:rPr>
        <w:t>;</w:t>
      </w:r>
      <w:r>
        <w:rPr>
          <w:rStyle w:val="FootnoteReference"/>
          <w:sz w:val="24"/>
          <w:szCs w:val="24"/>
        </w:rPr>
        <w:footnoteReference w:id="40"/>
      </w:r>
      <w:r w:rsidR="00BC783B" w:rsidRPr="00A62993">
        <w:rPr>
          <w:sz w:val="24"/>
          <w:szCs w:val="24"/>
        </w:rPr>
        <w:t xml:space="preserve"> </w:t>
      </w:r>
    </w:p>
    <w:p w14:paraId="5F449D77" w14:textId="6659CFBF" w:rsidR="00FD6A57" w:rsidRDefault="00FD6A57" w:rsidP="00BC783B">
      <w:pPr>
        <w:widowControl/>
        <w:ind w:left="720"/>
        <w:jc w:val="both"/>
        <w:rPr>
          <w:sz w:val="24"/>
          <w:szCs w:val="24"/>
        </w:rPr>
      </w:pPr>
    </w:p>
    <w:p w14:paraId="1E83B359" w14:textId="5C0A82C0" w:rsidR="00FD6A57" w:rsidRDefault="00FD6A57" w:rsidP="00FD6A57">
      <w:pPr>
        <w:widowControl/>
        <w:ind w:left="720"/>
        <w:jc w:val="both"/>
        <w:rPr>
          <w:sz w:val="24"/>
          <w:szCs w:val="24"/>
        </w:rPr>
      </w:pPr>
      <w:r>
        <w:rPr>
          <w:sz w:val="24"/>
          <w:szCs w:val="24"/>
        </w:rPr>
        <w:t>(</w:t>
      </w:r>
      <w:r w:rsidR="00E4603B">
        <w:rPr>
          <w:sz w:val="24"/>
          <w:szCs w:val="24"/>
        </w:rPr>
        <w:t>3</w:t>
      </w:r>
      <w:r>
        <w:rPr>
          <w:sz w:val="24"/>
          <w:szCs w:val="24"/>
        </w:rPr>
        <w:t xml:space="preserve">) providing for automatic declassification of records </w:t>
      </w:r>
      <w:r w:rsidR="00A73ACC">
        <w:rPr>
          <w:sz w:val="24"/>
          <w:szCs w:val="24"/>
        </w:rPr>
        <w:t xml:space="preserve">with </w:t>
      </w:r>
      <w:r w:rsidR="00A73ACC" w:rsidRPr="00FD6A57">
        <w:rPr>
          <w:sz w:val="24"/>
          <w:szCs w:val="24"/>
        </w:rPr>
        <w:t>permanent historical value</w:t>
      </w:r>
      <w:r w:rsidR="00A73ACC">
        <w:rPr>
          <w:sz w:val="24"/>
          <w:szCs w:val="24"/>
        </w:rPr>
        <w:t xml:space="preserve"> </w:t>
      </w:r>
      <w:r w:rsidRPr="00FD6A57">
        <w:rPr>
          <w:sz w:val="24"/>
          <w:szCs w:val="24"/>
        </w:rPr>
        <w:t xml:space="preserve">that are more than 25 years old </w:t>
      </w:r>
      <w:r>
        <w:rPr>
          <w:sz w:val="24"/>
          <w:szCs w:val="24"/>
        </w:rPr>
        <w:t xml:space="preserve">subject to certain </w:t>
      </w:r>
      <w:r w:rsidR="00A73ACC">
        <w:rPr>
          <w:sz w:val="24"/>
          <w:szCs w:val="24"/>
        </w:rPr>
        <w:t xml:space="preserve">limited </w:t>
      </w:r>
      <w:r>
        <w:rPr>
          <w:sz w:val="24"/>
          <w:szCs w:val="24"/>
        </w:rPr>
        <w:t>exceptions</w:t>
      </w:r>
      <w:r w:rsidR="00464327">
        <w:rPr>
          <w:sz w:val="24"/>
          <w:szCs w:val="24"/>
        </w:rPr>
        <w:t xml:space="preserve">; </w:t>
      </w:r>
      <w:r>
        <w:rPr>
          <w:rStyle w:val="FootnoteReference"/>
          <w:sz w:val="24"/>
          <w:szCs w:val="24"/>
        </w:rPr>
        <w:footnoteReference w:id="41"/>
      </w:r>
    </w:p>
    <w:p w14:paraId="2E7AAC2E" w14:textId="332C2100" w:rsidR="00464327" w:rsidRDefault="00464327" w:rsidP="00FD6A57">
      <w:pPr>
        <w:widowControl/>
        <w:ind w:left="720"/>
        <w:jc w:val="both"/>
        <w:rPr>
          <w:sz w:val="24"/>
          <w:szCs w:val="24"/>
        </w:rPr>
      </w:pPr>
    </w:p>
    <w:p w14:paraId="3EFAD0FF" w14:textId="7E9FC09C" w:rsidR="00464327" w:rsidRDefault="00464327" w:rsidP="00FD6A57">
      <w:pPr>
        <w:widowControl/>
        <w:ind w:left="720"/>
        <w:jc w:val="both"/>
        <w:rPr>
          <w:sz w:val="24"/>
          <w:szCs w:val="24"/>
        </w:rPr>
      </w:pPr>
      <w:r>
        <w:rPr>
          <w:sz w:val="24"/>
          <w:szCs w:val="24"/>
        </w:rPr>
        <w:t>(4) Barring agencies from classifying records to “</w:t>
      </w:r>
      <w:r w:rsidRPr="00464327">
        <w:rPr>
          <w:sz w:val="24"/>
          <w:szCs w:val="24"/>
        </w:rPr>
        <w:t>prevent embarrassment to a person, organization, or agency</w:t>
      </w:r>
      <w:r>
        <w:rPr>
          <w:sz w:val="24"/>
          <w:szCs w:val="24"/>
        </w:rPr>
        <w:t>;</w:t>
      </w:r>
      <w:r>
        <w:rPr>
          <w:rStyle w:val="FootnoteReference"/>
          <w:sz w:val="24"/>
          <w:szCs w:val="24"/>
        </w:rPr>
        <w:footnoteReference w:id="42"/>
      </w:r>
      <w:r>
        <w:rPr>
          <w:sz w:val="24"/>
          <w:szCs w:val="24"/>
        </w:rPr>
        <w:t xml:space="preserve">  </w:t>
      </w:r>
    </w:p>
    <w:p w14:paraId="53DD8A2D" w14:textId="77777777" w:rsidR="00E4603B" w:rsidRDefault="00E4603B" w:rsidP="00E4603B">
      <w:pPr>
        <w:widowControl/>
        <w:ind w:left="720"/>
        <w:jc w:val="both"/>
        <w:rPr>
          <w:sz w:val="24"/>
          <w:szCs w:val="24"/>
        </w:rPr>
      </w:pPr>
    </w:p>
    <w:p w14:paraId="49F58639" w14:textId="71A5C9D0" w:rsidR="00E4603B" w:rsidRDefault="00E4603B" w:rsidP="00E4603B">
      <w:pPr>
        <w:widowControl/>
        <w:ind w:left="720"/>
        <w:jc w:val="both"/>
        <w:rPr>
          <w:sz w:val="24"/>
          <w:szCs w:val="24"/>
        </w:rPr>
      </w:pPr>
      <w:r>
        <w:rPr>
          <w:sz w:val="24"/>
          <w:szCs w:val="24"/>
        </w:rPr>
        <w:t xml:space="preserve">(4) requiring </w:t>
      </w:r>
      <w:r w:rsidRPr="00E4603B">
        <w:rPr>
          <w:sz w:val="24"/>
          <w:szCs w:val="24"/>
        </w:rPr>
        <w:t>agenc</w:t>
      </w:r>
      <w:r w:rsidR="00A73ACC">
        <w:rPr>
          <w:sz w:val="24"/>
          <w:szCs w:val="24"/>
        </w:rPr>
        <w:t>ies</w:t>
      </w:r>
      <w:r w:rsidRPr="00E4603B">
        <w:rPr>
          <w:sz w:val="24"/>
          <w:szCs w:val="24"/>
        </w:rPr>
        <w:t xml:space="preserve"> </w:t>
      </w:r>
      <w:r>
        <w:rPr>
          <w:sz w:val="24"/>
          <w:szCs w:val="24"/>
        </w:rPr>
        <w:t xml:space="preserve">to </w:t>
      </w:r>
      <w:r w:rsidRPr="00E4603B">
        <w:rPr>
          <w:sz w:val="24"/>
          <w:szCs w:val="24"/>
        </w:rPr>
        <w:t>establish and conduct program</w:t>
      </w:r>
      <w:r w:rsidR="00A73ACC">
        <w:rPr>
          <w:sz w:val="24"/>
          <w:szCs w:val="24"/>
        </w:rPr>
        <w:t>s</w:t>
      </w:r>
      <w:r w:rsidRPr="00E4603B">
        <w:rPr>
          <w:sz w:val="24"/>
          <w:szCs w:val="24"/>
        </w:rPr>
        <w:t xml:space="preserve"> for</w:t>
      </w:r>
      <w:r>
        <w:rPr>
          <w:sz w:val="24"/>
          <w:szCs w:val="24"/>
        </w:rPr>
        <w:t xml:space="preserve"> </w:t>
      </w:r>
      <w:r w:rsidR="008C2EA7">
        <w:rPr>
          <w:sz w:val="24"/>
          <w:szCs w:val="24"/>
        </w:rPr>
        <w:t>“</w:t>
      </w:r>
      <w:r w:rsidRPr="00E4603B">
        <w:rPr>
          <w:sz w:val="24"/>
          <w:szCs w:val="24"/>
        </w:rPr>
        <w:t>systematic declassification review</w:t>
      </w:r>
      <w:r w:rsidR="008C2EA7">
        <w:rPr>
          <w:sz w:val="24"/>
          <w:szCs w:val="24"/>
        </w:rPr>
        <w:t>”</w:t>
      </w:r>
      <w:r w:rsidRPr="00E4603B">
        <w:rPr>
          <w:sz w:val="24"/>
          <w:szCs w:val="24"/>
        </w:rPr>
        <w:t xml:space="preserve"> for records of permanent historical value </w:t>
      </w:r>
      <w:r w:rsidR="00A73ACC">
        <w:rPr>
          <w:sz w:val="24"/>
          <w:szCs w:val="24"/>
        </w:rPr>
        <w:t xml:space="preserve">that are </w:t>
      </w:r>
      <w:r w:rsidRPr="00E4603B">
        <w:rPr>
          <w:sz w:val="24"/>
          <w:szCs w:val="24"/>
        </w:rPr>
        <w:t>exempt from</w:t>
      </w:r>
      <w:r>
        <w:rPr>
          <w:sz w:val="24"/>
          <w:szCs w:val="24"/>
        </w:rPr>
        <w:t xml:space="preserve"> </w:t>
      </w:r>
      <w:r w:rsidRPr="00E4603B">
        <w:rPr>
          <w:sz w:val="24"/>
          <w:szCs w:val="24"/>
        </w:rPr>
        <w:t>automatic declassification</w:t>
      </w:r>
      <w:r w:rsidR="003D4FA6">
        <w:rPr>
          <w:sz w:val="24"/>
          <w:szCs w:val="24"/>
        </w:rPr>
        <w:t>;</w:t>
      </w:r>
      <w:r>
        <w:rPr>
          <w:rStyle w:val="FootnoteReference"/>
          <w:sz w:val="24"/>
          <w:szCs w:val="24"/>
        </w:rPr>
        <w:footnoteReference w:id="43"/>
      </w:r>
      <w:r w:rsidR="003D4FA6">
        <w:rPr>
          <w:sz w:val="24"/>
          <w:szCs w:val="24"/>
        </w:rPr>
        <w:t xml:space="preserve"> and</w:t>
      </w:r>
      <w:r w:rsidRPr="00E4603B">
        <w:rPr>
          <w:sz w:val="24"/>
          <w:szCs w:val="24"/>
        </w:rPr>
        <w:t xml:space="preserve"> </w:t>
      </w:r>
    </w:p>
    <w:p w14:paraId="7F72F368" w14:textId="77F0CD78" w:rsidR="008C2EA7" w:rsidRDefault="008C2EA7" w:rsidP="00E4603B">
      <w:pPr>
        <w:widowControl/>
        <w:ind w:left="720"/>
        <w:jc w:val="both"/>
        <w:rPr>
          <w:sz w:val="24"/>
          <w:szCs w:val="24"/>
        </w:rPr>
      </w:pPr>
    </w:p>
    <w:p w14:paraId="6C077BFD" w14:textId="273D8E59" w:rsidR="008C2EA7" w:rsidRDefault="008C2EA7" w:rsidP="00E4603B">
      <w:pPr>
        <w:widowControl/>
        <w:ind w:left="720"/>
        <w:jc w:val="both"/>
        <w:rPr>
          <w:sz w:val="24"/>
          <w:szCs w:val="24"/>
        </w:rPr>
      </w:pPr>
      <w:r>
        <w:rPr>
          <w:sz w:val="24"/>
          <w:szCs w:val="24"/>
        </w:rPr>
        <w:t xml:space="preserve">(5) </w:t>
      </w:r>
      <w:r w:rsidRPr="0016468F">
        <w:rPr>
          <w:sz w:val="24"/>
          <w:szCs w:val="24"/>
        </w:rPr>
        <w:t>requiring the establishment of a National Declassification Center at the National</w:t>
      </w:r>
      <w:r>
        <w:rPr>
          <w:sz w:val="24"/>
          <w:szCs w:val="24"/>
        </w:rPr>
        <w:t xml:space="preserve"> </w:t>
      </w:r>
      <w:r w:rsidRPr="0016468F">
        <w:rPr>
          <w:sz w:val="24"/>
          <w:szCs w:val="24"/>
        </w:rPr>
        <w:t>Archives</w:t>
      </w:r>
      <w:r>
        <w:rPr>
          <w:sz w:val="24"/>
          <w:szCs w:val="24"/>
        </w:rPr>
        <w:t xml:space="preserve"> </w:t>
      </w:r>
      <w:r w:rsidRPr="0016468F">
        <w:rPr>
          <w:sz w:val="24"/>
          <w:szCs w:val="24"/>
        </w:rPr>
        <w:t>to streamline declassification processes, and implement standardized training regarding the declassification of records determined to have permanent historical value</w:t>
      </w:r>
      <w:r>
        <w:rPr>
          <w:rStyle w:val="FootnoteReference"/>
          <w:sz w:val="24"/>
          <w:szCs w:val="24"/>
        </w:rPr>
        <w:footnoteReference w:id="44"/>
      </w:r>
      <w:r w:rsidRPr="0016468F">
        <w:rPr>
          <w:sz w:val="24"/>
          <w:szCs w:val="24"/>
        </w:rPr>
        <w:t>;</w:t>
      </w:r>
    </w:p>
    <w:p w14:paraId="4B94248F" w14:textId="77777777" w:rsidR="00BC783B" w:rsidRDefault="00BC783B" w:rsidP="00BC783B">
      <w:pPr>
        <w:widowControl/>
        <w:ind w:left="720"/>
        <w:jc w:val="both"/>
        <w:rPr>
          <w:sz w:val="24"/>
          <w:szCs w:val="24"/>
        </w:rPr>
      </w:pPr>
    </w:p>
    <w:p w14:paraId="0D4B6169" w14:textId="77777777" w:rsidR="00BC783B" w:rsidRDefault="00BC783B" w:rsidP="00BC783B">
      <w:pPr>
        <w:widowControl/>
        <w:jc w:val="both"/>
        <w:rPr>
          <w:sz w:val="24"/>
          <w:szCs w:val="24"/>
        </w:rPr>
      </w:pPr>
      <w:r>
        <w:rPr>
          <w:sz w:val="24"/>
          <w:szCs w:val="24"/>
        </w:rPr>
        <w:lastRenderedPageBreak/>
        <w:t xml:space="preserve">On the same day, President Obama issued a memorandum to the heads of executive departments and agencies to implement the executive order. In the memorandum, the President said, </w:t>
      </w:r>
      <w:r w:rsidRPr="00C3169B">
        <w:rPr>
          <w:i/>
          <w:iCs/>
          <w:sz w:val="24"/>
          <w:szCs w:val="24"/>
        </w:rPr>
        <w:t>inter alia</w:t>
      </w:r>
      <w:r>
        <w:rPr>
          <w:sz w:val="24"/>
          <w:szCs w:val="24"/>
        </w:rPr>
        <w:t xml:space="preserve">, </w:t>
      </w:r>
    </w:p>
    <w:p w14:paraId="1FE4BC5C" w14:textId="77777777" w:rsidR="00BC783B" w:rsidRDefault="00BC783B" w:rsidP="00BC783B">
      <w:pPr>
        <w:widowControl/>
        <w:jc w:val="both"/>
        <w:rPr>
          <w:sz w:val="24"/>
          <w:szCs w:val="24"/>
        </w:rPr>
      </w:pPr>
    </w:p>
    <w:p w14:paraId="0F3555C2" w14:textId="468031CF" w:rsidR="00BC783B" w:rsidRDefault="00BC783B" w:rsidP="00BC783B">
      <w:pPr>
        <w:widowControl/>
        <w:ind w:left="810" w:right="720"/>
        <w:jc w:val="both"/>
        <w:rPr>
          <w:sz w:val="24"/>
          <w:szCs w:val="24"/>
        </w:rPr>
      </w:pPr>
      <w:r w:rsidRPr="00C3169B">
        <w:rPr>
          <w:i/>
          <w:iCs/>
          <w:sz w:val="24"/>
          <w:szCs w:val="24"/>
        </w:rPr>
        <w:t>I expect that the order will produce measurable progress towards greater openness and transparency in the Government’s classification and declassification programs while protecting the Government’s legitimate interests, and I will closely monitor the results</w:t>
      </w:r>
      <w:r w:rsidRPr="003757C7">
        <w:rPr>
          <w:sz w:val="24"/>
          <w:szCs w:val="24"/>
        </w:rPr>
        <w:t>.</w:t>
      </w:r>
      <w:r>
        <w:rPr>
          <w:rStyle w:val="FootnoteReference"/>
          <w:sz w:val="24"/>
          <w:szCs w:val="24"/>
        </w:rPr>
        <w:footnoteReference w:id="45"/>
      </w:r>
    </w:p>
    <w:p w14:paraId="3F03B495" w14:textId="0C339591" w:rsidR="00E147A7" w:rsidRDefault="00E147A7" w:rsidP="00BC783B">
      <w:pPr>
        <w:widowControl/>
        <w:ind w:left="810" w:right="720"/>
        <w:jc w:val="both"/>
        <w:rPr>
          <w:sz w:val="24"/>
          <w:szCs w:val="24"/>
        </w:rPr>
      </w:pPr>
    </w:p>
    <w:p w14:paraId="31FDA28F" w14:textId="60856DD1" w:rsidR="00E147A7" w:rsidRDefault="00E147A7" w:rsidP="00E147A7">
      <w:pPr>
        <w:widowControl/>
        <w:ind w:right="720"/>
        <w:jc w:val="both"/>
        <w:rPr>
          <w:sz w:val="24"/>
          <w:szCs w:val="24"/>
        </w:rPr>
      </w:pPr>
      <w:r>
        <w:rPr>
          <w:sz w:val="24"/>
          <w:szCs w:val="24"/>
        </w:rPr>
        <w:t xml:space="preserve">Congress followed these actions with the </w:t>
      </w:r>
      <w:r w:rsidRPr="006D327E">
        <w:rPr>
          <w:sz w:val="24"/>
          <w:szCs w:val="24"/>
        </w:rPr>
        <w:t>FOIA Improvement Act of 2016</w:t>
      </w:r>
      <w:r>
        <w:rPr>
          <w:sz w:val="24"/>
          <w:szCs w:val="24"/>
        </w:rPr>
        <w:t>.</w:t>
      </w:r>
      <w:r>
        <w:rPr>
          <w:rStyle w:val="FootnoteReference"/>
          <w:sz w:val="24"/>
          <w:szCs w:val="24"/>
        </w:rPr>
        <w:footnoteReference w:id="46"/>
      </w:r>
      <w:r>
        <w:rPr>
          <w:sz w:val="24"/>
          <w:szCs w:val="24"/>
        </w:rPr>
        <w:t xml:space="preserve"> This bipartisan legislation </w:t>
      </w:r>
      <w:r w:rsidRPr="00092A4D">
        <w:rPr>
          <w:sz w:val="24"/>
          <w:szCs w:val="24"/>
        </w:rPr>
        <w:t>codifie</w:t>
      </w:r>
      <w:r>
        <w:rPr>
          <w:sz w:val="24"/>
          <w:szCs w:val="24"/>
        </w:rPr>
        <w:t>d</w:t>
      </w:r>
      <w:r w:rsidRPr="00092A4D">
        <w:rPr>
          <w:sz w:val="24"/>
          <w:szCs w:val="24"/>
        </w:rPr>
        <w:t xml:space="preserve"> the policy established </w:t>
      </w:r>
      <w:r>
        <w:rPr>
          <w:sz w:val="24"/>
          <w:szCs w:val="24"/>
        </w:rPr>
        <w:t xml:space="preserve">by President Obama </w:t>
      </w:r>
      <w:r w:rsidRPr="00092A4D">
        <w:rPr>
          <w:sz w:val="24"/>
          <w:szCs w:val="24"/>
        </w:rPr>
        <w:t>in</w:t>
      </w:r>
      <w:r>
        <w:rPr>
          <w:sz w:val="24"/>
          <w:szCs w:val="24"/>
        </w:rPr>
        <w:t xml:space="preserve"> his </w:t>
      </w:r>
      <w:r w:rsidRPr="00092A4D">
        <w:rPr>
          <w:sz w:val="24"/>
          <w:szCs w:val="24"/>
        </w:rPr>
        <w:t xml:space="preserve">January </w:t>
      </w:r>
      <w:r>
        <w:rPr>
          <w:sz w:val="24"/>
          <w:szCs w:val="24"/>
        </w:rPr>
        <w:t xml:space="preserve">FOIA Memo and the DOJ FOIA Memo. </w:t>
      </w:r>
      <w:r w:rsidRPr="00092A4D">
        <w:rPr>
          <w:sz w:val="24"/>
          <w:szCs w:val="24"/>
        </w:rPr>
        <w:t>The bill mandate</w:t>
      </w:r>
      <w:r>
        <w:rPr>
          <w:sz w:val="24"/>
          <w:szCs w:val="24"/>
        </w:rPr>
        <w:t>d</w:t>
      </w:r>
      <w:r w:rsidRPr="00092A4D">
        <w:rPr>
          <w:sz w:val="24"/>
          <w:szCs w:val="24"/>
        </w:rPr>
        <w:t xml:space="preserve"> that an agency may withhold</w:t>
      </w:r>
      <w:r>
        <w:rPr>
          <w:sz w:val="24"/>
          <w:szCs w:val="24"/>
        </w:rPr>
        <w:t xml:space="preserve"> </w:t>
      </w:r>
      <w:r w:rsidRPr="00092A4D">
        <w:rPr>
          <w:sz w:val="24"/>
          <w:szCs w:val="24"/>
        </w:rPr>
        <w:t xml:space="preserve">information only if it </w:t>
      </w:r>
      <w:r w:rsidRPr="00C3169B">
        <w:rPr>
          <w:i/>
          <w:iCs/>
          <w:sz w:val="24"/>
          <w:szCs w:val="24"/>
        </w:rPr>
        <w:t xml:space="preserve">reasonably foresees a specific identifiable harm </w:t>
      </w:r>
      <w:r w:rsidRPr="00092A4D">
        <w:rPr>
          <w:sz w:val="24"/>
          <w:szCs w:val="24"/>
        </w:rPr>
        <w:t>to an interest protected by an exemption, or if disclosure is</w:t>
      </w:r>
      <w:r>
        <w:rPr>
          <w:sz w:val="24"/>
          <w:szCs w:val="24"/>
        </w:rPr>
        <w:t xml:space="preserve"> </w:t>
      </w:r>
      <w:r w:rsidRPr="00092A4D">
        <w:rPr>
          <w:sz w:val="24"/>
          <w:szCs w:val="24"/>
        </w:rPr>
        <w:t>prohibited by law.</w:t>
      </w:r>
    </w:p>
    <w:p w14:paraId="0C279D4A" w14:textId="77777777" w:rsidR="00BC783B" w:rsidRDefault="00BC783B" w:rsidP="00BC783B">
      <w:pPr>
        <w:widowControl/>
        <w:ind w:left="810" w:right="720"/>
        <w:jc w:val="both"/>
        <w:rPr>
          <w:sz w:val="24"/>
          <w:szCs w:val="24"/>
        </w:rPr>
      </w:pPr>
    </w:p>
    <w:p w14:paraId="69C96A8E" w14:textId="77777777" w:rsidR="00BC783B" w:rsidRDefault="00BC783B" w:rsidP="00BC783B">
      <w:pPr>
        <w:widowControl/>
        <w:jc w:val="both"/>
        <w:rPr>
          <w:sz w:val="24"/>
          <w:szCs w:val="24"/>
        </w:rPr>
      </w:pPr>
    </w:p>
    <w:p w14:paraId="7F017D6F" w14:textId="77777777" w:rsidR="00126BCE" w:rsidRPr="00126BCE" w:rsidRDefault="009733D5" w:rsidP="00BD35A1">
      <w:pPr>
        <w:pStyle w:val="ListParagraph"/>
        <w:widowControl/>
        <w:numPr>
          <w:ilvl w:val="0"/>
          <w:numId w:val="6"/>
        </w:numPr>
        <w:jc w:val="both"/>
        <w:rPr>
          <w:sz w:val="24"/>
          <w:szCs w:val="24"/>
        </w:rPr>
      </w:pPr>
      <w:r>
        <w:rPr>
          <w:b/>
          <w:bCs/>
          <w:sz w:val="24"/>
          <w:szCs w:val="24"/>
        </w:rPr>
        <w:t>P</w:t>
      </w:r>
      <w:r w:rsidR="00BC783B" w:rsidRPr="009733D5">
        <w:rPr>
          <w:b/>
          <w:bCs/>
          <w:sz w:val="24"/>
          <w:szCs w:val="24"/>
        </w:rPr>
        <w:t xml:space="preserve">ublic Interest Demands Release of the Remaining Records </w:t>
      </w:r>
    </w:p>
    <w:p w14:paraId="54EB95FF" w14:textId="77777777" w:rsidR="009A2A63" w:rsidRDefault="009A2A63" w:rsidP="00126BCE">
      <w:pPr>
        <w:widowControl/>
        <w:jc w:val="both"/>
        <w:rPr>
          <w:sz w:val="24"/>
          <w:szCs w:val="24"/>
        </w:rPr>
      </w:pPr>
    </w:p>
    <w:p w14:paraId="6AF27801" w14:textId="6E220952" w:rsidR="00BC783B" w:rsidRPr="00126BCE" w:rsidRDefault="00BC783B" w:rsidP="00126BCE">
      <w:pPr>
        <w:widowControl/>
        <w:jc w:val="both"/>
        <w:rPr>
          <w:sz w:val="24"/>
          <w:szCs w:val="24"/>
        </w:rPr>
      </w:pPr>
      <w:r w:rsidRPr="00126BCE">
        <w:rPr>
          <w:sz w:val="24"/>
          <w:szCs w:val="24"/>
        </w:rPr>
        <w:t>A broad swath of historians</w:t>
      </w:r>
      <w:r>
        <w:rPr>
          <w:rStyle w:val="FootnoteReference"/>
          <w:sz w:val="24"/>
          <w:szCs w:val="24"/>
        </w:rPr>
        <w:footnoteReference w:id="47"/>
      </w:r>
      <w:r w:rsidRPr="00126BCE">
        <w:rPr>
          <w:sz w:val="24"/>
          <w:szCs w:val="24"/>
        </w:rPr>
        <w:t>, former government officials</w:t>
      </w:r>
      <w:r>
        <w:rPr>
          <w:rStyle w:val="FootnoteReference"/>
          <w:sz w:val="24"/>
          <w:szCs w:val="24"/>
        </w:rPr>
        <w:footnoteReference w:id="48"/>
      </w:r>
      <w:r w:rsidRPr="00126BCE">
        <w:rPr>
          <w:sz w:val="24"/>
          <w:szCs w:val="24"/>
        </w:rPr>
        <w:t xml:space="preserve"> and other prominent Americans</w:t>
      </w:r>
      <w:r>
        <w:rPr>
          <w:rStyle w:val="FootnoteReference"/>
          <w:sz w:val="24"/>
          <w:szCs w:val="24"/>
        </w:rPr>
        <w:footnoteReference w:id="49"/>
      </w:r>
      <w:r w:rsidRPr="00126BCE">
        <w:rPr>
          <w:sz w:val="24"/>
          <w:szCs w:val="24"/>
        </w:rPr>
        <w:t xml:space="preserve"> have requested full release of the records. In 1998, </w:t>
      </w:r>
      <w:r w:rsidR="001A6ED6">
        <w:rPr>
          <w:sz w:val="24"/>
          <w:szCs w:val="24"/>
        </w:rPr>
        <w:t xml:space="preserve">even </w:t>
      </w:r>
      <w:r w:rsidRPr="00126BCE">
        <w:rPr>
          <w:sz w:val="24"/>
          <w:szCs w:val="24"/>
        </w:rPr>
        <w:t xml:space="preserve">David Belin, former Warren Commission Counsel and Executive Director of the Rockefeller Commission </w:t>
      </w:r>
      <w:r w:rsidR="009733D5" w:rsidRPr="00126BCE">
        <w:rPr>
          <w:sz w:val="24"/>
          <w:szCs w:val="24"/>
        </w:rPr>
        <w:t xml:space="preserve">and one of the staunchest defenders of the Warren Commission’s conclusions, </w:t>
      </w:r>
      <w:r w:rsidR="00387715" w:rsidRPr="00126BCE">
        <w:rPr>
          <w:sz w:val="24"/>
          <w:szCs w:val="24"/>
        </w:rPr>
        <w:t>asked the ARRB</w:t>
      </w:r>
      <w:r w:rsidR="00387715">
        <w:rPr>
          <w:sz w:val="24"/>
          <w:szCs w:val="24"/>
        </w:rPr>
        <w:t xml:space="preserve"> </w:t>
      </w:r>
      <w:r w:rsidRPr="00126BCE">
        <w:rPr>
          <w:sz w:val="24"/>
          <w:szCs w:val="24"/>
        </w:rPr>
        <w:t>to “</w:t>
      </w:r>
      <w:r w:rsidRPr="00126BCE">
        <w:rPr>
          <w:i/>
          <w:iCs/>
          <w:sz w:val="24"/>
          <w:szCs w:val="24"/>
        </w:rPr>
        <w:t>release every single document in CIA files concerning the assassination of President Kennedy and also all of the remaining Warren Commission files (about 2%) that have not previously been released</w:t>
      </w:r>
      <w:r w:rsidRPr="00126BCE">
        <w:rPr>
          <w:sz w:val="24"/>
          <w:szCs w:val="24"/>
        </w:rPr>
        <w:t>.</w:t>
      </w:r>
      <w:r>
        <w:rPr>
          <w:rStyle w:val="FootnoteReference"/>
          <w:sz w:val="24"/>
          <w:szCs w:val="24"/>
        </w:rPr>
        <w:footnoteReference w:id="50"/>
      </w:r>
    </w:p>
    <w:p w14:paraId="72F2BC3D" w14:textId="77777777" w:rsidR="00BC783B" w:rsidRDefault="00BC783B" w:rsidP="00BC783B">
      <w:pPr>
        <w:widowControl/>
        <w:jc w:val="both"/>
        <w:rPr>
          <w:sz w:val="24"/>
          <w:szCs w:val="24"/>
        </w:rPr>
      </w:pPr>
    </w:p>
    <w:p w14:paraId="652C765B" w14:textId="614CF9A1" w:rsidR="00BC783B" w:rsidRDefault="00BC783B" w:rsidP="00BC783B">
      <w:pPr>
        <w:widowControl/>
        <w:jc w:val="both"/>
        <w:rPr>
          <w:sz w:val="24"/>
          <w:szCs w:val="24"/>
        </w:rPr>
      </w:pPr>
      <w:r>
        <w:rPr>
          <w:sz w:val="24"/>
          <w:szCs w:val="24"/>
        </w:rPr>
        <w:lastRenderedPageBreak/>
        <w:t xml:space="preserve">In 2003 </w:t>
      </w:r>
      <w:r w:rsidRPr="00375912">
        <w:rPr>
          <w:sz w:val="24"/>
          <w:szCs w:val="24"/>
        </w:rPr>
        <w:t xml:space="preserve">a group of 13 </w:t>
      </w:r>
      <w:r>
        <w:rPr>
          <w:sz w:val="24"/>
          <w:szCs w:val="24"/>
        </w:rPr>
        <w:t xml:space="preserve">authors holding diverse views on President Kennedy’s assassination published </w:t>
      </w:r>
      <w:r w:rsidRPr="00375912">
        <w:rPr>
          <w:sz w:val="24"/>
          <w:szCs w:val="24"/>
        </w:rPr>
        <w:t>an open letter</w:t>
      </w:r>
      <w:r>
        <w:rPr>
          <w:sz w:val="24"/>
          <w:szCs w:val="24"/>
        </w:rPr>
        <w:t xml:space="preserve"> in the </w:t>
      </w:r>
      <w:r w:rsidRPr="00375912">
        <w:rPr>
          <w:sz w:val="24"/>
          <w:szCs w:val="24"/>
        </w:rPr>
        <w:t>New York Review of Books</w:t>
      </w:r>
      <w:r>
        <w:rPr>
          <w:sz w:val="24"/>
          <w:szCs w:val="24"/>
        </w:rPr>
        <w:t xml:space="preserve"> asking the CIA to release records relating to </w:t>
      </w:r>
      <w:r w:rsidRPr="00375912">
        <w:rPr>
          <w:sz w:val="24"/>
          <w:szCs w:val="24"/>
        </w:rPr>
        <w:t>career CIA operations</w:t>
      </w:r>
      <w:r>
        <w:rPr>
          <w:sz w:val="24"/>
          <w:szCs w:val="24"/>
        </w:rPr>
        <w:t xml:space="preserve"> </w:t>
      </w:r>
      <w:r w:rsidRPr="00375912">
        <w:rPr>
          <w:sz w:val="24"/>
          <w:szCs w:val="24"/>
        </w:rPr>
        <w:t>officer George E. Joannides</w:t>
      </w:r>
      <w:r w:rsidR="009733D5">
        <w:rPr>
          <w:sz w:val="24"/>
          <w:szCs w:val="24"/>
        </w:rPr>
        <w:t>,</w:t>
      </w:r>
      <w:r w:rsidR="00387715">
        <w:rPr>
          <w:sz w:val="24"/>
          <w:szCs w:val="24"/>
        </w:rPr>
        <w:t xml:space="preserve"> </w:t>
      </w:r>
      <w:r>
        <w:rPr>
          <w:sz w:val="24"/>
          <w:szCs w:val="24"/>
        </w:rPr>
        <w:t>who died in 1990.</w:t>
      </w:r>
      <w:r>
        <w:rPr>
          <w:rStyle w:val="FootnoteReference"/>
          <w:sz w:val="24"/>
          <w:szCs w:val="24"/>
        </w:rPr>
        <w:footnoteReference w:id="51"/>
      </w:r>
      <w:r>
        <w:rPr>
          <w:sz w:val="24"/>
          <w:szCs w:val="24"/>
        </w:rPr>
        <w:t xml:space="preserve"> In 2013, Judge </w:t>
      </w:r>
      <w:r w:rsidRPr="007F5B2E">
        <w:rPr>
          <w:sz w:val="24"/>
          <w:szCs w:val="24"/>
        </w:rPr>
        <w:t>John R. Tunheim</w:t>
      </w:r>
      <w:r>
        <w:rPr>
          <w:sz w:val="24"/>
          <w:szCs w:val="24"/>
        </w:rPr>
        <w:t xml:space="preserve"> </w:t>
      </w:r>
      <w:r w:rsidRPr="007F5B2E">
        <w:rPr>
          <w:sz w:val="24"/>
          <w:szCs w:val="24"/>
        </w:rPr>
        <w:t xml:space="preserve">(former </w:t>
      </w:r>
      <w:r w:rsidR="009733D5">
        <w:rPr>
          <w:sz w:val="24"/>
          <w:szCs w:val="24"/>
        </w:rPr>
        <w:t xml:space="preserve">ARRB </w:t>
      </w:r>
      <w:r w:rsidRPr="007F5B2E">
        <w:rPr>
          <w:sz w:val="24"/>
          <w:szCs w:val="24"/>
        </w:rPr>
        <w:t>chair)</w:t>
      </w:r>
      <w:r>
        <w:rPr>
          <w:sz w:val="24"/>
          <w:szCs w:val="24"/>
        </w:rPr>
        <w:t xml:space="preserve"> called on the CIA to release its withheld records. </w:t>
      </w:r>
      <w:r>
        <w:rPr>
          <w:rStyle w:val="FootnoteReference"/>
          <w:sz w:val="24"/>
          <w:szCs w:val="24"/>
        </w:rPr>
        <w:footnoteReference w:id="52"/>
      </w:r>
      <w:r>
        <w:rPr>
          <w:sz w:val="24"/>
          <w:szCs w:val="24"/>
        </w:rPr>
        <w:t xml:space="preserve">  As recently as January 22, 2019, more </w:t>
      </w:r>
      <w:r w:rsidR="00387715">
        <w:rPr>
          <w:sz w:val="24"/>
          <w:szCs w:val="24"/>
        </w:rPr>
        <w:t xml:space="preserve">than </w:t>
      </w:r>
      <w:r w:rsidRPr="00AE164E">
        <w:rPr>
          <w:sz w:val="24"/>
          <w:szCs w:val="24"/>
        </w:rPr>
        <w:t xml:space="preserve">60 prominent American citizens </w:t>
      </w:r>
      <w:r>
        <w:rPr>
          <w:sz w:val="24"/>
          <w:szCs w:val="24"/>
        </w:rPr>
        <w:t xml:space="preserve">released a petition asking </w:t>
      </w:r>
      <w:r w:rsidRPr="00AE164E">
        <w:rPr>
          <w:sz w:val="24"/>
          <w:szCs w:val="24"/>
        </w:rPr>
        <w:t>Congress to reopen the investigations into the assassinations</w:t>
      </w:r>
      <w:r w:rsidR="00387715">
        <w:rPr>
          <w:sz w:val="24"/>
          <w:szCs w:val="24"/>
        </w:rPr>
        <w:t>.</w:t>
      </w:r>
      <w:r>
        <w:rPr>
          <w:rStyle w:val="FootnoteReference"/>
          <w:sz w:val="24"/>
          <w:szCs w:val="24"/>
        </w:rPr>
        <w:footnoteReference w:id="53"/>
      </w:r>
    </w:p>
    <w:p w14:paraId="567C98BB" w14:textId="0B6A0444" w:rsidR="00AE164E" w:rsidRDefault="00AE164E" w:rsidP="00AE164E">
      <w:pPr>
        <w:widowControl/>
        <w:rPr>
          <w:sz w:val="24"/>
          <w:szCs w:val="24"/>
        </w:rPr>
      </w:pPr>
    </w:p>
    <w:p w14:paraId="3A819503" w14:textId="77777777" w:rsidR="004F1C1C" w:rsidRDefault="004F1C1C" w:rsidP="004F1C1C">
      <w:pPr>
        <w:widowControl/>
        <w:rPr>
          <w:sz w:val="24"/>
          <w:szCs w:val="24"/>
        </w:rPr>
      </w:pPr>
      <w:r>
        <w:rPr>
          <w:sz w:val="24"/>
          <w:szCs w:val="24"/>
        </w:rPr>
        <w:t xml:space="preserve">When Congress enacted the JFK Act in 1992, it said: </w:t>
      </w:r>
    </w:p>
    <w:p w14:paraId="2AAADC10" w14:textId="77777777" w:rsidR="004F1C1C" w:rsidRDefault="004F1C1C" w:rsidP="004F1C1C">
      <w:pPr>
        <w:widowControl/>
        <w:rPr>
          <w:sz w:val="24"/>
          <w:szCs w:val="24"/>
        </w:rPr>
      </w:pPr>
    </w:p>
    <w:p w14:paraId="7D325FBE" w14:textId="7DA3F88D" w:rsidR="004F1C1C" w:rsidRDefault="004F1C1C" w:rsidP="00C17099">
      <w:pPr>
        <w:widowControl/>
        <w:ind w:left="540" w:right="720"/>
        <w:jc w:val="both"/>
        <w:rPr>
          <w:i/>
          <w:iCs/>
          <w:sz w:val="24"/>
          <w:szCs w:val="24"/>
        </w:rPr>
      </w:pPr>
      <w:r w:rsidRPr="004F1C1C">
        <w:rPr>
          <w:i/>
          <w:iCs/>
          <w:sz w:val="24"/>
          <w:szCs w:val="24"/>
        </w:rPr>
        <w:t>“most of the records related to the assassination of President John F. Kennedy are almost 30 years old, and only in the rarest cases is there any legitimate need for continued protection of such records</w:t>
      </w:r>
      <w:r>
        <w:rPr>
          <w:i/>
          <w:iCs/>
          <w:sz w:val="24"/>
          <w:szCs w:val="24"/>
        </w:rPr>
        <w:t>.</w:t>
      </w:r>
      <w:r w:rsidRPr="004F1C1C">
        <w:rPr>
          <w:i/>
          <w:iCs/>
          <w:sz w:val="24"/>
          <w:szCs w:val="24"/>
        </w:rPr>
        <w:t>”</w:t>
      </w:r>
      <w:r>
        <w:rPr>
          <w:rStyle w:val="FootnoteReference"/>
          <w:i/>
          <w:iCs/>
          <w:sz w:val="24"/>
          <w:szCs w:val="24"/>
        </w:rPr>
        <w:footnoteReference w:id="54"/>
      </w:r>
      <w:r>
        <w:rPr>
          <w:i/>
          <w:iCs/>
          <w:sz w:val="24"/>
          <w:szCs w:val="24"/>
        </w:rPr>
        <w:t xml:space="preserve"> </w:t>
      </w:r>
    </w:p>
    <w:p w14:paraId="27C73F73" w14:textId="21D9E31D" w:rsidR="004F1C1C" w:rsidRDefault="004F1C1C" w:rsidP="004F1C1C">
      <w:pPr>
        <w:widowControl/>
        <w:ind w:left="540" w:right="720"/>
        <w:rPr>
          <w:i/>
          <w:iCs/>
          <w:sz w:val="24"/>
          <w:szCs w:val="24"/>
        </w:rPr>
      </w:pPr>
    </w:p>
    <w:p w14:paraId="48461BB9" w14:textId="75384502" w:rsidR="004F1C1C" w:rsidRDefault="004F1C1C" w:rsidP="00C17099">
      <w:pPr>
        <w:widowControl/>
        <w:ind w:right="720"/>
        <w:jc w:val="both"/>
        <w:rPr>
          <w:sz w:val="24"/>
          <w:szCs w:val="24"/>
        </w:rPr>
      </w:pPr>
      <w:r>
        <w:rPr>
          <w:sz w:val="24"/>
          <w:szCs w:val="24"/>
        </w:rPr>
        <w:t>It is now 57 years since the assassination. The continued failure to release the remaining</w:t>
      </w:r>
      <w:r w:rsidR="00C17099">
        <w:rPr>
          <w:sz w:val="24"/>
          <w:szCs w:val="24"/>
        </w:rPr>
        <w:t xml:space="preserve"> </w:t>
      </w:r>
      <w:r>
        <w:rPr>
          <w:sz w:val="24"/>
          <w:szCs w:val="24"/>
        </w:rPr>
        <w:t xml:space="preserve">assassination records violates both the letter and spirit of the law. </w:t>
      </w:r>
      <w:r w:rsidRPr="004F1C1C">
        <w:rPr>
          <w:sz w:val="24"/>
          <w:szCs w:val="24"/>
        </w:rPr>
        <w:t>It is hard to fathom how any postponed records could pose an identifiable harm to the military defense, intelligence operations, law enforcement, or conduct of foreign relations after 57 years.</w:t>
      </w:r>
      <w:r>
        <w:rPr>
          <w:sz w:val="24"/>
          <w:szCs w:val="24"/>
        </w:rPr>
        <w:t xml:space="preserve"> </w:t>
      </w:r>
    </w:p>
    <w:p w14:paraId="22539228" w14:textId="77777777" w:rsidR="004F1C1C" w:rsidRDefault="004F1C1C" w:rsidP="00C17099">
      <w:pPr>
        <w:widowControl/>
        <w:ind w:right="720"/>
        <w:jc w:val="both"/>
        <w:rPr>
          <w:sz w:val="24"/>
          <w:szCs w:val="24"/>
        </w:rPr>
      </w:pPr>
    </w:p>
    <w:p w14:paraId="3EEA9C30" w14:textId="55AFEE29" w:rsidR="004F1C1C" w:rsidRPr="004F1C1C" w:rsidRDefault="004F1C1C" w:rsidP="00C17099">
      <w:pPr>
        <w:widowControl/>
        <w:jc w:val="both"/>
        <w:rPr>
          <w:sz w:val="24"/>
          <w:szCs w:val="24"/>
        </w:rPr>
      </w:pPr>
      <w:r>
        <w:rPr>
          <w:sz w:val="24"/>
          <w:szCs w:val="24"/>
        </w:rPr>
        <w:t xml:space="preserve">Distrust in our institutions is at an all-time low. Many historians have pointed to the secrecy surrounding the JFK assassination as the moment when Americans began to lose faith with our government. Conducting public oversight hearings on the JFK Record Act can be a first step in restoring trust in our political system.  It is time for the Committee to exercise its oversight authority. </w:t>
      </w:r>
      <w:r w:rsidRPr="004F1C1C">
        <w:rPr>
          <w:sz w:val="24"/>
          <w:szCs w:val="24"/>
        </w:rPr>
        <w:t xml:space="preserve">  </w:t>
      </w:r>
    </w:p>
    <w:sectPr w:rsidR="004F1C1C" w:rsidRPr="004F1C1C">
      <w:headerReference w:type="default" r:id="rId9"/>
      <w:footerReference w:type="default" r:id="rId10"/>
      <w:type w:val="continuous"/>
      <w:pgSz w:w="12240" w:h="15840"/>
      <w:pgMar w:top="1440" w:right="1440" w:bottom="1440" w:left="1440" w:header="1440" w:footer="144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2951E6" w14:textId="77777777" w:rsidR="000A5202" w:rsidRDefault="000A5202">
      <w:r>
        <w:separator/>
      </w:r>
    </w:p>
  </w:endnote>
  <w:endnote w:type="continuationSeparator" w:id="0">
    <w:p w14:paraId="402BE16C" w14:textId="77777777" w:rsidR="000A5202" w:rsidRDefault="000A52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37399738"/>
      <w:docPartObj>
        <w:docPartGallery w:val="Page Numbers (Bottom of Page)"/>
        <w:docPartUnique/>
      </w:docPartObj>
    </w:sdtPr>
    <w:sdtEndPr>
      <w:rPr>
        <w:noProof/>
      </w:rPr>
    </w:sdtEndPr>
    <w:sdtContent>
      <w:p w14:paraId="02306E68" w14:textId="34C57DC1" w:rsidR="00BD35A1" w:rsidRDefault="00BD35A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93B2AD" w14:textId="77777777" w:rsidR="00BD35A1" w:rsidRDefault="00BD35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A67DB5" w14:textId="77777777" w:rsidR="000A5202" w:rsidRDefault="000A5202">
      <w:r>
        <w:separator/>
      </w:r>
    </w:p>
  </w:footnote>
  <w:footnote w:type="continuationSeparator" w:id="0">
    <w:p w14:paraId="65246CF1" w14:textId="77777777" w:rsidR="000A5202" w:rsidRDefault="000A5202">
      <w:r>
        <w:continuationSeparator/>
      </w:r>
    </w:p>
  </w:footnote>
  <w:footnote w:id="1">
    <w:p w14:paraId="33D22482" w14:textId="1C4B832E" w:rsidR="00BD35A1" w:rsidRDefault="00BD35A1" w:rsidP="00126BCE">
      <w:pPr>
        <w:pStyle w:val="FootnoteText"/>
        <w:jc w:val="both"/>
      </w:pPr>
      <w:r>
        <w:rPr>
          <w:rStyle w:val="FootnoteReference"/>
        </w:rPr>
        <w:footnoteRef/>
      </w:r>
      <w:r>
        <w:t xml:space="preserve"> </w:t>
      </w:r>
      <w:r w:rsidRPr="00B74019">
        <w:t>House Rule X, clause 2(b)</w:t>
      </w:r>
      <w:r>
        <w:t>(</w:t>
      </w:r>
      <w:r w:rsidRPr="00B74019">
        <w:t xml:space="preserve">provides that the Committee </w:t>
      </w:r>
      <w:r w:rsidRPr="00B74019">
        <w:rPr>
          <w:b/>
          <w:bCs/>
        </w:rPr>
        <w:t xml:space="preserve">shall </w:t>
      </w:r>
      <w:r w:rsidRPr="00B74019">
        <w:t>review and study on a continuing basis</w:t>
      </w:r>
      <w:r>
        <w:t>…</w:t>
      </w:r>
      <w:r w:rsidRPr="00B74019">
        <w:t xml:space="preserve"> (C) any conditions or circumstances that may indicate the necessity or desirability of enacting new or additional legislation addressing subjects within its jurisdiction</w:t>
      </w:r>
      <w:r>
        <w:t xml:space="preserve">. </w:t>
      </w:r>
      <w:r w:rsidRPr="00B74019">
        <w:t xml:space="preserve">House Rule X, clause 3(i), provides that the Committee </w:t>
      </w:r>
      <w:r w:rsidRPr="00B74019">
        <w:rPr>
          <w:b/>
          <w:bCs/>
        </w:rPr>
        <w:t>shall</w:t>
      </w:r>
      <w:r w:rsidRPr="00B74019">
        <w:t xml:space="preserve"> “</w:t>
      </w:r>
      <w:r w:rsidRPr="00E15F00">
        <w:rPr>
          <w:i/>
          <w:iCs/>
        </w:rPr>
        <w:t>review and study on a continuing basis the operation of Government activities at all levels with a view to determining their economy and efficiency</w:t>
      </w:r>
      <w:r w:rsidRPr="00B74019">
        <w:t>.”</w:t>
      </w:r>
      <w:r>
        <w:t xml:space="preserve"> </w:t>
      </w:r>
      <w:r w:rsidRPr="00B74019">
        <w:t xml:space="preserve">House Rule X, clause 4(c)(1), provides that the Committee </w:t>
      </w:r>
      <w:r w:rsidRPr="00B74019">
        <w:rPr>
          <w:b/>
          <w:bCs/>
        </w:rPr>
        <w:t>shall</w:t>
      </w:r>
      <w:r w:rsidRPr="00B74019">
        <w:t xml:space="preserve">: </w:t>
      </w:r>
      <w:r w:rsidRPr="00E15F00">
        <w:rPr>
          <w:i/>
          <w:iCs/>
        </w:rPr>
        <w:t>“(B) evaluate the effects of laws enacted to reorganize the legislative and executive branches of the Governmen</w:t>
      </w:r>
      <w:r w:rsidRPr="00B74019">
        <w:t>t</w:t>
      </w:r>
      <w:r>
        <w:t xml:space="preserve">”. Finally, </w:t>
      </w:r>
      <w:r w:rsidRPr="00B74019">
        <w:t>House Rule X, clause 4(c)(2) provides that the Committee “</w:t>
      </w:r>
      <w:r w:rsidRPr="00E15F00">
        <w:rPr>
          <w:i/>
          <w:iCs/>
        </w:rPr>
        <w:t>may at any time conduct investigations of any matter without regard to clause 1, 2, 3, or this clause [of House Rule X] conferring jurisdiction over the matter to another standing committee</w:t>
      </w:r>
      <w:r>
        <w:rPr>
          <w:i/>
          <w:iCs/>
        </w:rPr>
        <w:t>”</w:t>
      </w:r>
      <w:r w:rsidRPr="00B74019">
        <w:t>.</w:t>
      </w:r>
      <w:r>
        <w:t xml:space="preserve"> </w:t>
      </w:r>
      <w:r w:rsidRPr="00447605">
        <w:rPr>
          <w:b/>
          <w:bCs/>
        </w:rPr>
        <w:t>[emphasis added</w:t>
      </w:r>
      <w:r>
        <w:t>].</w:t>
      </w:r>
    </w:p>
  </w:footnote>
  <w:footnote w:id="2">
    <w:p w14:paraId="2D630868" w14:textId="05D61994" w:rsidR="00BD35A1" w:rsidRDefault="00BD35A1">
      <w:pPr>
        <w:pStyle w:val="FootnoteText"/>
      </w:pPr>
      <w:r>
        <w:rPr>
          <w:rStyle w:val="FootnoteReference"/>
        </w:rPr>
        <w:footnoteRef/>
      </w:r>
      <w:r>
        <w:t xml:space="preserve"> H. Res. 556 </w:t>
      </w:r>
      <w:r w:rsidRPr="00061FAB">
        <w:t>115th Congress (2017-2018)</w:t>
      </w:r>
    </w:p>
  </w:footnote>
  <w:footnote w:id="3">
    <w:p w14:paraId="38DF6C08" w14:textId="0ED0A2C2" w:rsidR="00BD35A1" w:rsidRDefault="00BD35A1">
      <w:pPr>
        <w:pStyle w:val="FootnoteText"/>
      </w:pPr>
      <w:r>
        <w:rPr>
          <w:rStyle w:val="FootnoteReference"/>
        </w:rPr>
        <w:footnoteRef/>
      </w:r>
      <w:r>
        <w:t xml:space="preserve"> </w:t>
      </w:r>
      <w:r w:rsidRPr="000C2196">
        <w:t>Pub</w:t>
      </w:r>
      <w:r>
        <w:t>.</w:t>
      </w:r>
      <w:r w:rsidRPr="000C2196">
        <w:t xml:space="preserve"> L. 102-526</w:t>
      </w:r>
      <w:r>
        <w:t xml:space="preserve">, </w:t>
      </w:r>
      <w:r w:rsidR="000B7AA5">
        <w:t xml:space="preserve"> </w:t>
      </w:r>
      <w:r w:rsidRPr="00666AA3">
        <w:t>106 Stat. 3443</w:t>
      </w:r>
      <w:r>
        <w:t xml:space="preserve"> (1992), codified at </w:t>
      </w:r>
      <w:r w:rsidRPr="00904964">
        <w:t>44 U.S.C. 2107 note</w:t>
      </w:r>
      <w:r>
        <w:t xml:space="preserve">, as amended by the “ </w:t>
      </w:r>
      <w:r w:rsidRPr="000C2196">
        <w:t>President John F. Kennedy Assassination Records Collection Extension Act of 1994</w:t>
      </w:r>
      <w:r>
        <w:t xml:space="preserve">”, </w:t>
      </w:r>
      <w:r w:rsidRPr="000C2196">
        <w:t>Pub. L.</w:t>
      </w:r>
      <w:r w:rsidR="000B7AA5">
        <w:t xml:space="preserve"> </w:t>
      </w:r>
      <w:r w:rsidRPr="000C2196">
        <w:t xml:space="preserve">103–345, </w:t>
      </w:r>
      <w:r w:rsidR="000B7AA5">
        <w:t xml:space="preserve"> </w:t>
      </w:r>
      <w:r w:rsidRPr="000C2196">
        <w:t xml:space="preserve">§ 1, </w:t>
      </w:r>
      <w:r w:rsidR="000B7AA5">
        <w:t xml:space="preserve"> </w:t>
      </w:r>
      <w:r w:rsidRPr="000C2196">
        <w:t>108 Stat. 3128</w:t>
      </w:r>
      <w:r>
        <w:t xml:space="preserve">  (</w:t>
      </w:r>
      <w:r w:rsidRPr="000C2196">
        <w:t>Oct. 6, 1994</w:t>
      </w:r>
      <w:r>
        <w:t xml:space="preserve">). </w:t>
      </w:r>
    </w:p>
  </w:footnote>
  <w:footnote w:id="4">
    <w:p w14:paraId="08998F73" w14:textId="3FF8CDE6" w:rsidR="00BD35A1" w:rsidRDefault="00BD35A1">
      <w:pPr>
        <w:pStyle w:val="FootnoteText"/>
      </w:pPr>
      <w:r>
        <w:rPr>
          <w:rStyle w:val="FootnoteReference"/>
        </w:rPr>
        <w:footnoteRef/>
      </w:r>
      <w:r>
        <w:t xml:space="preserve"> Sunshine Week is an </w:t>
      </w:r>
      <w:r w:rsidRPr="001769D3">
        <w:t xml:space="preserve">annual nationwide initiative to highlight the importance of open government and the imperative of strengthening transparency at all levels of </w:t>
      </w:r>
      <w:r>
        <w:t xml:space="preserve">government.. In 2021,  Sunshine Week is scheduled for the week of </w:t>
      </w:r>
      <w:r w:rsidRPr="001A6ED6">
        <w:t>March 14</w:t>
      </w:r>
      <w:r w:rsidRPr="00185504">
        <w:rPr>
          <w:vertAlign w:val="superscript"/>
        </w:rPr>
        <w:t>th</w:t>
      </w:r>
      <w:r>
        <w:t xml:space="preserve"> </w:t>
      </w:r>
      <w:r w:rsidRPr="001A6ED6">
        <w:t>-</w:t>
      </w:r>
      <w:r>
        <w:t xml:space="preserve"> </w:t>
      </w:r>
      <w:r w:rsidRPr="001A6ED6">
        <w:t>20</w:t>
      </w:r>
      <w:r w:rsidRPr="001A6ED6">
        <w:rPr>
          <w:vertAlign w:val="superscript"/>
        </w:rPr>
        <w:t>th</w:t>
      </w:r>
      <w:r>
        <w:t xml:space="preserve">.  See </w:t>
      </w:r>
      <w:hyperlink r:id="rId1" w:history="1">
        <w:r w:rsidRPr="00ED23E3">
          <w:rPr>
            <w:rStyle w:val="Hyperlink"/>
          </w:rPr>
          <w:t>https://twitter.com/SunshineWeek</w:t>
        </w:r>
      </w:hyperlink>
      <w:r>
        <w:t xml:space="preserve">. </w:t>
      </w:r>
    </w:p>
  </w:footnote>
  <w:footnote w:id="5">
    <w:p w14:paraId="21558889" w14:textId="2DD8A3C5" w:rsidR="00BD35A1" w:rsidRDefault="00BD35A1">
      <w:pPr>
        <w:pStyle w:val="FootnoteText"/>
      </w:pPr>
      <w:r>
        <w:rPr>
          <w:rStyle w:val="FootnoteReference"/>
        </w:rPr>
        <w:footnoteRef/>
      </w:r>
      <w:r>
        <w:t xml:space="preserve"> </w:t>
      </w:r>
      <w:r w:rsidRPr="004C29B4">
        <w:t>A Vaughn Index must: (1) identify each document withheld; (2) state the statutory exemption claimed; and (3) explain how disclosure would damage the interests protected by the claimed exemption.</w:t>
      </w:r>
      <w:r>
        <w:t xml:space="preserve"> See </w:t>
      </w:r>
      <w:r w:rsidRPr="004C29B4">
        <w:t>Vaughn v. Rosen</w:t>
      </w:r>
      <w:r>
        <w:t xml:space="preserve">, </w:t>
      </w:r>
      <w:r w:rsidRPr="004C29B4">
        <w:t>484 F.2d 820 (D.C. Cir. 1973), cert. denied, 415 U.S. 977 (1974</w:t>
      </w:r>
      <w:r>
        <w:t xml:space="preserve">). See also </w:t>
      </w:r>
      <w:r w:rsidRPr="004C29B4">
        <w:rPr>
          <w:i/>
          <w:iCs/>
        </w:rPr>
        <w:t>Citizens Comm'n on Human Rights v. FDA</w:t>
      </w:r>
      <w:r w:rsidRPr="004C29B4">
        <w:t>, 45 F.3d 1325, 1326 n.1 (9th Cir. 1995)</w:t>
      </w:r>
      <w:r>
        <w:t>.</w:t>
      </w:r>
    </w:p>
  </w:footnote>
  <w:footnote w:id="6">
    <w:p w14:paraId="7B77FC17" w14:textId="1A2F9215" w:rsidR="00BD35A1" w:rsidRDefault="00BD35A1">
      <w:pPr>
        <w:pStyle w:val="FootnoteText"/>
      </w:pPr>
      <w:r>
        <w:rPr>
          <w:rStyle w:val="FootnoteReference"/>
        </w:rPr>
        <w:footnoteRef/>
      </w:r>
      <w:r>
        <w:t xml:space="preserve"> 44 U.S.C. 2107 note,  Sec. 5(e). </w:t>
      </w:r>
    </w:p>
  </w:footnote>
  <w:footnote w:id="7">
    <w:p w14:paraId="24B6B093" w14:textId="3776A157" w:rsidR="00BD35A1" w:rsidRDefault="00BD35A1" w:rsidP="002545BB">
      <w:pPr>
        <w:pStyle w:val="FootnoteText"/>
      </w:pPr>
      <w:r>
        <w:rPr>
          <w:rStyle w:val="FootnoteReference"/>
        </w:rPr>
        <w:footnoteRef/>
      </w:r>
      <w:r>
        <w:t xml:space="preserve"> 44 U.S.C. 2107 note,  Sec. 7(i)(2)(A).</w:t>
      </w:r>
    </w:p>
  </w:footnote>
  <w:footnote w:id="8">
    <w:p w14:paraId="3B8E0379" w14:textId="62FA33C8" w:rsidR="00BD35A1" w:rsidRDefault="00BD35A1" w:rsidP="00BC783B">
      <w:pPr>
        <w:pStyle w:val="FootnoteText"/>
      </w:pPr>
      <w:r>
        <w:rPr>
          <w:rStyle w:val="FootnoteReference"/>
        </w:rPr>
        <w:footnoteRef/>
      </w:r>
      <w:r>
        <w:t xml:space="preserve"> 36 CFR 1290.1; see also </w:t>
      </w:r>
      <w:r w:rsidRPr="00AA21DF">
        <w:t>44 U.S.C. § 2107 note</w:t>
      </w:r>
      <w:r>
        <w:t xml:space="preserve">, </w:t>
      </w:r>
      <w:r w:rsidRPr="00AA21DF">
        <w:t>Sec</w:t>
      </w:r>
      <w:r>
        <w:t>.</w:t>
      </w:r>
      <w:r w:rsidRPr="00AA21DF">
        <w:t xml:space="preserve"> 3(2)(E}</w:t>
      </w:r>
      <w:r>
        <w:t xml:space="preserve"> </w:t>
      </w:r>
      <w:r w:rsidRPr="00AA21DF">
        <w:t xml:space="preserve"> </w:t>
      </w:r>
    </w:p>
  </w:footnote>
  <w:footnote w:id="9">
    <w:p w14:paraId="0921FCF1" w14:textId="3E75A9DF" w:rsidR="00BD35A1" w:rsidRDefault="00BD35A1">
      <w:pPr>
        <w:pStyle w:val="FootnoteText"/>
      </w:pPr>
      <w:r>
        <w:rPr>
          <w:rStyle w:val="FootnoteReference"/>
        </w:rPr>
        <w:footnoteRef/>
      </w:r>
      <w:r>
        <w:t xml:space="preserve"> </w:t>
      </w:r>
      <w:r w:rsidRPr="002545BB">
        <w:t xml:space="preserve">44 U.S.C. 2107 note </w:t>
      </w:r>
      <w:r>
        <w:t xml:space="preserve"> Sec. </w:t>
      </w:r>
      <w:r w:rsidR="00BC4BB7">
        <w:t xml:space="preserve">6. </w:t>
      </w:r>
      <w:r>
        <w:t xml:space="preserve"> </w:t>
      </w:r>
    </w:p>
  </w:footnote>
  <w:footnote w:id="10">
    <w:p w14:paraId="52280888" w14:textId="6C2E6360" w:rsidR="00BD35A1" w:rsidRDefault="00BD35A1" w:rsidP="00BC783B">
      <w:pPr>
        <w:pStyle w:val="FootnoteText"/>
      </w:pPr>
      <w:r>
        <w:rPr>
          <w:rStyle w:val="FootnoteReference"/>
        </w:rPr>
        <w:footnoteRef/>
      </w:r>
      <w:r>
        <w:t xml:space="preserve"> 44 U.S.C. 2107 note,  Sec.</w:t>
      </w:r>
      <w:r w:rsidRPr="00FC2A7B">
        <w:t xml:space="preserve"> 5(g)(1)–(2)</w:t>
      </w:r>
      <w:r w:rsidR="00BC4BB7">
        <w:t>.</w:t>
      </w:r>
    </w:p>
  </w:footnote>
  <w:footnote w:id="11">
    <w:p w14:paraId="64DC1F7F" w14:textId="0B7DC3FC" w:rsidR="00BD35A1" w:rsidRDefault="00BD35A1" w:rsidP="00BC783B">
      <w:pPr>
        <w:pStyle w:val="FootnoteText"/>
      </w:pPr>
      <w:r>
        <w:rPr>
          <w:rStyle w:val="FootnoteReference"/>
        </w:rPr>
        <w:footnoteRef/>
      </w:r>
      <w:r>
        <w:t xml:space="preserve"> </w:t>
      </w:r>
      <w:r w:rsidRPr="00B57864">
        <w:t>Review of JFK Assassination Records Collection Act of 199</w:t>
      </w:r>
      <w:r>
        <w:t xml:space="preserve">2, </w:t>
      </w:r>
      <w:r w:rsidRPr="00B57864">
        <w:t>Special Report No. 18-SR-07</w:t>
      </w:r>
      <w:r>
        <w:t>(OIG 3/29/2018).</w:t>
      </w:r>
    </w:p>
  </w:footnote>
  <w:footnote w:id="12">
    <w:p w14:paraId="1F941C4C" w14:textId="5E23915D" w:rsidR="00BD35A1" w:rsidRDefault="00BD35A1">
      <w:pPr>
        <w:pStyle w:val="FootnoteText"/>
      </w:pPr>
      <w:r>
        <w:rPr>
          <w:rStyle w:val="FootnoteReference"/>
        </w:rPr>
        <w:footnoteRef/>
      </w:r>
      <w:r>
        <w:t xml:space="preserve"> Id. </w:t>
      </w:r>
    </w:p>
  </w:footnote>
  <w:footnote w:id="13">
    <w:p w14:paraId="6BB14006" w14:textId="34782024" w:rsidR="00BD35A1" w:rsidRDefault="00BD35A1" w:rsidP="00BC4BB7">
      <w:pPr>
        <w:pStyle w:val="FootnoteText"/>
        <w:jc w:val="both"/>
      </w:pPr>
      <w:r>
        <w:rPr>
          <w:rStyle w:val="FootnoteReference"/>
        </w:rPr>
        <w:footnoteRef/>
      </w:r>
      <w:r>
        <w:t xml:space="preserve"> Id. </w:t>
      </w:r>
      <w:r w:rsidRPr="00B57864">
        <w:t>The letter reminded the agencies that the JFK ACT does not require waiting until the deadline to release records</w:t>
      </w:r>
      <w:r w:rsidR="000B7AA5">
        <w:t xml:space="preserve">, </w:t>
      </w:r>
      <w:r w:rsidRPr="00B57864">
        <w:t xml:space="preserve"> and that NARA would prefer to release records on a rolling basis.</w:t>
      </w:r>
      <w:r>
        <w:t xml:space="preserve"> </w:t>
      </w:r>
    </w:p>
  </w:footnote>
  <w:footnote w:id="14">
    <w:p w14:paraId="1D540D5A" w14:textId="685C3AA2" w:rsidR="00BD35A1" w:rsidRDefault="00BD35A1">
      <w:pPr>
        <w:pStyle w:val="FootnoteText"/>
      </w:pPr>
      <w:r>
        <w:rPr>
          <w:rStyle w:val="FootnoteReference"/>
        </w:rPr>
        <w:footnoteRef/>
      </w:r>
      <w:r>
        <w:t xml:space="preserve"> </w:t>
      </w:r>
      <w:r w:rsidRPr="002545BB">
        <w:t xml:space="preserve">44 U.S.C. 2107 note </w:t>
      </w:r>
      <w:r>
        <w:t>, Sec</w:t>
      </w:r>
      <w:r w:rsidRPr="00BD35A1">
        <w:t xml:space="preserve"> 5(g)(2)(D)</w:t>
      </w:r>
      <w:r>
        <w:t>.</w:t>
      </w:r>
    </w:p>
  </w:footnote>
  <w:footnote w:id="15">
    <w:p w14:paraId="09F20DCF" w14:textId="5DBB0EA9" w:rsidR="00BD35A1" w:rsidRDefault="00BD35A1" w:rsidP="00BC4BB7">
      <w:pPr>
        <w:pStyle w:val="FootnoteText"/>
        <w:jc w:val="both"/>
      </w:pPr>
      <w:r>
        <w:rPr>
          <w:rStyle w:val="FootnoteReference"/>
        </w:rPr>
        <w:footnoteRef/>
      </w:r>
      <w:r>
        <w:t xml:space="preserve"> </w:t>
      </w:r>
      <w:r w:rsidR="00880D81">
        <w:t xml:space="preserve">Id. </w:t>
      </w:r>
      <w:r w:rsidR="00880D81" w:rsidRPr="00880D81">
        <w:rPr>
          <w:i/>
          <w:iCs/>
          <w:u w:val="single"/>
        </w:rPr>
        <w:t>See also</w:t>
      </w:r>
      <w:r w:rsidR="00880D81">
        <w:t xml:space="preserve"> </w:t>
      </w:r>
      <w:r w:rsidRPr="001D12D6">
        <w:t>Curtis E. Gannon</w:t>
      </w:r>
      <w:r>
        <w:t xml:space="preserve">, </w:t>
      </w:r>
      <w:r w:rsidRPr="001D12D6">
        <w:t>Memorandum Opinion for the Counsel to th</w:t>
      </w:r>
      <w:r>
        <w:t xml:space="preserve">e </w:t>
      </w:r>
      <w:r w:rsidRPr="001D12D6">
        <w:t xml:space="preserve"> President</w:t>
      </w:r>
      <w:r>
        <w:t>, “</w:t>
      </w:r>
      <w:r w:rsidRPr="001D12D6">
        <w:t>Temporary Certification Under the President John F. Kennedy Assassination Records Collection Act of 1992</w:t>
      </w:r>
      <w:r>
        <w:t>” (</w:t>
      </w:r>
      <w:r w:rsidRPr="001D12D6">
        <w:t>Office of Legal Counsel</w:t>
      </w:r>
      <w:r>
        <w:t>, 10/ 26/2017 )</w:t>
      </w:r>
      <w:r w:rsidR="00BC4BB7">
        <w:t>.</w:t>
      </w:r>
    </w:p>
  </w:footnote>
  <w:footnote w:id="16">
    <w:p w14:paraId="260879C5" w14:textId="072B7AEA" w:rsidR="00BD35A1" w:rsidRDefault="00BD35A1" w:rsidP="00BC4BB7">
      <w:pPr>
        <w:pStyle w:val="FootnoteText"/>
        <w:jc w:val="both"/>
      </w:pPr>
      <w:r>
        <w:rPr>
          <w:rStyle w:val="FootnoteReference"/>
        </w:rPr>
        <w:footnoteRef/>
      </w:r>
      <w:r>
        <w:t xml:space="preserve"> </w:t>
      </w:r>
      <w:r w:rsidRPr="001D12D6">
        <w:t xml:space="preserve">Memorandum for John A. Eisenberg, Legal Adviser to the National Security Council, from John P. Fitzpatrick, Senior Director for Records, </w:t>
      </w:r>
      <w:r>
        <w:t>“</w:t>
      </w:r>
      <w:r w:rsidRPr="001D12D6">
        <w:t xml:space="preserve">Access and Information Security Management, </w:t>
      </w:r>
      <w:r>
        <w:t xml:space="preserve"> </w:t>
      </w:r>
      <w:r w:rsidRPr="001D12D6">
        <w:t xml:space="preserve">National </w:t>
      </w:r>
      <w:r>
        <w:t xml:space="preserve"> </w:t>
      </w:r>
      <w:r w:rsidRPr="001D12D6">
        <w:t xml:space="preserve">Security </w:t>
      </w:r>
      <w:r>
        <w:t xml:space="preserve"> </w:t>
      </w:r>
      <w:r w:rsidRPr="001D12D6">
        <w:t>Council</w:t>
      </w:r>
      <w:r>
        <w:t xml:space="preserve">, </w:t>
      </w:r>
      <w:r w:rsidRPr="001D12D6">
        <w:t xml:space="preserve">Department and Agency Requests for </w:t>
      </w:r>
      <w:r>
        <w:t xml:space="preserve"> </w:t>
      </w:r>
      <w:r w:rsidRPr="001D12D6">
        <w:t>Continued</w:t>
      </w:r>
      <w:r>
        <w:t xml:space="preserve"> </w:t>
      </w:r>
      <w:r w:rsidRPr="001D12D6">
        <w:t xml:space="preserve"> Postponement of Records under the JFK Assassination Records Collection Act</w:t>
      </w:r>
      <w:r>
        <w:t>”</w:t>
      </w:r>
      <w:r w:rsidRPr="001D12D6">
        <w:t xml:space="preserve">  (Oct. 25, 2017) (“NSC Memorandum”)</w:t>
      </w:r>
      <w:r w:rsidR="00C77B94">
        <w:t>.</w:t>
      </w:r>
    </w:p>
  </w:footnote>
  <w:footnote w:id="17">
    <w:p w14:paraId="11E32657" w14:textId="0EBD1717" w:rsidR="00BC4BB7" w:rsidRDefault="00BC4BB7">
      <w:pPr>
        <w:pStyle w:val="FootnoteText"/>
      </w:pPr>
      <w:r>
        <w:rPr>
          <w:rStyle w:val="FootnoteReference"/>
        </w:rPr>
        <w:footnoteRef/>
      </w:r>
      <w:r>
        <w:t xml:space="preserve"> </w:t>
      </w:r>
      <w:r w:rsidRPr="00BC4BB7">
        <w:t>44 U.S.C. 2107 note,  Sec. 5(g)(2)(D)</w:t>
      </w:r>
      <w:r w:rsidR="00C77B94">
        <w:t>.</w:t>
      </w:r>
    </w:p>
  </w:footnote>
  <w:footnote w:id="18">
    <w:p w14:paraId="2E343D8E" w14:textId="3CD33C4C" w:rsidR="00BD35A1" w:rsidRDefault="00BD35A1" w:rsidP="00BC4BB7">
      <w:pPr>
        <w:pStyle w:val="FootnoteText"/>
        <w:jc w:val="both"/>
      </w:pPr>
      <w:r>
        <w:rPr>
          <w:rStyle w:val="FootnoteReference"/>
        </w:rPr>
        <w:footnoteRef/>
      </w:r>
      <w:r>
        <w:t xml:space="preserve"> </w:t>
      </w:r>
      <w:r w:rsidRPr="00992E89">
        <w:t xml:space="preserve">Memorandum for the President, from David S. Ferriero, Archivist of the United States, </w:t>
      </w:r>
      <w:r w:rsidR="00C77B94">
        <w:t>“</w:t>
      </w:r>
      <w:r w:rsidRPr="00992E89">
        <w:t>Re: Concerns Regarding Agency Proposals to Postpone Records Pursuant to Section 5 of the President John F. Kennedy Assassination Records Collection Act of 1992</w:t>
      </w:r>
      <w:r>
        <w:t>”</w:t>
      </w:r>
      <w:r w:rsidRPr="00992E89">
        <w:t xml:space="preserve"> at 1 (Oct. 12, 2017).</w:t>
      </w:r>
    </w:p>
  </w:footnote>
  <w:footnote w:id="19">
    <w:p w14:paraId="252A32E6" w14:textId="56E918AA" w:rsidR="00BD35A1" w:rsidRDefault="00BD35A1" w:rsidP="00BC4BB7">
      <w:pPr>
        <w:pStyle w:val="FootnoteText"/>
        <w:jc w:val="both"/>
      </w:pPr>
      <w:r>
        <w:rPr>
          <w:rStyle w:val="FootnoteReference"/>
        </w:rPr>
        <w:footnoteRef/>
      </w:r>
      <w:r>
        <w:t xml:space="preserve"> </w:t>
      </w:r>
      <w:r w:rsidRPr="00B166AF">
        <w:t>Memorandum of President of the United States, Oct. 26, 2017, 82 F.R. 50307</w:t>
      </w:r>
      <w:r>
        <w:t xml:space="preserve"> (10/31/2017).</w:t>
      </w:r>
    </w:p>
  </w:footnote>
  <w:footnote w:id="20">
    <w:p w14:paraId="728660B6" w14:textId="2A172745" w:rsidR="00BC4BB7" w:rsidRDefault="00BC4BB7">
      <w:pPr>
        <w:pStyle w:val="FootnoteText"/>
      </w:pPr>
      <w:r>
        <w:rPr>
          <w:rStyle w:val="FootnoteReference"/>
        </w:rPr>
        <w:footnoteRef/>
      </w:r>
      <w:r>
        <w:t xml:space="preserve"> </w:t>
      </w:r>
      <w:r w:rsidRPr="00BC4BB7">
        <w:t>44 U.S.C. 2107 note,  Sec. 5(g)(2)(D)</w:t>
      </w:r>
      <w:r w:rsidR="00C77B94">
        <w:t>.</w:t>
      </w:r>
    </w:p>
  </w:footnote>
  <w:footnote w:id="21">
    <w:p w14:paraId="5EEF71E0" w14:textId="77777777" w:rsidR="00BD35A1" w:rsidRDefault="00BD35A1" w:rsidP="00BC4BB7">
      <w:pPr>
        <w:pStyle w:val="FootnoteText"/>
        <w:jc w:val="both"/>
      </w:pPr>
      <w:r>
        <w:rPr>
          <w:rStyle w:val="FootnoteReference"/>
        </w:rPr>
        <w:footnoteRef/>
      </w:r>
      <w:r>
        <w:t xml:space="preserve"> </w:t>
      </w:r>
      <w:r w:rsidRPr="00A050A0">
        <w:t xml:space="preserve">Memorandum for the President, from David S. Ferriero, Archivist of the United States, </w:t>
      </w:r>
      <w:r>
        <w:t xml:space="preserve">“Recommendations </w:t>
      </w:r>
      <w:r w:rsidRPr="00A050A0">
        <w:t>Concern</w:t>
      </w:r>
      <w:r>
        <w:t xml:space="preserve">ing Certification of Certain </w:t>
      </w:r>
      <w:r w:rsidRPr="00A050A0">
        <w:t xml:space="preserve">Records </w:t>
      </w:r>
      <w:r>
        <w:t xml:space="preserve">Related to the Assassination </w:t>
      </w:r>
      <w:r w:rsidRPr="00A050A0">
        <w:t>of President John F. Kennedy</w:t>
      </w:r>
      <w:r>
        <w:t>”</w:t>
      </w:r>
      <w:r w:rsidRPr="00A050A0">
        <w:t xml:space="preserve"> (</w:t>
      </w:r>
      <w:r>
        <w:t>March 26,</w:t>
      </w:r>
      <w:r w:rsidRPr="00A050A0">
        <w:t xml:space="preserve"> 201</w:t>
      </w:r>
      <w:r>
        <w:t>8</w:t>
      </w:r>
      <w:r w:rsidRPr="00A050A0">
        <w:t>) (“</w:t>
      </w:r>
      <w:r>
        <w:t xml:space="preserve">2018 </w:t>
      </w:r>
      <w:r w:rsidRPr="00A050A0">
        <w:t>Archivist Memorandum”).</w:t>
      </w:r>
    </w:p>
  </w:footnote>
  <w:footnote w:id="22">
    <w:p w14:paraId="22F093CA" w14:textId="77777777" w:rsidR="00BD35A1" w:rsidRDefault="00BD35A1" w:rsidP="00BC4BB7">
      <w:pPr>
        <w:pStyle w:val="FootnoteText"/>
        <w:jc w:val="both"/>
      </w:pPr>
      <w:r>
        <w:rPr>
          <w:rStyle w:val="FootnoteReference"/>
        </w:rPr>
        <w:footnoteRef/>
      </w:r>
      <w:r>
        <w:t xml:space="preserve"> </w:t>
      </w:r>
      <w:r w:rsidRPr="00B166AF">
        <w:t xml:space="preserve">Memorandum of President of the United States, </w:t>
      </w:r>
      <w:r>
        <w:t>“Certification for Certain Records Related to the Assassination</w:t>
      </w:r>
    </w:p>
    <w:p w14:paraId="02627811" w14:textId="77777777" w:rsidR="00BD35A1" w:rsidRDefault="00BD35A1" w:rsidP="00BC4BB7">
      <w:pPr>
        <w:pStyle w:val="FootnoteText"/>
        <w:jc w:val="both"/>
      </w:pPr>
      <w:r>
        <w:t>of President John F. Kennedy” (</w:t>
      </w:r>
      <w:r w:rsidRPr="00B166AF">
        <w:t>Apr. 26, 2018</w:t>
      </w:r>
      <w:r>
        <w:t>),</w:t>
      </w:r>
      <w:r w:rsidRPr="00B166AF">
        <w:t xml:space="preserve"> </w:t>
      </w:r>
      <w:r>
        <w:t xml:space="preserve"> </w:t>
      </w:r>
      <w:r w:rsidRPr="00B166AF">
        <w:t>83 F.R. 19157</w:t>
      </w:r>
      <w:r>
        <w:t xml:space="preserve"> (05/02/2018)</w:t>
      </w:r>
      <w:r w:rsidRPr="00B166AF">
        <w:t>.</w:t>
      </w:r>
    </w:p>
  </w:footnote>
  <w:footnote w:id="23">
    <w:p w14:paraId="16A4C2D3" w14:textId="21F815E3" w:rsidR="00BD35A1" w:rsidRDefault="00BD35A1" w:rsidP="00BC783B">
      <w:pPr>
        <w:pStyle w:val="FootnoteText"/>
      </w:pPr>
      <w:r>
        <w:rPr>
          <w:rStyle w:val="FootnoteReference"/>
        </w:rPr>
        <w:footnoteRef/>
      </w:r>
      <w:r>
        <w:t xml:space="preserve"> 44 U.S.C. 2107 note,  Sec. (7)(l)(1).</w:t>
      </w:r>
    </w:p>
  </w:footnote>
  <w:footnote w:id="24">
    <w:p w14:paraId="5F87562D" w14:textId="2F260B55" w:rsidR="00BD35A1" w:rsidRDefault="00BD35A1">
      <w:pPr>
        <w:pStyle w:val="FootnoteText"/>
      </w:pPr>
      <w:r>
        <w:rPr>
          <w:rStyle w:val="FootnoteReference"/>
        </w:rPr>
        <w:footnoteRef/>
      </w:r>
      <w:r>
        <w:t xml:space="preserve"> 44 U.S.C. 2107 note,  Sec.</w:t>
      </w:r>
      <w:r w:rsidRPr="00FC2A7B">
        <w:t xml:space="preserve"> </w:t>
      </w:r>
      <w:r>
        <w:t xml:space="preserve"> 6.</w:t>
      </w:r>
    </w:p>
  </w:footnote>
  <w:footnote w:id="25">
    <w:p w14:paraId="4168BF9D" w14:textId="6D2BB970" w:rsidR="00BD35A1" w:rsidRDefault="00BD35A1" w:rsidP="00824FAA">
      <w:pPr>
        <w:pStyle w:val="FootnoteText"/>
      </w:pPr>
      <w:r>
        <w:rPr>
          <w:rStyle w:val="FootnoteReference"/>
        </w:rPr>
        <w:footnoteRef/>
      </w:r>
      <w:r>
        <w:t xml:space="preserve"> </w:t>
      </w:r>
      <w:r w:rsidRPr="00A4447E">
        <w:t>S. Res. 281</w:t>
      </w:r>
      <w:r w:rsidR="00C77B94">
        <w:t xml:space="preserve">, </w:t>
      </w:r>
      <w:r w:rsidRPr="00193212">
        <w:t xml:space="preserve"> 115th Congress (2017-2018)</w:t>
      </w:r>
      <w:r w:rsidR="007067DD">
        <w:t xml:space="preserve"> </w:t>
      </w:r>
      <w:r>
        <w:t xml:space="preserve">( Referred to </w:t>
      </w:r>
      <w:r w:rsidRPr="0041510A">
        <w:t xml:space="preserve">Senate Homeland Security and Governmental Affairs </w:t>
      </w:r>
      <w:r>
        <w:t xml:space="preserve"> on </w:t>
      </w:r>
      <w:r w:rsidRPr="00A4447E">
        <w:t>10/04/2017</w:t>
      </w:r>
      <w:r>
        <w:t>).</w:t>
      </w:r>
    </w:p>
  </w:footnote>
  <w:footnote w:id="26">
    <w:p w14:paraId="6A8BC6F2" w14:textId="670160EB" w:rsidR="00BD35A1" w:rsidRDefault="00BD35A1" w:rsidP="00824FAA">
      <w:pPr>
        <w:pStyle w:val="FootnoteText"/>
      </w:pPr>
      <w:r>
        <w:rPr>
          <w:rStyle w:val="FootnoteReference"/>
        </w:rPr>
        <w:footnoteRef/>
      </w:r>
      <w:r>
        <w:t xml:space="preserve"> </w:t>
      </w:r>
      <w:r w:rsidRPr="00A4447E">
        <w:t>H. Res. 556</w:t>
      </w:r>
      <w:r w:rsidR="00C77B94">
        <w:t>,</w:t>
      </w:r>
      <w:r>
        <w:t xml:space="preserve"> </w:t>
      </w:r>
      <w:r w:rsidR="00C77B94">
        <w:t xml:space="preserve"> </w:t>
      </w:r>
      <w:r w:rsidRPr="0041510A">
        <w:t>115th Congress (2017-2018)</w:t>
      </w:r>
      <w:r>
        <w:t xml:space="preserve">.  Other co-sponsors included </w:t>
      </w:r>
      <w:r w:rsidRPr="0041510A">
        <w:t>Brendan F. Boyle</w:t>
      </w:r>
      <w:r>
        <w:t xml:space="preserve">, </w:t>
      </w:r>
      <w:r w:rsidRPr="00A4447E">
        <w:t xml:space="preserve">John Conyers, </w:t>
      </w:r>
      <w:r w:rsidRPr="0041510A">
        <w:t>Anna G. Eshoo</w:t>
      </w:r>
      <w:r>
        <w:t xml:space="preserve">, </w:t>
      </w:r>
      <w:r w:rsidRPr="00A4447E">
        <w:t>Matt Gaetz,</w:t>
      </w:r>
      <w:r w:rsidRPr="0041510A">
        <w:t xml:space="preserve"> Eleanor Holmes Norton</w:t>
      </w:r>
      <w:r>
        <w:t xml:space="preserve">, </w:t>
      </w:r>
      <w:r w:rsidRPr="00A4447E">
        <w:t>Marcy Kaptur</w:t>
      </w:r>
      <w:r>
        <w:t xml:space="preserve">, </w:t>
      </w:r>
      <w:r w:rsidRPr="0041510A">
        <w:t>Ro Khanna</w:t>
      </w:r>
      <w:r>
        <w:t xml:space="preserve">, </w:t>
      </w:r>
      <w:r w:rsidRPr="00A4447E">
        <w:t>Walter B. Jones</w:t>
      </w:r>
      <w:r>
        <w:t xml:space="preserve">, </w:t>
      </w:r>
      <w:r w:rsidRPr="0041510A">
        <w:t>Bill Pascrell, Jr</w:t>
      </w:r>
      <w:r>
        <w:t xml:space="preserve">., </w:t>
      </w:r>
      <w:r w:rsidRPr="00A4447E">
        <w:t>Dana Rohrbacher</w:t>
      </w:r>
      <w:r>
        <w:t xml:space="preserve"> and </w:t>
      </w:r>
      <w:r w:rsidRPr="00A4447E">
        <w:t>Louise Slaughter</w:t>
      </w:r>
      <w:r>
        <w:t>.</w:t>
      </w:r>
    </w:p>
  </w:footnote>
  <w:footnote w:id="27">
    <w:p w14:paraId="7CF61A55" w14:textId="23C3023F" w:rsidR="004E6969" w:rsidRDefault="004E6969">
      <w:pPr>
        <w:pStyle w:val="FootnoteText"/>
      </w:pPr>
      <w:r>
        <w:rPr>
          <w:rStyle w:val="FootnoteReference"/>
        </w:rPr>
        <w:footnoteRef/>
      </w:r>
      <w:r>
        <w:t xml:space="preserve"> </w:t>
      </w:r>
      <w:r w:rsidRPr="004E6969">
        <w:t>A Vision for the Digital Age: Modernization of the U.S. National Security Classification and Declassification System”</w:t>
      </w:r>
      <w:r>
        <w:t xml:space="preserve">, page iii </w:t>
      </w:r>
      <w:r w:rsidRPr="004E6969">
        <w:t>(May 2020)</w:t>
      </w:r>
      <w:r w:rsidR="00C77B94">
        <w:t>.</w:t>
      </w:r>
    </w:p>
  </w:footnote>
  <w:footnote w:id="28">
    <w:p w14:paraId="49D2D74B" w14:textId="6BFB4C30" w:rsidR="00BD35A1" w:rsidRDefault="00BD35A1" w:rsidP="00BC783B">
      <w:pPr>
        <w:pStyle w:val="FootnoteText"/>
      </w:pPr>
      <w:r>
        <w:rPr>
          <w:rStyle w:val="FootnoteReference"/>
        </w:rPr>
        <w:footnoteRef/>
      </w:r>
      <w:r>
        <w:t xml:space="preserve"> </w:t>
      </w:r>
      <w:r w:rsidRPr="00734BD3">
        <w:t>Pub</w:t>
      </w:r>
      <w:r>
        <w:t>.</w:t>
      </w:r>
      <w:r w:rsidRPr="00734BD3">
        <w:t xml:space="preserve"> L</w:t>
      </w:r>
      <w:r>
        <w:t>.</w:t>
      </w:r>
      <w:r w:rsidRPr="00734BD3">
        <w:t xml:space="preserve"> 106-567</w:t>
      </w:r>
      <w:r>
        <w:t xml:space="preserve"> , as a</w:t>
      </w:r>
      <w:r w:rsidRPr="00174054">
        <w:t>mended,</w:t>
      </w:r>
      <w:r w:rsidR="00C77B94">
        <w:t xml:space="preserve"> </w:t>
      </w:r>
      <w:r w:rsidRPr="00174054">
        <w:t xml:space="preserve"> 50 U.S.C.§ 3355a</w:t>
      </w:r>
      <w:r w:rsidR="00C77B94">
        <w:t xml:space="preserve">; </w:t>
      </w:r>
      <w:r w:rsidRPr="00174054">
        <w:t xml:space="preserve">Pub. L. 116-92, </w:t>
      </w:r>
      <w:r>
        <w:t xml:space="preserve">codified at </w:t>
      </w:r>
      <w:r w:rsidRPr="00627095">
        <w:t>50 U.S.C. 3161 note</w:t>
      </w:r>
      <w:r>
        <w:t>.</w:t>
      </w:r>
    </w:p>
  </w:footnote>
  <w:footnote w:id="29">
    <w:p w14:paraId="389A4365" w14:textId="0B54D84A" w:rsidR="00BD35A1" w:rsidRDefault="00BD35A1" w:rsidP="00F9726B">
      <w:pPr>
        <w:pStyle w:val="FootnoteText"/>
        <w:jc w:val="both"/>
      </w:pPr>
      <w:r>
        <w:rPr>
          <w:rStyle w:val="FootnoteReference"/>
        </w:rPr>
        <w:footnoteRef/>
      </w:r>
      <w:r>
        <w:t xml:space="preserve"> </w:t>
      </w:r>
      <w:r w:rsidRPr="00473308">
        <w:rPr>
          <w:i/>
          <w:iCs/>
          <w:u w:val="single"/>
        </w:rPr>
        <w:t>See</w:t>
      </w:r>
      <w:r>
        <w:t xml:space="preserve"> “</w:t>
      </w:r>
      <w:r w:rsidRPr="00A62993">
        <w:t>A Vision for the Digital Age: Modernization of the U.S. National Security Classification and Declassification System</w:t>
      </w:r>
      <w:r>
        <w:t>”</w:t>
      </w:r>
      <w:r w:rsidR="00C77B94">
        <w:t xml:space="preserve"> </w:t>
      </w:r>
      <w:r>
        <w:t>(May 2020);</w:t>
      </w:r>
      <w:r w:rsidRPr="00A62993">
        <w:t xml:space="preserve"> </w:t>
      </w:r>
      <w:r>
        <w:t>“</w:t>
      </w:r>
      <w:r w:rsidRPr="00A62993">
        <w:t>The Importance of Technology in Classification and Declassification</w:t>
      </w:r>
      <w:r>
        <w:t>”</w:t>
      </w:r>
      <w:r w:rsidR="00C77B94">
        <w:t xml:space="preserve"> </w:t>
      </w:r>
      <w:r>
        <w:t>(June 2016);</w:t>
      </w:r>
      <w:r w:rsidRPr="00A62993">
        <w:t xml:space="preserve"> </w:t>
      </w:r>
      <w:r>
        <w:t>“</w:t>
      </w:r>
      <w:r w:rsidRPr="00A62993">
        <w:t>Setting Priorities:</w:t>
      </w:r>
      <w:r w:rsidR="00473308">
        <w:t xml:space="preserve"> </w:t>
      </w:r>
      <w:r w:rsidRPr="00A62993">
        <w:t>An Essential Step in Transforming Declassification</w:t>
      </w:r>
      <w:r>
        <w:t>” (December 2014); “</w:t>
      </w:r>
      <w:r w:rsidRPr="00627816">
        <w:t>Transforming the Security Classification System</w:t>
      </w:r>
      <w:r>
        <w:t xml:space="preserve"> (November 2012)”;</w:t>
      </w:r>
      <w:r w:rsidRPr="00A62993">
        <w:t xml:space="preserve"> </w:t>
      </w:r>
      <w:r>
        <w:t>“</w:t>
      </w:r>
      <w:r w:rsidRPr="00A62993">
        <w:t>Transforming Classification Policy Forum</w:t>
      </w:r>
      <w:r w:rsidR="00C77B94">
        <w:t xml:space="preserve"> </w:t>
      </w:r>
      <w:r>
        <w:t>(May 2011);</w:t>
      </w:r>
      <w:r w:rsidRPr="00A62993">
        <w:t xml:space="preserve"> PIDB Letter to the Presiden</w:t>
      </w:r>
      <w:r>
        <w:t>t (March 6, 2009)</w:t>
      </w:r>
      <w:r w:rsidR="00473308">
        <w:t>;</w:t>
      </w:r>
      <w:r>
        <w:t xml:space="preserve"> “</w:t>
      </w:r>
      <w:r w:rsidRPr="00627816">
        <w:t xml:space="preserve">Improving </w:t>
      </w:r>
      <w:r>
        <w:t xml:space="preserve"> </w:t>
      </w:r>
      <w:r w:rsidRPr="00627816">
        <w:t>Declassification</w:t>
      </w:r>
      <w:r>
        <w:t>”  (January 2, 2008).</w:t>
      </w:r>
    </w:p>
  </w:footnote>
  <w:footnote w:id="30">
    <w:p w14:paraId="111849CB" w14:textId="63791AC2" w:rsidR="00BD35A1" w:rsidRDefault="00BD35A1" w:rsidP="00BC783B">
      <w:pPr>
        <w:pStyle w:val="FootnoteText"/>
      </w:pPr>
      <w:r>
        <w:rPr>
          <w:rStyle w:val="FootnoteReference"/>
        </w:rPr>
        <w:footnoteRef/>
      </w:r>
      <w:r>
        <w:t xml:space="preserve"> </w:t>
      </w:r>
      <w:hyperlink r:id="rId2" w:anchor="comments" w:history="1">
        <w:r w:rsidR="00473308" w:rsidRPr="003D6A6F">
          <w:rPr>
            <w:rStyle w:val="Hyperlink"/>
          </w:rPr>
          <w:t>https://transforming-classification.blogs.archives.gov/2013/12/02/new-prioritization-category-topics-older-than-25-years/#comments</w:t>
        </w:r>
      </w:hyperlink>
      <w:r w:rsidR="00473308">
        <w:t xml:space="preserve">. </w:t>
      </w:r>
    </w:p>
  </w:footnote>
  <w:footnote w:id="31">
    <w:p w14:paraId="46BDBFB0" w14:textId="1DCF0AF7" w:rsidR="00BD35A1" w:rsidRDefault="00BD35A1" w:rsidP="00611B82">
      <w:pPr>
        <w:pStyle w:val="FootnoteText"/>
        <w:jc w:val="both"/>
      </w:pPr>
      <w:r>
        <w:rPr>
          <w:rStyle w:val="FootnoteReference"/>
        </w:rPr>
        <w:footnoteRef/>
      </w:r>
      <w:r>
        <w:t xml:space="preserve"> Available at: </w:t>
      </w:r>
      <w:hyperlink r:id="rId3" w:history="1">
        <w:r w:rsidRPr="00ED23E3">
          <w:rPr>
            <w:rStyle w:val="Hyperlink"/>
          </w:rPr>
          <w:t>https://transforming-classification.blogs.archives.gov/2017/12/18/completion-of-the-jfk-records-rolling-release</w:t>
        </w:r>
      </w:hyperlink>
      <w:r w:rsidR="00C77B94">
        <w:t xml:space="preserve">. </w:t>
      </w:r>
      <w:r>
        <w:t xml:space="preserve"> </w:t>
      </w:r>
    </w:p>
  </w:footnote>
  <w:footnote w:id="32">
    <w:p w14:paraId="71F9906F" w14:textId="0852438F" w:rsidR="00BD35A1" w:rsidRDefault="00BD35A1">
      <w:pPr>
        <w:pStyle w:val="FootnoteText"/>
      </w:pPr>
      <w:r>
        <w:rPr>
          <w:rStyle w:val="FootnoteReference"/>
        </w:rPr>
        <w:footnoteRef/>
      </w:r>
      <w:r>
        <w:t xml:space="preserve">  </w:t>
      </w:r>
      <w:r w:rsidRPr="00EF2D9B">
        <w:t>5 U.S.C. § 552</w:t>
      </w:r>
      <w:r>
        <w:t>.</w:t>
      </w:r>
    </w:p>
  </w:footnote>
  <w:footnote w:id="33">
    <w:p w14:paraId="2FAC121F" w14:textId="3ED332B2" w:rsidR="00BD35A1" w:rsidRDefault="00BD35A1" w:rsidP="00E349CD">
      <w:pPr>
        <w:pStyle w:val="FootnoteText"/>
      </w:pPr>
      <w:r>
        <w:rPr>
          <w:rStyle w:val="FootnoteReference"/>
        </w:rPr>
        <w:footnoteRef/>
      </w:r>
      <w:r>
        <w:t xml:space="preserve">  Presidential Memorandum for Heads of Executive Departments and Agencies Concerning</w:t>
      </w:r>
      <w:r w:rsidR="007067DD">
        <w:t xml:space="preserve"> </w:t>
      </w:r>
      <w:r>
        <w:t>the Freedom of Information Act, 74 Fed. Reg. 4683 (Jan. 21, 2009).</w:t>
      </w:r>
    </w:p>
  </w:footnote>
  <w:footnote w:id="34">
    <w:p w14:paraId="70BCB513" w14:textId="38900666" w:rsidR="00BD35A1" w:rsidRDefault="00BD35A1">
      <w:pPr>
        <w:pStyle w:val="FootnoteText"/>
      </w:pPr>
      <w:r>
        <w:rPr>
          <w:rStyle w:val="FootnoteReference"/>
        </w:rPr>
        <w:footnoteRef/>
      </w:r>
      <w:r>
        <w:t xml:space="preserve"> Id. T</w:t>
      </w:r>
      <w:r w:rsidRPr="00B16CB5">
        <w:t xml:space="preserve">he Director of the Office of </w:t>
      </w:r>
      <w:r>
        <w:t xml:space="preserve"> M</w:t>
      </w:r>
      <w:r w:rsidRPr="00B16CB5">
        <w:t xml:space="preserve">anagement and Budget (OMB) </w:t>
      </w:r>
      <w:r>
        <w:t xml:space="preserve">subsequently </w:t>
      </w:r>
      <w:r w:rsidRPr="00B16CB5">
        <w:t>issue</w:t>
      </w:r>
      <w:r>
        <w:t>d</w:t>
      </w:r>
      <w:r w:rsidRPr="00B16CB5">
        <w:t xml:space="preserve"> </w:t>
      </w:r>
      <w:r>
        <w:t>“</w:t>
      </w:r>
      <w:r w:rsidRPr="00B16CB5">
        <w:t>Open Government Directive</w:t>
      </w:r>
      <w:r>
        <w:t xml:space="preserve">”, </w:t>
      </w:r>
      <w:r w:rsidRPr="00B16CB5">
        <w:t>M-10-06</w:t>
      </w:r>
      <w:r>
        <w:t xml:space="preserve"> (December 8.2009).  </w:t>
      </w:r>
    </w:p>
  </w:footnote>
  <w:footnote w:id="35">
    <w:p w14:paraId="0E43D08E" w14:textId="474CA0EB" w:rsidR="00BD35A1" w:rsidRDefault="00BD35A1" w:rsidP="00441640">
      <w:pPr>
        <w:pStyle w:val="FootnoteText"/>
      </w:pPr>
      <w:r>
        <w:rPr>
          <w:rStyle w:val="FootnoteReference"/>
        </w:rPr>
        <w:footnoteRef/>
      </w:r>
      <w:r>
        <w:t>Attorney General Holder's Memorandum for Heads of Executive Departments and Agencies Concerning the Freedom of Information Act (March 19, 2019), 74 Fed. Reg. 51879 (Oct. 8, 2009)</w:t>
      </w:r>
      <w:r w:rsidR="007067DD">
        <w:t>.</w:t>
      </w:r>
      <w:r>
        <w:t xml:space="preserve"> </w:t>
      </w:r>
    </w:p>
  </w:footnote>
  <w:footnote w:id="36">
    <w:p w14:paraId="6CFB0C86" w14:textId="77777777" w:rsidR="00BD35A1" w:rsidRDefault="00BD35A1" w:rsidP="00611B82">
      <w:pPr>
        <w:pStyle w:val="FootnoteText"/>
        <w:jc w:val="both"/>
      </w:pPr>
      <w:r>
        <w:rPr>
          <w:rStyle w:val="FootnoteReference"/>
        </w:rPr>
        <w:footnoteRef/>
      </w:r>
      <w:r>
        <w:t xml:space="preserve"> Id. The DOJ FOIA Memo goes on to state that: </w:t>
      </w:r>
    </w:p>
    <w:p w14:paraId="23637F7E" w14:textId="2DE17D4D" w:rsidR="00BD35A1" w:rsidRPr="00EF2D9B" w:rsidRDefault="00BD35A1" w:rsidP="00611B82">
      <w:pPr>
        <w:pStyle w:val="FootnoteText"/>
        <w:ind w:left="810" w:right="720"/>
        <w:jc w:val="both"/>
        <w:rPr>
          <w:i/>
          <w:iCs/>
        </w:rPr>
      </w:pPr>
      <w:r w:rsidRPr="00EF2D9B">
        <w:rPr>
          <w:i/>
          <w:iCs/>
        </w:rPr>
        <w:t>Agencies should always be mindful that the FOIA requires them to take reasonable steps to segregate and release nonexempt information. Even if some parts of a record must be withheld, other parts either may not be covered by a statutory exemption, or may be covered only in a technical sense unrelated to the actual impact of disclosure.</w:t>
      </w:r>
    </w:p>
  </w:footnote>
  <w:footnote w:id="37">
    <w:p w14:paraId="2649ED24" w14:textId="76F620B6" w:rsidR="00BD35A1" w:rsidRDefault="00BD35A1" w:rsidP="00842B70">
      <w:pPr>
        <w:pStyle w:val="FootnoteText"/>
      </w:pPr>
      <w:r>
        <w:rPr>
          <w:rStyle w:val="FootnoteReference"/>
        </w:rPr>
        <w:footnoteRef/>
      </w:r>
      <w:r>
        <w:t xml:space="preserve"> Id. </w:t>
      </w:r>
      <w:r w:rsidRPr="00A73ACC">
        <w:rPr>
          <w:i/>
          <w:iCs/>
          <w:u w:val="single"/>
        </w:rPr>
        <w:t>See also</w:t>
      </w:r>
      <w:r>
        <w:t xml:space="preserve"> "OIP Guidance: President Obama's FOIA Memorandum and Attorney General Holder's FOIA Guidelines – Creating a New Era of Open Government" (posted 4/17/09).</w:t>
      </w:r>
    </w:p>
  </w:footnote>
  <w:footnote w:id="38">
    <w:p w14:paraId="0034FEB1" w14:textId="50335105" w:rsidR="00BD35A1" w:rsidRDefault="00BD35A1" w:rsidP="00611B82">
      <w:pPr>
        <w:pStyle w:val="FootnoteText"/>
        <w:jc w:val="both"/>
      </w:pPr>
      <w:r>
        <w:rPr>
          <w:rStyle w:val="FootnoteReference"/>
        </w:rPr>
        <w:footnoteRef/>
      </w:r>
      <w:r>
        <w:t xml:space="preserve"> </w:t>
      </w:r>
      <w:r w:rsidRPr="003757C7">
        <w:t>Executive Order 13526</w:t>
      </w:r>
      <w:r>
        <w:t>, “</w:t>
      </w:r>
      <w:r w:rsidRPr="008804E2">
        <w:t>Classified National Security Information"</w:t>
      </w:r>
      <w:r>
        <w:t xml:space="preserve">, </w:t>
      </w:r>
      <w:r w:rsidR="00A73ACC">
        <w:t xml:space="preserve">(December 29, 2009); </w:t>
      </w:r>
      <w:r>
        <w:t xml:space="preserve"> 75 Fed. Reg. 707 (January 5, 2010).</w:t>
      </w:r>
    </w:p>
  </w:footnote>
  <w:footnote w:id="39">
    <w:p w14:paraId="57D895B2" w14:textId="252DBD72" w:rsidR="00BD35A1" w:rsidRDefault="00BD35A1" w:rsidP="00611B82">
      <w:pPr>
        <w:pStyle w:val="FootnoteText"/>
        <w:jc w:val="both"/>
      </w:pPr>
      <w:r>
        <w:rPr>
          <w:rStyle w:val="FootnoteReference"/>
        </w:rPr>
        <w:footnoteRef/>
      </w:r>
      <w:r>
        <w:t xml:space="preserve"> </w:t>
      </w:r>
      <w:r w:rsidRPr="008C2EA7">
        <w:t>Id. at §</w:t>
      </w:r>
      <w:r>
        <w:t xml:space="preserve"> 1</w:t>
      </w:r>
      <w:r w:rsidRPr="008C2EA7">
        <w:t>.</w:t>
      </w:r>
      <w:r>
        <w:t xml:space="preserve">5(b)-(c) and </w:t>
      </w:r>
      <w:r w:rsidRPr="008C2EA7">
        <w:t>§</w:t>
      </w:r>
      <w:r>
        <w:t xml:space="preserve"> 2.2(f).</w:t>
      </w:r>
    </w:p>
  </w:footnote>
  <w:footnote w:id="40">
    <w:p w14:paraId="29943560" w14:textId="6467C6A9" w:rsidR="00BD35A1" w:rsidRDefault="00BD35A1">
      <w:pPr>
        <w:pStyle w:val="FootnoteText"/>
      </w:pPr>
      <w:r>
        <w:rPr>
          <w:rStyle w:val="FootnoteReference"/>
        </w:rPr>
        <w:footnoteRef/>
      </w:r>
      <w:r>
        <w:t xml:space="preserve"> </w:t>
      </w:r>
      <w:r w:rsidRPr="008C2EA7">
        <w:t>Id. at §</w:t>
      </w:r>
      <w:r>
        <w:t>1</w:t>
      </w:r>
      <w:r w:rsidRPr="008C2EA7">
        <w:t>.</w:t>
      </w:r>
      <w:r>
        <w:t>5(d).</w:t>
      </w:r>
    </w:p>
  </w:footnote>
  <w:footnote w:id="41">
    <w:p w14:paraId="7700F3ED" w14:textId="6AAAC969" w:rsidR="00BD35A1" w:rsidRDefault="00BD35A1" w:rsidP="00611B82">
      <w:pPr>
        <w:pStyle w:val="FootnoteText"/>
        <w:jc w:val="both"/>
      </w:pPr>
      <w:r>
        <w:rPr>
          <w:rStyle w:val="FootnoteReference"/>
        </w:rPr>
        <w:footnoteRef/>
      </w:r>
      <w:r>
        <w:t xml:space="preserve"> Id. </w:t>
      </w:r>
      <w:r w:rsidRPr="00E4603B">
        <w:t>§</w:t>
      </w:r>
      <w:r>
        <w:t xml:space="preserve"> 3.4. The Executive Order provides that a record may be exempt from automatic declassification unless there is a </w:t>
      </w:r>
      <w:r w:rsidRPr="007E0E53">
        <w:t>clear and demonstrable damage to national security if disclosed</w:t>
      </w:r>
      <w:r>
        <w:t xml:space="preserve">. </w:t>
      </w:r>
      <w:r w:rsidRPr="00E4603B">
        <w:t>§§</w:t>
      </w:r>
      <w:r>
        <w:t xml:space="preserve"> 3.3</w:t>
      </w:r>
      <w:r w:rsidRPr="00FD6A57">
        <w:t>(b)–(d) and (g)–(j)</w:t>
      </w:r>
      <w:r>
        <w:t>.</w:t>
      </w:r>
    </w:p>
  </w:footnote>
  <w:footnote w:id="42">
    <w:p w14:paraId="51AD1FC0" w14:textId="4122043B" w:rsidR="00BD35A1" w:rsidRDefault="00BD35A1">
      <w:pPr>
        <w:pStyle w:val="FootnoteText"/>
      </w:pPr>
      <w:r>
        <w:rPr>
          <w:rStyle w:val="FootnoteReference"/>
        </w:rPr>
        <w:footnoteRef/>
      </w:r>
      <w:r>
        <w:t xml:space="preserve"> </w:t>
      </w:r>
      <w:r w:rsidRPr="00D36996">
        <w:t>Id. at §</w:t>
      </w:r>
      <w:r>
        <w:t xml:space="preserve"> </w:t>
      </w:r>
      <w:r w:rsidRPr="00D36996">
        <w:t>1.</w:t>
      </w:r>
      <w:r>
        <w:t>7(a)</w:t>
      </w:r>
      <w:r w:rsidRPr="00D36996">
        <w:t>(</w:t>
      </w:r>
      <w:r>
        <w:t>2</w:t>
      </w:r>
      <w:r w:rsidRPr="00D36996">
        <w:t>).</w:t>
      </w:r>
    </w:p>
  </w:footnote>
  <w:footnote w:id="43">
    <w:p w14:paraId="40814ACE" w14:textId="13E54A86" w:rsidR="00BD35A1" w:rsidRDefault="00BD35A1">
      <w:pPr>
        <w:pStyle w:val="FootnoteText"/>
      </w:pPr>
      <w:r>
        <w:rPr>
          <w:rStyle w:val="FootnoteReference"/>
        </w:rPr>
        <w:footnoteRef/>
      </w:r>
      <w:r>
        <w:t xml:space="preserve"> Id. at  </w:t>
      </w:r>
      <w:r w:rsidRPr="00E4603B">
        <w:t>§</w:t>
      </w:r>
      <w:r>
        <w:t xml:space="preserve"> 3.4. </w:t>
      </w:r>
    </w:p>
  </w:footnote>
  <w:footnote w:id="44">
    <w:p w14:paraId="7F8AA978" w14:textId="5E68B65E" w:rsidR="00BD35A1" w:rsidRDefault="00BD35A1" w:rsidP="008C2EA7">
      <w:pPr>
        <w:pStyle w:val="FootnoteText"/>
      </w:pPr>
      <w:r>
        <w:rPr>
          <w:rStyle w:val="FootnoteReference"/>
        </w:rPr>
        <w:footnoteRef/>
      </w:r>
      <w:r>
        <w:t xml:space="preserve"> Id. at  </w:t>
      </w:r>
      <w:r w:rsidRPr="00E4603B">
        <w:t>§</w:t>
      </w:r>
      <w:r>
        <w:t xml:space="preserve"> 3.7.</w:t>
      </w:r>
    </w:p>
  </w:footnote>
  <w:footnote w:id="45">
    <w:p w14:paraId="324FC4DF" w14:textId="0B6355E8" w:rsidR="00BD35A1" w:rsidRDefault="00BD35A1" w:rsidP="00BC783B">
      <w:pPr>
        <w:pStyle w:val="FootnoteText"/>
      </w:pPr>
      <w:r>
        <w:rPr>
          <w:rStyle w:val="FootnoteReference"/>
        </w:rPr>
        <w:footnoteRef/>
      </w:r>
      <w:r>
        <w:t xml:space="preserve"> </w:t>
      </w:r>
      <w:r w:rsidRPr="003757C7">
        <w:t>Memorandum of December 29, 2009</w:t>
      </w:r>
      <w:r>
        <w:t>, “Implementation of the Executive Order</w:t>
      </w:r>
      <w:r w:rsidR="007067DD">
        <w:t>-</w:t>
      </w:r>
      <w:r>
        <w:t xml:space="preserve"> Classified National Security Information,’’ 75 Fed. Reg. 733 (Jan. 5, 2010).</w:t>
      </w:r>
    </w:p>
  </w:footnote>
  <w:footnote w:id="46">
    <w:p w14:paraId="3C0062B8" w14:textId="53F11696" w:rsidR="00BD35A1" w:rsidRDefault="00BD35A1" w:rsidP="00E147A7">
      <w:pPr>
        <w:pStyle w:val="FootnoteText"/>
      </w:pPr>
      <w:r>
        <w:rPr>
          <w:rStyle w:val="FootnoteReference"/>
        </w:rPr>
        <w:footnoteRef/>
      </w:r>
      <w:r>
        <w:t xml:space="preserve"> </w:t>
      </w:r>
      <w:r w:rsidRPr="00714751">
        <w:t>Pub</w:t>
      </w:r>
      <w:r>
        <w:t>.</w:t>
      </w:r>
      <w:r w:rsidRPr="00714751">
        <w:t xml:space="preserve"> L</w:t>
      </w:r>
      <w:r>
        <w:t xml:space="preserve">. </w:t>
      </w:r>
      <w:r w:rsidRPr="00714751">
        <w:t xml:space="preserve"> 114-185</w:t>
      </w:r>
      <w:r>
        <w:t xml:space="preserve">. </w:t>
      </w:r>
    </w:p>
  </w:footnote>
  <w:footnote w:id="47">
    <w:p w14:paraId="75C5672F" w14:textId="16364CCE" w:rsidR="00BD35A1" w:rsidRDefault="00BD35A1" w:rsidP="00F9726B">
      <w:pPr>
        <w:pStyle w:val="FootnoteText"/>
        <w:jc w:val="both"/>
      </w:pPr>
      <w:r>
        <w:rPr>
          <w:rStyle w:val="FootnoteReference"/>
        </w:rPr>
        <w:footnoteRef/>
      </w:r>
      <w:r>
        <w:t xml:space="preserve"> </w:t>
      </w:r>
      <w:r w:rsidRPr="007F5B2E">
        <w:t>Steven M. Gillon</w:t>
      </w:r>
      <w:r>
        <w:t xml:space="preserve"> </w:t>
      </w:r>
      <w:r w:rsidRPr="007F5B2E">
        <w:t>(professor of history at the University of Oklahom</w:t>
      </w:r>
      <w:r>
        <w:t>a</w:t>
      </w:r>
      <w:r w:rsidRPr="007F5B2E">
        <w:t>)</w:t>
      </w:r>
      <w:r>
        <w:t>;</w:t>
      </w:r>
      <w:r w:rsidRPr="007F5B2E">
        <w:t xml:space="preserve"> John McAdams (political science professor at Marquette University</w:t>
      </w:r>
      <w:r>
        <w:t>);</w:t>
      </w:r>
      <w:r w:rsidRPr="007F5B2E">
        <w:t xml:space="preserve"> Gerald McKnight (professor emeritus-Hood College)</w:t>
      </w:r>
      <w:r>
        <w:t>; John Newman (</w:t>
      </w:r>
      <w:r w:rsidR="007067DD">
        <w:t xml:space="preserve">professor of </w:t>
      </w:r>
      <w:r w:rsidRPr="007F5B2E">
        <w:t xml:space="preserve">political science at James </w:t>
      </w:r>
      <w:r>
        <w:t xml:space="preserve"> </w:t>
      </w:r>
      <w:r w:rsidRPr="007F5B2E">
        <w:t>Madison University</w:t>
      </w:r>
      <w:r>
        <w:t xml:space="preserve">); </w:t>
      </w:r>
      <w:r w:rsidRPr="007F5B2E">
        <w:t>Larry Sabato</w:t>
      </w:r>
      <w:r>
        <w:t xml:space="preserve"> </w:t>
      </w:r>
      <w:r w:rsidRPr="007F5B2E">
        <w:t>(director of the University of Virginia Center for Politics)</w:t>
      </w:r>
      <w:r>
        <w:t xml:space="preserve"> and  </w:t>
      </w:r>
      <w:r w:rsidRPr="00BF4E7A">
        <w:t>Peter Dale Sco</w:t>
      </w:r>
      <w:r>
        <w:t>t</w:t>
      </w:r>
      <w:r w:rsidRPr="00BF4E7A">
        <w:t>t</w:t>
      </w:r>
      <w:r>
        <w:t xml:space="preserve"> (</w:t>
      </w:r>
      <w:r w:rsidRPr="00BF4E7A">
        <w:t>professor emeritus at the University of California, Berkeley</w:t>
      </w:r>
      <w:r>
        <w:t>).</w:t>
      </w:r>
    </w:p>
  </w:footnote>
  <w:footnote w:id="48">
    <w:p w14:paraId="31146605" w14:textId="3600F604" w:rsidR="00BD35A1" w:rsidRDefault="00BD35A1" w:rsidP="00F9726B">
      <w:pPr>
        <w:pStyle w:val="FootnoteText"/>
        <w:jc w:val="both"/>
      </w:pPr>
      <w:r>
        <w:rPr>
          <w:rStyle w:val="FootnoteReference"/>
        </w:rPr>
        <w:footnoteRef/>
      </w:r>
      <w:r w:rsidRPr="00B1618A">
        <w:t xml:space="preserve"> G. Robert Blakey (former chief counsel of the House Select Commission on Assassinations</w:t>
      </w:r>
      <w:r>
        <w:t xml:space="preserve">; Dan Hardway, Esq.  (former researcher for HSCA); </w:t>
      </w:r>
      <w:r w:rsidRPr="00193212">
        <w:t>Douglas Horne</w:t>
      </w:r>
      <w:r>
        <w:t xml:space="preserve"> (former senior analyst for the Assassinations Records Review Board); Judge Burt Griffin (former Warren Commission attorney); former Senator Gary Hart; </w:t>
      </w:r>
      <w:r w:rsidRPr="00193212">
        <w:t>Edwin Lopez</w:t>
      </w:r>
      <w:r>
        <w:t xml:space="preserve">, Esq. (former HSCA researcher); </w:t>
      </w:r>
      <w:r w:rsidRPr="00B1618A">
        <w:t>John T. Orr</w:t>
      </w:r>
      <w:r>
        <w:t>, Esq.</w:t>
      </w:r>
      <w:r w:rsidRPr="00B1618A">
        <w:t xml:space="preserve"> (former DOJ national criminal enforcement director)</w:t>
      </w:r>
      <w:r>
        <w:t xml:space="preserve"> and </w:t>
      </w:r>
      <w:r w:rsidRPr="00FF1864">
        <w:t>Adam Walinsky</w:t>
      </w:r>
      <w:r w:rsidR="007067DD">
        <w:t xml:space="preserve"> </w:t>
      </w:r>
      <w:r w:rsidR="00A73ACC">
        <w:t xml:space="preserve">( </w:t>
      </w:r>
      <w:r w:rsidR="00A73ACC" w:rsidRPr="00A73ACC">
        <w:t>Attorney, Department of Justice</w:t>
      </w:r>
      <w:r w:rsidR="00A73ACC">
        <w:t xml:space="preserve">, </w:t>
      </w:r>
      <w:r w:rsidR="00A73ACC" w:rsidRPr="00A73ACC">
        <w:t xml:space="preserve">legislative assistant and speechwriter to Sen. Robert F. Kennedy </w:t>
      </w:r>
      <w:r>
        <w:t>).</w:t>
      </w:r>
    </w:p>
  </w:footnote>
  <w:footnote w:id="49">
    <w:p w14:paraId="769A8FAD" w14:textId="3E924E6E" w:rsidR="00BD35A1" w:rsidRDefault="00BD35A1" w:rsidP="00611B82">
      <w:pPr>
        <w:pStyle w:val="FootnoteText"/>
        <w:jc w:val="both"/>
      </w:pPr>
      <w:r>
        <w:rPr>
          <w:rStyle w:val="FootnoteReference"/>
        </w:rPr>
        <w:footnoteRef/>
      </w:r>
      <w:r>
        <w:t xml:space="preserve"> The signatories included </w:t>
      </w:r>
      <w:r w:rsidRPr="00BF4E7A">
        <w:t>Robert F. Kennedy, Jr., Alec Baldwin, David Crosby, Daniel Ellsberg,, Rob Reiner, Abby Rockefeller, Mort Sahl, Martin Sheen</w:t>
      </w:r>
      <w:r>
        <w:t xml:space="preserve">, </w:t>
      </w:r>
      <w:r w:rsidRPr="00BF4E7A">
        <w:t>Oliver Stone</w:t>
      </w:r>
      <w:r>
        <w:t xml:space="preserve">, and </w:t>
      </w:r>
      <w:r w:rsidRPr="00BF4E7A">
        <w:t>Kathleen Kennedy Townsend</w:t>
      </w:r>
      <w:r>
        <w:t xml:space="preserve"> .</w:t>
      </w:r>
    </w:p>
  </w:footnote>
  <w:footnote w:id="50">
    <w:p w14:paraId="2286D317" w14:textId="2559CF7C" w:rsidR="00BD35A1" w:rsidRDefault="00BD35A1" w:rsidP="00611B82">
      <w:pPr>
        <w:pStyle w:val="FootnoteText"/>
        <w:jc w:val="both"/>
      </w:pPr>
      <w:r>
        <w:rPr>
          <w:rStyle w:val="FootnoteReference"/>
        </w:rPr>
        <w:footnoteRef/>
      </w:r>
      <w:r>
        <w:t xml:space="preserve"> David W. Belin letter to T. Jeremy Gunn, Executive Director and General Counsel, Assassination Records Review Board  (June 16, 1998). </w:t>
      </w:r>
    </w:p>
  </w:footnote>
  <w:footnote w:id="51">
    <w:p w14:paraId="295CDAEB" w14:textId="4BA1132B" w:rsidR="00BD35A1" w:rsidRDefault="00BD35A1" w:rsidP="00611B82">
      <w:pPr>
        <w:pStyle w:val="FootnoteText"/>
        <w:jc w:val="both"/>
      </w:pPr>
      <w:r>
        <w:rPr>
          <w:rStyle w:val="FootnoteReference"/>
        </w:rPr>
        <w:footnoteRef/>
      </w:r>
      <w:r>
        <w:t xml:space="preserve"> </w:t>
      </w:r>
      <w:r w:rsidRPr="007067DD">
        <w:t>JFK’s Assassination</w:t>
      </w:r>
      <w:r>
        <w:t xml:space="preserve">, </w:t>
      </w:r>
      <w:r w:rsidRPr="007067DD">
        <w:rPr>
          <w:i/>
          <w:iCs/>
        </w:rPr>
        <w:t>New York Review of Books</w:t>
      </w:r>
      <w:r>
        <w:t xml:space="preserve"> (12/18/2003). The authors  included  </w:t>
      </w:r>
      <w:r w:rsidRPr="001A4A20">
        <w:t>Don DeLillo</w:t>
      </w:r>
      <w:r>
        <w:t xml:space="preserve">, </w:t>
      </w:r>
      <w:r w:rsidRPr="001A4A20">
        <w:t>Norman Mailer</w:t>
      </w:r>
      <w:r>
        <w:t>,</w:t>
      </w:r>
      <w:r w:rsidRPr="001A4A20">
        <w:t xml:space="preserve"> Jefferson Morley</w:t>
      </w:r>
      <w:r>
        <w:t xml:space="preserve">, </w:t>
      </w:r>
      <w:r w:rsidRPr="001A4A20">
        <w:t>Gerald Posner</w:t>
      </w:r>
      <w:r>
        <w:t xml:space="preserve">, and  Anthony Summers. Other authors who have called for the release of the remaining JFK assassination records include </w:t>
      </w:r>
      <w:r w:rsidRPr="00193212">
        <w:t>James W. Douglass</w:t>
      </w:r>
      <w:r>
        <w:t xml:space="preserve">, </w:t>
      </w:r>
      <w:r w:rsidRPr="00494810">
        <w:t>Jacob G. Hornberger</w:t>
      </w:r>
      <w:r>
        <w:t xml:space="preserve">, </w:t>
      </w:r>
      <w:r w:rsidRPr="00BF4E7A">
        <w:t>Dick Russell</w:t>
      </w:r>
      <w:r>
        <w:t xml:space="preserve">, Philip Shenon, </w:t>
      </w:r>
      <w:r w:rsidRPr="00BF4E7A">
        <w:t>David Talbot</w:t>
      </w:r>
      <w:r>
        <w:t xml:space="preserve"> and </w:t>
      </w:r>
      <w:r w:rsidRPr="001A03AA">
        <w:t>Josiah Thompson</w:t>
      </w:r>
      <w:r>
        <w:t>.</w:t>
      </w:r>
    </w:p>
  </w:footnote>
  <w:footnote w:id="52">
    <w:p w14:paraId="6A4740BC" w14:textId="5CF4D77D" w:rsidR="00BD35A1" w:rsidRDefault="00BD35A1" w:rsidP="00BC783B">
      <w:pPr>
        <w:pStyle w:val="FootnoteText"/>
      </w:pPr>
      <w:r>
        <w:rPr>
          <w:rStyle w:val="FootnoteReference"/>
        </w:rPr>
        <w:footnoteRef/>
      </w:r>
      <w:r>
        <w:t xml:space="preserve"> </w:t>
      </w:r>
      <w:r w:rsidRPr="007067DD">
        <w:t>Troves of Files on JFK assassination remain secre</w:t>
      </w:r>
      <w:r w:rsidRPr="009A2A63">
        <w:rPr>
          <w:i/>
          <w:iCs/>
        </w:rPr>
        <w:t>t</w:t>
      </w:r>
      <w:r>
        <w:t xml:space="preserve">, </w:t>
      </w:r>
      <w:r w:rsidRPr="007067DD">
        <w:rPr>
          <w:i/>
          <w:iCs/>
        </w:rPr>
        <w:t>Boston Globe</w:t>
      </w:r>
      <w:r>
        <w:t xml:space="preserve"> (11/25/13).</w:t>
      </w:r>
    </w:p>
  </w:footnote>
  <w:footnote w:id="53">
    <w:p w14:paraId="4A8B648E" w14:textId="77777777" w:rsidR="00BD35A1" w:rsidRDefault="00BD35A1" w:rsidP="00BC783B">
      <w:pPr>
        <w:pStyle w:val="FootnoteText"/>
      </w:pPr>
      <w:r>
        <w:rPr>
          <w:rStyle w:val="FootnoteReference"/>
        </w:rPr>
        <w:footnoteRef/>
      </w:r>
      <w:r>
        <w:t xml:space="preserve"> </w:t>
      </w:r>
      <w:hyperlink r:id="rId4" w:history="1">
        <w:r w:rsidRPr="00D8120E">
          <w:rPr>
            <w:rStyle w:val="Hyperlink"/>
          </w:rPr>
          <w:t>https://www.americantruthnow.org/signatories</w:t>
        </w:r>
      </w:hyperlink>
      <w:r>
        <w:t xml:space="preserve">. </w:t>
      </w:r>
    </w:p>
  </w:footnote>
  <w:footnote w:id="54">
    <w:p w14:paraId="16833A1A" w14:textId="0382B376" w:rsidR="00BD35A1" w:rsidRDefault="00BD35A1">
      <w:pPr>
        <w:pStyle w:val="FootnoteText"/>
      </w:pPr>
      <w:r>
        <w:rPr>
          <w:rStyle w:val="FootnoteReference"/>
        </w:rPr>
        <w:footnoteRef/>
      </w:r>
      <w:r>
        <w:t xml:space="preserve"> 44 U.S.C. 2107 note,  Sec. 12(a)(7).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610B8" w14:textId="77777777" w:rsidR="00BD35A1" w:rsidRPr="00DC3886" w:rsidRDefault="00BD35A1" w:rsidP="00DC3886">
    <w:pPr>
      <w:pStyle w:val="BodyTextSi"/>
      <w:keepNext/>
      <w:widowControl/>
      <w:spacing w:after="0"/>
      <w:ind w:firstLine="0"/>
      <w:jc w:val="right"/>
      <w:rPr>
        <w:i/>
        <w:sz w:val="20"/>
        <w:szCs w:val="20"/>
      </w:rPr>
    </w:pPr>
    <w:r>
      <w:rPr>
        <w:noProof/>
      </w:rPr>
      <w:drawing>
        <wp:anchor distT="0" distB="0" distL="114300" distR="114300" simplePos="0" relativeHeight="251657728" behindDoc="1" locked="0" layoutInCell="1" allowOverlap="1" wp14:anchorId="583C4EF4" wp14:editId="1CADD5C3">
          <wp:simplePos x="0" y="0"/>
          <wp:positionH relativeFrom="column">
            <wp:posOffset>-228600</wp:posOffset>
          </wp:positionH>
          <wp:positionV relativeFrom="paragraph">
            <wp:posOffset>-390525</wp:posOffset>
          </wp:positionV>
          <wp:extent cx="1649095" cy="1390650"/>
          <wp:effectExtent l="0" t="0" r="8255" b="0"/>
          <wp:wrapNone/>
          <wp:docPr id="4" name="Picture 4" descr="Schnapf LLC (Hi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napf LLC (Hi R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9095" cy="1390650"/>
                  </a:xfrm>
                  <a:prstGeom prst="rect">
                    <a:avLst/>
                  </a:prstGeom>
                  <a:noFill/>
                </pic:spPr>
              </pic:pic>
            </a:graphicData>
          </a:graphic>
          <wp14:sizeRelH relativeFrom="page">
            <wp14:pctWidth>0</wp14:pctWidth>
          </wp14:sizeRelH>
          <wp14:sizeRelV relativeFrom="page">
            <wp14:pctHeight>0</wp14:pctHeight>
          </wp14:sizeRelV>
        </wp:anchor>
      </w:drawing>
    </w:r>
    <w:r>
      <w:tab/>
    </w:r>
    <w:r>
      <w:tab/>
    </w:r>
    <w:r>
      <w:tab/>
    </w:r>
    <w:r>
      <w:tab/>
    </w:r>
    <w:r>
      <w:tab/>
    </w:r>
    <w:r>
      <w:tab/>
    </w:r>
    <w:r>
      <w:tab/>
    </w:r>
    <w:smartTag w:uri="urn:schemas-microsoft-com:office:smarttags" w:element="address">
      <w:smartTag w:uri="urn:schemas-microsoft-com:office:smarttags" w:element="Street">
        <w:r w:rsidRPr="00DC3886">
          <w:rPr>
            <w:i/>
            <w:sz w:val="20"/>
            <w:szCs w:val="20"/>
          </w:rPr>
          <w:t>55 E.87</w:t>
        </w:r>
        <w:r w:rsidRPr="00DC3886">
          <w:rPr>
            <w:i/>
            <w:sz w:val="20"/>
            <w:szCs w:val="20"/>
            <w:vertAlign w:val="superscript"/>
          </w:rPr>
          <w:t>th</w:t>
        </w:r>
        <w:r w:rsidRPr="00DC3886">
          <w:rPr>
            <w:i/>
            <w:sz w:val="20"/>
            <w:szCs w:val="20"/>
          </w:rPr>
          <w:t xml:space="preserve"> Street #8B</w:t>
        </w:r>
      </w:smartTag>
    </w:smartTag>
  </w:p>
  <w:p w14:paraId="4D6C67D7" w14:textId="77777777" w:rsidR="00BD35A1" w:rsidRPr="00DC3886" w:rsidRDefault="00BD35A1" w:rsidP="00DC3886">
    <w:pPr>
      <w:pStyle w:val="BodyTextSi"/>
      <w:widowControl/>
      <w:spacing w:after="0"/>
      <w:ind w:firstLine="0"/>
      <w:jc w:val="right"/>
      <w:rPr>
        <w:i/>
        <w:iCs/>
        <w:sz w:val="20"/>
        <w:szCs w:val="20"/>
      </w:rPr>
    </w:pPr>
    <w:smartTag w:uri="urn:schemas-microsoft-com:office:smarttags" w:element="place">
      <w:smartTag w:uri="urn:schemas-microsoft-com:office:smarttags" w:element="City">
        <w:r w:rsidRPr="00DC3886">
          <w:rPr>
            <w:i/>
            <w:iCs/>
            <w:sz w:val="20"/>
            <w:szCs w:val="20"/>
          </w:rPr>
          <w:t>New York</w:t>
        </w:r>
      </w:smartTag>
      <w:r w:rsidRPr="00DC3886">
        <w:rPr>
          <w:i/>
          <w:iCs/>
          <w:sz w:val="20"/>
          <w:szCs w:val="20"/>
        </w:rPr>
        <w:t xml:space="preserve">, </w:t>
      </w:r>
      <w:smartTag w:uri="urn:schemas-microsoft-com:office:smarttags" w:element="State">
        <w:r w:rsidRPr="00DC3886">
          <w:rPr>
            <w:i/>
            <w:iCs/>
            <w:sz w:val="20"/>
            <w:szCs w:val="20"/>
          </w:rPr>
          <w:t>New York</w:t>
        </w:r>
      </w:smartTag>
      <w:r w:rsidRPr="00DC3886">
        <w:rPr>
          <w:i/>
          <w:iCs/>
          <w:sz w:val="20"/>
          <w:szCs w:val="20"/>
        </w:rPr>
        <w:t xml:space="preserve"> </w:t>
      </w:r>
      <w:smartTag w:uri="urn:schemas-microsoft-com:office:smarttags" w:element="PostalCode">
        <w:r w:rsidRPr="00DC3886">
          <w:rPr>
            <w:i/>
            <w:iCs/>
            <w:sz w:val="20"/>
            <w:szCs w:val="20"/>
          </w:rPr>
          <w:t>10128</w:t>
        </w:r>
      </w:smartTag>
    </w:smartTag>
  </w:p>
  <w:p w14:paraId="52D88CD4" w14:textId="77777777" w:rsidR="00BD35A1" w:rsidRPr="00DC3886" w:rsidRDefault="00BD35A1" w:rsidP="00DC3886">
    <w:pPr>
      <w:pStyle w:val="BodyTextSi"/>
      <w:widowControl/>
      <w:spacing w:after="0"/>
      <w:ind w:firstLine="0"/>
      <w:jc w:val="right"/>
      <w:rPr>
        <w:i/>
        <w:iCs/>
        <w:sz w:val="20"/>
        <w:szCs w:val="20"/>
      </w:rPr>
    </w:pPr>
    <w:r>
      <w:rPr>
        <w:i/>
        <w:iCs/>
        <w:sz w:val="20"/>
        <w:szCs w:val="20"/>
      </w:rPr>
      <w:t xml:space="preserve">Phone: </w:t>
    </w:r>
    <w:r w:rsidRPr="00DC3886">
      <w:rPr>
        <w:i/>
        <w:iCs/>
        <w:sz w:val="20"/>
        <w:szCs w:val="20"/>
      </w:rPr>
      <w:t>212-876-3189</w:t>
    </w:r>
  </w:p>
  <w:p w14:paraId="589F862B" w14:textId="77777777" w:rsidR="00BD35A1" w:rsidRPr="007579E0" w:rsidRDefault="00BD35A1" w:rsidP="00DC3886">
    <w:pPr>
      <w:pStyle w:val="BodyTextSi"/>
      <w:widowControl/>
      <w:spacing w:after="0"/>
      <w:ind w:firstLine="0"/>
      <w:jc w:val="right"/>
      <w:rPr>
        <w:i/>
        <w:sz w:val="20"/>
        <w:szCs w:val="20"/>
      </w:rPr>
    </w:pPr>
    <w:r w:rsidRPr="007579E0">
      <w:rPr>
        <w:i/>
        <w:iCs/>
        <w:sz w:val="20"/>
        <w:szCs w:val="20"/>
      </w:rPr>
      <w:t xml:space="preserve">Cell: </w:t>
    </w:r>
    <w:r>
      <w:rPr>
        <w:i/>
        <w:iCs/>
        <w:sz w:val="20"/>
        <w:szCs w:val="20"/>
      </w:rPr>
      <w:t>917-576-3667</w:t>
    </w:r>
  </w:p>
  <w:p w14:paraId="7AEB01B3" w14:textId="77777777" w:rsidR="00BD35A1" w:rsidRPr="007579E0" w:rsidRDefault="00BD35A1" w:rsidP="00DC3886">
    <w:pPr>
      <w:pStyle w:val="CenteredBol"/>
      <w:keepNext/>
      <w:keepLines/>
      <w:widowControl/>
      <w:spacing w:after="0"/>
      <w:jc w:val="right"/>
      <w:rPr>
        <w:b w:val="0"/>
        <w:bCs w:val="0"/>
        <w:i/>
        <w:sz w:val="20"/>
        <w:szCs w:val="20"/>
      </w:rPr>
    </w:pPr>
    <w:r w:rsidRPr="007579E0">
      <w:rPr>
        <w:b w:val="0"/>
        <w:bCs w:val="0"/>
        <w:i/>
        <w:sz w:val="20"/>
        <w:szCs w:val="20"/>
      </w:rPr>
      <w:t xml:space="preserve">Email: Larry@SchnapfLaw.com </w:t>
    </w:r>
  </w:p>
  <w:p w14:paraId="24AD2751" w14:textId="77777777" w:rsidR="00BD35A1" w:rsidRPr="00DC3886" w:rsidRDefault="00BD35A1" w:rsidP="00DC3886">
    <w:pPr>
      <w:pStyle w:val="BodyTextSi"/>
      <w:keepNext/>
      <w:widowControl/>
      <w:spacing w:after="0"/>
      <w:ind w:firstLine="0"/>
      <w:jc w:val="right"/>
      <w:rPr>
        <w:i/>
        <w:sz w:val="20"/>
        <w:szCs w:val="20"/>
      </w:rPr>
    </w:pPr>
    <w:r>
      <w:rPr>
        <w:i/>
        <w:sz w:val="20"/>
        <w:szCs w:val="20"/>
      </w:rPr>
      <w:t xml:space="preserve">Web: </w:t>
    </w:r>
    <w:r w:rsidRPr="00DC3886">
      <w:rPr>
        <w:i/>
        <w:sz w:val="20"/>
        <w:szCs w:val="20"/>
      </w:rPr>
      <w:t>www.schnapflaw.com</w:t>
    </w:r>
    <w:r>
      <w:rPr>
        <w:i/>
        <w:sz w:val="20"/>
        <w:szCs w:val="20"/>
      </w:rPr>
      <w:t xml:space="preserve"> </w:t>
    </w:r>
  </w:p>
  <w:p w14:paraId="21CA087F" w14:textId="77777777" w:rsidR="00BD35A1" w:rsidRDefault="00BD35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4C76BE"/>
    <w:multiLevelType w:val="hybridMultilevel"/>
    <w:tmpl w:val="4FF83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BB2FA8"/>
    <w:multiLevelType w:val="hybridMultilevel"/>
    <w:tmpl w:val="05A83784"/>
    <w:lvl w:ilvl="0" w:tplc="F90C051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2C03B9"/>
    <w:multiLevelType w:val="hybridMultilevel"/>
    <w:tmpl w:val="A3F2E44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5F341B1F"/>
    <w:multiLevelType w:val="hybridMultilevel"/>
    <w:tmpl w:val="5A305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EC2E07"/>
    <w:multiLevelType w:val="hybridMultilevel"/>
    <w:tmpl w:val="FC364E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614720D5"/>
    <w:multiLevelType w:val="hybridMultilevel"/>
    <w:tmpl w:val="49DE4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281B28"/>
    <w:multiLevelType w:val="hybridMultilevel"/>
    <w:tmpl w:val="32A200CA"/>
    <w:lvl w:ilvl="0" w:tplc="9764802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0"/>
  </w:num>
  <w:num w:numId="4">
    <w:abstractNumId w:val="4"/>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6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2C2C"/>
    <w:rsid w:val="00011F57"/>
    <w:rsid w:val="00015E2A"/>
    <w:rsid w:val="000303DE"/>
    <w:rsid w:val="000547D0"/>
    <w:rsid w:val="00061FAB"/>
    <w:rsid w:val="00064D77"/>
    <w:rsid w:val="00092A4D"/>
    <w:rsid w:val="000A0FDF"/>
    <w:rsid w:val="000A5202"/>
    <w:rsid w:val="000B7458"/>
    <w:rsid w:val="000B7AA5"/>
    <w:rsid w:val="000C2196"/>
    <w:rsid w:val="000C5644"/>
    <w:rsid w:val="000D265F"/>
    <w:rsid w:val="000E3AA7"/>
    <w:rsid w:val="000E740E"/>
    <w:rsid w:val="000F62B8"/>
    <w:rsid w:val="00100B2A"/>
    <w:rsid w:val="00107922"/>
    <w:rsid w:val="00115970"/>
    <w:rsid w:val="00123FDE"/>
    <w:rsid w:val="00126BCE"/>
    <w:rsid w:val="001418DD"/>
    <w:rsid w:val="00157B75"/>
    <w:rsid w:val="0016468F"/>
    <w:rsid w:val="00165B17"/>
    <w:rsid w:val="00174054"/>
    <w:rsid w:val="001769D3"/>
    <w:rsid w:val="001809FA"/>
    <w:rsid w:val="00185504"/>
    <w:rsid w:val="001914CF"/>
    <w:rsid w:val="00193212"/>
    <w:rsid w:val="0019358D"/>
    <w:rsid w:val="0019622D"/>
    <w:rsid w:val="001A03AA"/>
    <w:rsid w:val="001A4A20"/>
    <w:rsid w:val="001A6ED6"/>
    <w:rsid w:val="001B24F6"/>
    <w:rsid w:val="001B5D28"/>
    <w:rsid w:val="001B7BBA"/>
    <w:rsid w:val="001D12D6"/>
    <w:rsid w:val="001D3F96"/>
    <w:rsid w:val="001F0D4A"/>
    <w:rsid w:val="001F4CE1"/>
    <w:rsid w:val="001F63F8"/>
    <w:rsid w:val="001F7AE0"/>
    <w:rsid w:val="00202E00"/>
    <w:rsid w:val="0020512C"/>
    <w:rsid w:val="00215BE2"/>
    <w:rsid w:val="00225464"/>
    <w:rsid w:val="00240AFD"/>
    <w:rsid w:val="00250698"/>
    <w:rsid w:val="002545BB"/>
    <w:rsid w:val="00254F1F"/>
    <w:rsid w:val="0025755D"/>
    <w:rsid w:val="002603C2"/>
    <w:rsid w:val="00266639"/>
    <w:rsid w:val="00285949"/>
    <w:rsid w:val="0029149E"/>
    <w:rsid w:val="00292BD4"/>
    <w:rsid w:val="00297977"/>
    <w:rsid w:val="002C08D0"/>
    <w:rsid w:val="002E16CF"/>
    <w:rsid w:val="002E6214"/>
    <w:rsid w:val="002F46EE"/>
    <w:rsid w:val="002F4740"/>
    <w:rsid w:val="002F4C88"/>
    <w:rsid w:val="002F4FD1"/>
    <w:rsid w:val="00303A50"/>
    <w:rsid w:val="00306EF3"/>
    <w:rsid w:val="00307C07"/>
    <w:rsid w:val="003200AD"/>
    <w:rsid w:val="00324CED"/>
    <w:rsid w:val="0032738B"/>
    <w:rsid w:val="00336BEF"/>
    <w:rsid w:val="00350FE6"/>
    <w:rsid w:val="00353B88"/>
    <w:rsid w:val="0036615C"/>
    <w:rsid w:val="003757C7"/>
    <w:rsid w:val="00375912"/>
    <w:rsid w:val="0038138A"/>
    <w:rsid w:val="00387715"/>
    <w:rsid w:val="0039316B"/>
    <w:rsid w:val="003A7722"/>
    <w:rsid w:val="003B5051"/>
    <w:rsid w:val="003C75E1"/>
    <w:rsid w:val="003D4FA6"/>
    <w:rsid w:val="003E098F"/>
    <w:rsid w:val="00403536"/>
    <w:rsid w:val="00404645"/>
    <w:rsid w:val="0041510A"/>
    <w:rsid w:val="004238FD"/>
    <w:rsid w:val="00424B42"/>
    <w:rsid w:val="00434AE2"/>
    <w:rsid w:val="00441640"/>
    <w:rsid w:val="00443E41"/>
    <w:rsid w:val="00447605"/>
    <w:rsid w:val="00462BFB"/>
    <w:rsid w:val="00464327"/>
    <w:rsid w:val="00466889"/>
    <w:rsid w:val="00473308"/>
    <w:rsid w:val="00476F92"/>
    <w:rsid w:val="00483A5F"/>
    <w:rsid w:val="00494810"/>
    <w:rsid w:val="004B04B1"/>
    <w:rsid w:val="004B0E2D"/>
    <w:rsid w:val="004B0EE6"/>
    <w:rsid w:val="004C29B4"/>
    <w:rsid w:val="004D12C7"/>
    <w:rsid w:val="004E4945"/>
    <w:rsid w:val="004E6969"/>
    <w:rsid w:val="004F1C1C"/>
    <w:rsid w:val="004F69A4"/>
    <w:rsid w:val="004F73B0"/>
    <w:rsid w:val="00500FD6"/>
    <w:rsid w:val="005141C1"/>
    <w:rsid w:val="0051521C"/>
    <w:rsid w:val="00532018"/>
    <w:rsid w:val="005342B4"/>
    <w:rsid w:val="00535154"/>
    <w:rsid w:val="00547FEA"/>
    <w:rsid w:val="0057133D"/>
    <w:rsid w:val="0057492E"/>
    <w:rsid w:val="005814AC"/>
    <w:rsid w:val="005A2BF8"/>
    <w:rsid w:val="005A2C2C"/>
    <w:rsid w:val="005A641D"/>
    <w:rsid w:val="005B52E3"/>
    <w:rsid w:val="005C0299"/>
    <w:rsid w:val="005C075F"/>
    <w:rsid w:val="005E7B6A"/>
    <w:rsid w:val="00611B82"/>
    <w:rsid w:val="00627095"/>
    <w:rsid w:val="00627816"/>
    <w:rsid w:val="006314BD"/>
    <w:rsid w:val="00637FA4"/>
    <w:rsid w:val="00666AA3"/>
    <w:rsid w:val="00671BBF"/>
    <w:rsid w:val="00684560"/>
    <w:rsid w:val="006A77DA"/>
    <w:rsid w:val="006B58B9"/>
    <w:rsid w:val="006D06E0"/>
    <w:rsid w:val="006D327E"/>
    <w:rsid w:val="006D3C18"/>
    <w:rsid w:val="006F3B03"/>
    <w:rsid w:val="007011B0"/>
    <w:rsid w:val="007062F3"/>
    <w:rsid w:val="007067DD"/>
    <w:rsid w:val="00714518"/>
    <w:rsid w:val="00714751"/>
    <w:rsid w:val="00714AE6"/>
    <w:rsid w:val="007167BF"/>
    <w:rsid w:val="00716870"/>
    <w:rsid w:val="00724074"/>
    <w:rsid w:val="007244CE"/>
    <w:rsid w:val="00724654"/>
    <w:rsid w:val="00734B8D"/>
    <w:rsid w:val="00734BD3"/>
    <w:rsid w:val="007362B5"/>
    <w:rsid w:val="007454BD"/>
    <w:rsid w:val="007456CB"/>
    <w:rsid w:val="00753C46"/>
    <w:rsid w:val="0075541F"/>
    <w:rsid w:val="007579E0"/>
    <w:rsid w:val="00760AA3"/>
    <w:rsid w:val="007A62B6"/>
    <w:rsid w:val="007B1781"/>
    <w:rsid w:val="007B6746"/>
    <w:rsid w:val="007E0E53"/>
    <w:rsid w:val="007F5B2E"/>
    <w:rsid w:val="0080421D"/>
    <w:rsid w:val="0081337D"/>
    <w:rsid w:val="008242F3"/>
    <w:rsid w:val="00824FAA"/>
    <w:rsid w:val="008273C0"/>
    <w:rsid w:val="008400A3"/>
    <w:rsid w:val="008400BA"/>
    <w:rsid w:val="00840982"/>
    <w:rsid w:val="00841DB4"/>
    <w:rsid w:val="00842B70"/>
    <w:rsid w:val="008519AF"/>
    <w:rsid w:val="00855BDD"/>
    <w:rsid w:val="008804E2"/>
    <w:rsid w:val="00880D81"/>
    <w:rsid w:val="00881C42"/>
    <w:rsid w:val="008B69A4"/>
    <w:rsid w:val="008C1F49"/>
    <w:rsid w:val="008C2EA7"/>
    <w:rsid w:val="008E4D54"/>
    <w:rsid w:val="008F525B"/>
    <w:rsid w:val="00904964"/>
    <w:rsid w:val="0091517F"/>
    <w:rsid w:val="00921580"/>
    <w:rsid w:val="00921FA1"/>
    <w:rsid w:val="00926FFD"/>
    <w:rsid w:val="00943AA4"/>
    <w:rsid w:val="009441B5"/>
    <w:rsid w:val="00951BDC"/>
    <w:rsid w:val="00964055"/>
    <w:rsid w:val="00971474"/>
    <w:rsid w:val="009733D5"/>
    <w:rsid w:val="00992E89"/>
    <w:rsid w:val="00996687"/>
    <w:rsid w:val="009A2A63"/>
    <w:rsid w:val="009B724D"/>
    <w:rsid w:val="009C32F2"/>
    <w:rsid w:val="009E3EEF"/>
    <w:rsid w:val="009E5D8F"/>
    <w:rsid w:val="00A050A0"/>
    <w:rsid w:val="00A25DB0"/>
    <w:rsid w:val="00A30845"/>
    <w:rsid w:val="00A35C02"/>
    <w:rsid w:val="00A40B6F"/>
    <w:rsid w:val="00A4447E"/>
    <w:rsid w:val="00A51C02"/>
    <w:rsid w:val="00A5708D"/>
    <w:rsid w:val="00A61970"/>
    <w:rsid w:val="00A62993"/>
    <w:rsid w:val="00A65E37"/>
    <w:rsid w:val="00A73ACC"/>
    <w:rsid w:val="00A85E3D"/>
    <w:rsid w:val="00A92C0A"/>
    <w:rsid w:val="00AA21DF"/>
    <w:rsid w:val="00AA74BF"/>
    <w:rsid w:val="00AE164E"/>
    <w:rsid w:val="00AE50CF"/>
    <w:rsid w:val="00AE5A3F"/>
    <w:rsid w:val="00AE706E"/>
    <w:rsid w:val="00B01BEF"/>
    <w:rsid w:val="00B07E06"/>
    <w:rsid w:val="00B10733"/>
    <w:rsid w:val="00B12ED9"/>
    <w:rsid w:val="00B1618A"/>
    <w:rsid w:val="00B166AF"/>
    <w:rsid w:val="00B16CB5"/>
    <w:rsid w:val="00B24F16"/>
    <w:rsid w:val="00B43C90"/>
    <w:rsid w:val="00B57864"/>
    <w:rsid w:val="00B6077B"/>
    <w:rsid w:val="00B60CF1"/>
    <w:rsid w:val="00B74019"/>
    <w:rsid w:val="00B84E24"/>
    <w:rsid w:val="00B95B3F"/>
    <w:rsid w:val="00BA0309"/>
    <w:rsid w:val="00BC1B7A"/>
    <w:rsid w:val="00BC4BB7"/>
    <w:rsid w:val="00BC783B"/>
    <w:rsid w:val="00BD2D81"/>
    <w:rsid w:val="00BD35A1"/>
    <w:rsid w:val="00BE7EA5"/>
    <w:rsid w:val="00BF1604"/>
    <w:rsid w:val="00BF4E7A"/>
    <w:rsid w:val="00C10013"/>
    <w:rsid w:val="00C13B6E"/>
    <w:rsid w:val="00C17099"/>
    <w:rsid w:val="00C3169B"/>
    <w:rsid w:val="00C42F49"/>
    <w:rsid w:val="00C437AC"/>
    <w:rsid w:val="00C44C88"/>
    <w:rsid w:val="00C47130"/>
    <w:rsid w:val="00C72FEA"/>
    <w:rsid w:val="00C77B94"/>
    <w:rsid w:val="00C832B6"/>
    <w:rsid w:val="00CA3F5C"/>
    <w:rsid w:val="00CB4D9C"/>
    <w:rsid w:val="00CC0D92"/>
    <w:rsid w:val="00CC25AF"/>
    <w:rsid w:val="00CC60EB"/>
    <w:rsid w:val="00CD1E9E"/>
    <w:rsid w:val="00CD3B77"/>
    <w:rsid w:val="00CF5716"/>
    <w:rsid w:val="00D03323"/>
    <w:rsid w:val="00D32F28"/>
    <w:rsid w:val="00D33175"/>
    <w:rsid w:val="00D3626D"/>
    <w:rsid w:val="00D36996"/>
    <w:rsid w:val="00D40D6D"/>
    <w:rsid w:val="00D819AC"/>
    <w:rsid w:val="00DA48F9"/>
    <w:rsid w:val="00DB4FE7"/>
    <w:rsid w:val="00DC25A5"/>
    <w:rsid w:val="00DC3886"/>
    <w:rsid w:val="00DC3D58"/>
    <w:rsid w:val="00DC3E09"/>
    <w:rsid w:val="00DE5C13"/>
    <w:rsid w:val="00DE6A95"/>
    <w:rsid w:val="00E147A7"/>
    <w:rsid w:val="00E15F00"/>
    <w:rsid w:val="00E174F1"/>
    <w:rsid w:val="00E349CD"/>
    <w:rsid w:val="00E35831"/>
    <w:rsid w:val="00E40CC2"/>
    <w:rsid w:val="00E445E4"/>
    <w:rsid w:val="00E4603B"/>
    <w:rsid w:val="00E55A02"/>
    <w:rsid w:val="00E64302"/>
    <w:rsid w:val="00E70934"/>
    <w:rsid w:val="00E8337D"/>
    <w:rsid w:val="00EA62EF"/>
    <w:rsid w:val="00EB09DE"/>
    <w:rsid w:val="00EB27B7"/>
    <w:rsid w:val="00EC2429"/>
    <w:rsid w:val="00EC66BC"/>
    <w:rsid w:val="00EE0E21"/>
    <w:rsid w:val="00EF2D9B"/>
    <w:rsid w:val="00F14B8E"/>
    <w:rsid w:val="00F20843"/>
    <w:rsid w:val="00F25EDC"/>
    <w:rsid w:val="00F36A12"/>
    <w:rsid w:val="00F41178"/>
    <w:rsid w:val="00F53B6C"/>
    <w:rsid w:val="00F70B68"/>
    <w:rsid w:val="00F74324"/>
    <w:rsid w:val="00F80107"/>
    <w:rsid w:val="00F879F4"/>
    <w:rsid w:val="00F9726B"/>
    <w:rsid w:val="00FA203E"/>
    <w:rsid w:val="00FB2DEF"/>
    <w:rsid w:val="00FB6281"/>
    <w:rsid w:val="00FB6D02"/>
    <w:rsid w:val="00FC2A7B"/>
    <w:rsid w:val="00FC5FE7"/>
    <w:rsid w:val="00FD67AE"/>
    <w:rsid w:val="00FD6A57"/>
    <w:rsid w:val="00FF16C4"/>
    <w:rsid w:val="00FF18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2049"/>
    <o:shapelayout v:ext="edit">
      <o:idmap v:ext="edit" data="1"/>
    </o:shapelayout>
  </w:shapeDefaults>
  <w:decimalSymbol w:val="."/>
  <w:listSeparator w:val=","/>
  <w14:docId w14:val="21EEDCEA"/>
  <w15:docId w15:val="{DE3544F1-F8E5-4A37-92DC-79FF8806F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utoSpaceDE w:val="0"/>
      <w:autoSpaceDN w:val="0"/>
      <w:adjustRightInd w:val="0"/>
    </w:pPr>
  </w:style>
  <w:style w:type="paragraph" w:styleId="Heading1">
    <w:name w:val="heading 1"/>
    <w:basedOn w:val="Normal"/>
    <w:next w:val="Normal"/>
    <w:qFormat/>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240"/>
      <w:jc w:val="both"/>
      <w:outlineLvl w:val="0"/>
    </w:pPr>
    <w:rPr>
      <w:sz w:val="24"/>
      <w:szCs w:val="24"/>
    </w:rPr>
  </w:style>
  <w:style w:type="paragraph" w:styleId="Heading2">
    <w:name w:val="heading 2"/>
    <w:basedOn w:val="Normal"/>
    <w:next w:val="Normal"/>
    <w:qFormat/>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240"/>
      <w:jc w:val="both"/>
      <w:outlineLvl w:val="1"/>
    </w:pPr>
    <w:rPr>
      <w:sz w:val="24"/>
      <w:szCs w:val="24"/>
    </w:rPr>
  </w:style>
  <w:style w:type="paragraph" w:styleId="Heading3">
    <w:name w:val="heading 3"/>
    <w:basedOn w:val="Normal"/>
    <w:next w:val="Normal"/>
    <w:qFormat/>
    <w:pPr>
      <w:tabs>
        <w:tab w:val="left" w:pos="0"/>
        <w:tab w:val="left" w:pos="2160"/>
        <w:tab w:val="left" w:pos="2880"/>
        <w:tab w:val="left" w:pos="3600"/>
        <w:tab w:val="left" w:pos="4320"/>
        <w:tab w:val="left" w:pos="5040"/>
        <w:tab w:val="left" w:pos="5760"/>
        <w:tab w:val="left" w:pos="6480"/>
        <w:tab w:val="left" w:pos="7200"/>
        <w:tab w:val="left" w:pos="7920"/>
        <w:tab w:val="left" w:pos="8640"/>
        <w:tab w:val="right" w:pos="9360"/>
      </w:tabs>
      <w:spacing w:after="240"/>
      <w:jc w:val="both"/>
      <w:outlineLvl w:val="2"/>
    </w:pPr>
    <w:rPr>
      <w:sz w:val="24"/>
      <w:szCs w:val="24"/>
    </w:rPr>
  </w:style>
  <w:style w:type="paragraph" w:styleId="Heading4">
    <w:name w:val="heading 4"/>
    <w:basedOn w:val="Normal"/>
    <w:next w:val="Normal"/>
    <w:qFormat/>
    <w:pPr>
      <w:tabs>
        <w:tab w:val="left" w:pos="0"/>
        <w:tab w:val="left" w:pos="2880"/>
        <w:tab w:val="left" w:pos="3600"/>
        <w:tab w:val="left" w:pos="4320"/>
        <w:tab w:val="left" w:pos="5040"/>
        <w:tab w:val="left" w:pos="5760"/>
        <w:tab w:val="left" w:pos="6480"/>
        <w:tab w:val="left" w:pos="7200"/>
        <w:tab w:val="left" w:pos="7920"/>
        <w:tab w:val="left" w:pos="8640"/>
        <w:tab w:val="right" w:pos="9360"/>
      </w:tabs>
      <w:spacing w:after="240"/>
      <w:jc w:val="both"/>
      <w:outlineLvl w:val="3"/>
    </w:pPr>
    <w:rPr>
      <w:sz w:val="24"/>
      <w:szCs w:val="24"/>
    </w:rPr>
  </w:style>
  <w:style w:type="paragraph" w:styleId="Heading5">
    <w:name w:val="heading 5"/>
    <w:basedOn w:val="Normal"/>
    <w:next w:val="Normal"/>
    <w:qFormat/>
    <w:pPr>
      <w:tabs>
        <w:tab w:val="left" w:pos="0"/>
        <w:tab w:val="left" w:pos="3600"/>
        <w:tab w:val="left" w:pos="4320"/>
        <w:tab w:val="left" w:pos="5040"/>
        <w:tab w:val="left" w:pos="5760"/>
        <w:tab w:val="left" w:pos="6480"/>
        <w:tab w:val="left" w:pos="7200"/>
        <w:tab w:val="left" w:pos="7920"/>
        <w:tab w:val="left" w:pos="8640"/>
        <w:tab w:val="right" w:pos="9360"/>
      </w:tabs>
      <w:spacing w:after="240"/>
      <w:jc w:val="both"/>
      <w:outlineLvl w:val="4"/>
    </w:pPr>
    <w:rPr>
      <w:sz w:val="24"/>
      <w:szCs w:val="24"/>
    </w:rPr>
  </w:style>
  <w:style w:type="paragraph" w:styleId="Heading6">
    <w:name w:val="heading 6"/>
    <w:basedOn w:val="Normal"/>
    <w:next w:val="Normal"/>
    <w:qFormat/>
    <w:pPr>
      <w:tabs>
        <w:tab w:val="left" w:pos="0"/>
        <w:tab w:val="left" w:pos="4320"/>
        <w:tab w:val="left" w:pos="5040"/>
        <w:tab w:val="left" w:pos="5760"/>
        <w:tab w:val="left" w:pos="6480"/>
        <w:tab w:val="left" w:pos="7200"/>
        <w:tab w:val="left" w:pos="7920"/>
        <w:tab w:val="left" w:pos="8640"/>
        <w:tab w:val="right" w:pos="9360"/>
      </w:tabs>
      <w:spacing w:after="240"/>
      <w:jc w:val="both"/>
      <w:outlineLvl w:val="5"/>
    </w:pPr>
    <w:rPr>
      <w:sz w:val="24"/>
      <w:szCs w:val="24"/>
    </w:rPr>
  </w:style>
  <w:style w:type="paragraph" w:styleId="Heading7">
    <w:name w:val="heading 7"/>
    <w:basedOn w:val="Normal"/>
    <w:next w:val="Normal"/>
    <w:qFormat/>
    <w:pPr>
      <w:tabs>
        <w:tab w:val="left" w:pos="0"/>
        <w:tab w:val="left" w:pos="5040"/>
        <w:tab w:val="left" w:pos="5760"/>
        <w:tab w:val="left" w:pos="6480"/>
        <w:tab w:val="left" w:pos="7200"/>
        <w:tab w:val="left" w:pos="7920"/>
        <w:tab w:val="left" w:pos="8640"/>
        <w:tab w:val="right" w:pos="9360"/>
      </w:tabs>
      <w:spacing w:after="240"/>
      <w:jc w:val="both"/>
      <w:outlineLvl w:val="6"/>
    </w:pPr>
    <w:rPr>
      <w:sz w:val="24"/>
      <w:szCs w:val="24"/>
    </w:rPr>
  </w:style>
  <w:style w:type="paragraph" w:styleId="Heading8">
    <w:name w:val="heading 8"/>
    <w:basedOn w:val="Normal"/>
    <w:next w:val="Normal"/>
    <w:qFormat/>
    <w:pPr>
      <w:tabs>
        <w:tab w:val="left" w:pos="0"/>
        <w:tab w:val="left" w:pos="5760"/>
        <w:tab w:val="left" w:pos="6480"/>
        <w:tab w:val="left" w:pos="7200"/>
        <w:tab w:val="left" w:pos="7920"/>
        <w:tab w:val="left" w:pos="8640"/>
        <w:tab w:val="right" w:pos="9360"/>
      </w:tabs>
      <w:spacing w:after="240"/>
      <w:jc w:val="both"/>
      <w:outlineLvl w:val="7"/>
    </w:pPr>
    <w:rPr>
      <w:sz w:val="24"/>
      <w:szCs w:val="24"/>
    </w:rPr>
  </w:style>
  <w:style w:type="paragraph" w:styleId="Heading9">
    <w:name w:val="heading 9"/>
    <w:basedOn w:val="Normal"/>
    <w:next w:val="Normal"/>
    <w:qFormat/>
    <w:pPr>
      <w:tabs>
        <w:tab w:val="left" w:pos="0"/>
        <w:tab w:val="left" w:pos="6480"/>
        <w:tab w:val="left" w:pos="7200"/>
        <w:tab w:val="left" w:pos="7920"/>
        <w:tab w:val="left" w:pos="8640"/>
        <w:tab w:val="right" w:pos="9360"/>
      </w:tabs>
      <w:spacing w:after="240"/>
      <w:jc w:val="both"/>
      <w:outlineLvl w:val="8"/>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_level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360" w:hanging="360"/>
      <w:jc w:val="both"/>
    </w:pPr>
    <w:rPr>
      <w:sz w:val="24"/>
      <w:szCs w:val="24"/>
    </w:rPr>
  </w:style>
  <w:style w:type="paragraph" w:customStyle="1" w:styleId="level2">
    <w:name w:val="_level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720" w:hanging="360"/>
      <w:jc w:val="both"/>
    </w:pPr>
    <w:rPr>
      <w:sz w:val="24"/>
      <w:szCs w:val="24"/>
    </w:rPr>
  </w:style>
  <w:style w:type="paragraph" w:customStyle="1" w:styleId="level3">
    <w:name w:val="_level3"/>
    <w:pPr>
      <w:widowControl w:val="0"/>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1080" w:hanging="360"/>
      <w:jc w:val="both"/>
    </w:pPr>
    <w:rPr>
      <w:sz w:val="24"/>
      <w:szCs w:val="24"/>
    </w:rPr>
  </w:style>
  <w:style w:type="paragraph" w:customStyle="1" w:styleId="level4">
    <w:name w:val="_level4"/>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1440" w:hanging="360"/>
      <w:jc w:val="both"/>
    </w:pPr>
    <w:rPr>
      <w:sz w:val="24"/>
      <w:szCs w:val="24"/>
    </w:rPr>
  </w:style>
  <w:style w:type="paragraph" w:customStyle="1" w:styleId="level5">
    <w:name w:val="_level5"/>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1800" w:hanging="360"/>
      <w:jc w:val="both"/>
    </w:pPr>
    <w:rPr>
      <w:sz w:val="24"/>
      <w:szCs w:val="24"/>
    </w:rPr>
  </w:style>
  <w:style w:type="paragraph" w:customStyle="1" w:styleId="level6">
    <w:name w:val="_level6"/>
    <w:pPr>
      <w:widowControl w:val="0"/>
      <w:tabs>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2160" w:hanging="360"/>
      <w:jc w:val="both"/>
    </w:pPr>
    <w:rPr>
      <w:sz w:val="24"/>
      <w:szCs w:val="24"/>
    </w:rPr>
  </w:style>
  <w:style w:type="paragraph" w:customStyle="1" w:styleId="level7">
    <w:name w:val="_level7"/>
    <w:pPr>
      <w:widowControl w:val="0"/>
      <w:tabs>
        <w:tab w:val="left" w:pos="252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2520" w:hanging="360"/>
      <w:jc w:val="both"/>
    </w:pPr>
    <w:rPr>
      <w:sz w:val="24"/>
      <w:szCs w:val="24"/>
    </w:rPr>
  </w:style>
  <w:style w:type="paragraph" w:customStyle="1" w:styleId="level8">
    <w:name w:val="_level8"/>
    <w:pPr>
      <w:widowControl w:val="0"/>
      <w:tabs>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2880" w:hanging="360"/>
      <w:jc w:val="both"/>
    </w:pPr>
    <w:rPr>
      <w:sz w:val="24"/>
      <w:szCs w:val="24"/>
    </w:rPr>
  </w:style>
  <w:style w:type="paragraph" w:customStyle="1" w:styleId="level9">
    <w:name w:val="_level9"/>
    <w:pPr>
      <w:widowControl w:val="0"/>
      <w:tabs>
        <w:tab w:val="left" w:pos="324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3240" w:hanging="360"/>
      <w:jc w:val="both"/>
    </w:pPr>
    <w:rPr>
      <w:sz w:val="24"/>
      <w:szCs w:val="24"/>
    </w:rPr>
  </w:style>
  <w:style w:type="paragraph" w:customStyle="1" w:styleId="levsl1">
    <w:name w:val="_levsl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360" w:hanging="360"/>
      <w:jc w:val="both"/>
    </w:pPr>
    <w:rPr>
      <w:sz w:val="24"/>
      <w:szCs w:val="24"/>
    </w:rPr>
  </w:style>
  <w:style w:type="paragraph" w:customStyle="1" w:styleId="levsl2">
    <w:name w:val="_levsl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720" w:hanging="360"/>
      <w:jc w:val="both"/>
    </w:pPr>
    <w:rPr>
      <w:sz w:val="24"/>
      <w:szCs w:val="24"/>
    </w:rPr>
  </w:style>
  <w:style w:type="paragraph" w:customStyle="1" w:styleId="levsl3">
    <w:name w:val="_levsl3"/>
    <w:pPr>
      <w:widowControl w:val="0"/>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1080" w:hanging="360"/>
      <w:jc w:val="both"/>
    </w:pPr>
    <w:rPr>
      <w:sz w:val="24"/>
      <w:szCs w:val="24"/>
    </w:rPr>
  </w:style>
  <w:style w:type="paragraph" w:customStyle="1" w:styleId="levsl4">
    <w:name w:val="_levsl4"/>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1440" w:hanging="360"/>
      <w:jc w:val="both"/>
    </w:pPr>
    <w:rPr>
      <w:sz w:val="24"/>
      <w:szCs w:val="24"/>
    </w:rPr>
  </w:style>
  <w:style w:type="paragraph" w:customStyle="1" w:styleId="levsl5">
    <w:name w:val="_levsl5"/>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1800" w:hanging="360"/>
      <w:jc w:val="both"/>
    </w:pPr>
    <w:rPr>
      <w:sz w:val="24"/>
      <w:szCs w:val="24"/>
    </w:rPr>
  </w:style>
  <w:style w:type="paragraph" w:customStyle="1" w:styleId="levsl6">
    <w:name w:val="_levsl6"/>
    <w:pPr>
      <w:widowControl w:val="0"/>
      <w:tabs>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2160" w:hanging="360"/>
      <w:jc w:val="both"/>
    </w:pPr>
    <w:rPr>
      <w:sz w:val="24"/>
      <w:szCs w:val="24"/>
    </w:rPr>
  </w:style>
  <w:style w:type="paragraph" w:customStyle="1" w:styleId="levsl7">
    <w:name w:val="_levsl7"/>
    <w:pPr>
      <w:widowControl w:val="0"/>
      <w:tabs>
        <w:tab w:val="left" w:pos="252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2520" w:hanging="360"/>
      <w:jc w:val="both"/>
    </w:pPr>
    <w:rPr>
      <w:sz w:val="24"/>
      <w:szCs w:val="24"/>
    </w:rPr>
  </w:style>
  <w:style w:type="paragraph" w:customStyle="1" w:styleId="levsl8">
    <w:name w:val="_levsl8"/>
    <w:pPr>
      <w:widowControl w:val="0"/>
      <w:tabs>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2880" w:hanging="360"/>
      <w:jc w:val="both"/>
    </w:pPr>
    <w:rPr>
      <w:sz w:val="24"/>
      <w:szCs w:val="24"/>
    </w:rPr>
  </w:style>
  <w:style w:type="paragraph" w:customStyle="1" w:styleId="levsl9">
    <w:name w:val="_levsl9"/>
    <w:pPr>
      <w:widowControl w:val="0"/>
      <w:tabs>
        <w:tab w:val="left" w:pos="324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3240" w:hanging="360"/>
      <w:jc w:val="both"/>
    </w:pPr>
    <w:rPr>
      <w:sz w:val="24"/>
      <w:szCs w:val="24"/>
    </w:rPr>
  </w:style>
  <w:style w:type="paragraph" w:customStyle="1" w:styleId="levnl1">
    <w:name w:val="_levnl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360" w:hanging="360"/>
      <w:jc w:val="both"/>
    </w:pPr>
    <w:rPr>
      <w:sz w:val="24"/>
      <w:szCs w:val="24"/>
    </w:rPr>
  </w:style>
  <w:style w:type="paragraph" w:customStyle="1" w:styleId="levnl2">
    <w:name w:val="_levnl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720" w:hanging="360"/>
      <w:jc w:val="both"/>
    </w:pPr>
    <w:rPr>
      <w:sz w:val="24"/>
      <w:szCs w:val="24"/>
    </w:rPr>
  </w:style>
  <w:style w:type="paragraph" w:customStyle="1" w:styleId="levnl3">
    <w:name w:val="_levnl3"/>
    <w:pPr>
      <w:widowControl w:val="0"/>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1080" w:hanging="360"/>
      <w:jc w:val="both"/>
    </w:pPr>
    <w:rPr>
      <w:sz w:val="24"/>
      <w:szCs w:val="24"/>
    </w:rPr>
  </w:style>
  <w:style w:type="paragraph" w:customStyle="1" w:styleId="levnl4">
    <w:name w:val="_levnl4"/>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1440" w:hanging="360"/>
      <w:jc w:val="both"/>
    </w:pPr>
    <w:rPr>
      <w:sz w:val="24"/>
      <w:szCs w:val="24"/>
    </w:rPr>
  </w:style>
  <w:style w:type="paragraph" w:customStyle="1" w:styleId="levnl5">
    <w:name w:val="_levnl5"/>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1800" w:hanging="360"/>
      <w:jc w:val="both"/>
    </w:pPr>
    <w:rPr>
      <w:sz w:val="24"/>
      <w:szCs w:val="24"/>
    </w:rPr>
  </w:style>
  <w:style w:type="paragraph" w:customStyle="1" w:styleId="levnl6">
    <w:name w:val="_levnl6"/>
    <w:pPr>
      <w:widowControl w:val="0"/>
      <w:tabs>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2160" w:hanging="360"/>
      <w:jc w:val="both"/>
    </w:pPr>
    <w:rPr>
      <w:sz w:val="24"/>
      <w:szCs w:val="24"/>
    </w:rPr>
  </w:style>
  <w:style w:type="paragraph" w:customStyle="1" w:styleId="levnl7">
    <w:name w:val="_levnl7"/>
    <w:pPr>
      <w:widowControl w:val="0"/>
      <w:tabs>
        <w:tab w:val="left" w:pos="252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2520" w:hanging="360"/>
      <w:jc w:val="both"/>
    </w:pPr>
    <w:rPr>
      <w:sz w:val="24"/>
      <w:szCs w:val="24"/>
    </w:rPr>
  </w:style>
  <w:style w:type="paragraph" w:customStyle="1" w:styleId="levnl8">
    <w:name w:val="_levnl8"/>
    <w:pPr>
      <w:widowControl w:val="0"/>
      <w:tabs>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2880" w:hanging="360"/>
      <w:jc w:val="both"/>
    </w:pPr>
    <w:rPr>
      <w:sz w:val="24"/>
      <w:szCs w:val="24"/>
    </w:rPr>
  </w:style>
  <w:style w:type="paragraph" w:customStyle="1" w:styleId="levnl9">
    <w:name w:val="_levnl9"/>
    <w:pPr>
      <w:widowControl w:val="0"/>
      <w:tabs>
        <w:tab w:val="left" w:pos="324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3240" w:hanging="360"/>
      <w:jc w:val="both"/>
    </w:pPr>
    <w:rPr>
      <w:sz w:val="24"/>
      <w:szCs w:val="24"/>
    </w:rPr>
  </w:style>
  <w:style w:type="character" w:customStyle="1" w:styleId="DefaultPara">
    <w:name w:val="Default Para"/>
  </w:style>
  <w:style w:type="paragraph" w:styleId="BlockText">
    <w:name w:val="Block Text"/>
    <w:basedOn w:val="Normal"/>
    <w:pPr>
      <w:tabs>
        <w:tab w:val="left" w:pos="1440"/>
        <w:tab w:val="left" w:pos="2160"/>
        <w:tab w:val="left" w:pos="2880"/>
        <w:tab w:val="left" w:pos="3600"/>
        <w:tab w:val="left" w:pos="4320"/>
        <w:tab w:val="left" w:pos="5040"/>
        <w:tab w:val="left" w:pos="5760"/>
        <w:tab w:val="left" w:pos="6480"/>
        <w:tab w:val="left" w:pos="7200"/>
        <w:tab w:val="right" w:pos="7920"/>
      </w:tabs>
      <w:spacing w:after="240"/>
      <w:ind w:left="1440" w:right="1440"/>
      <w:jc w:val="both"/>
    </w:pPr>
    <w:rPr>
      <w:sz w:val="24"/>
      <w:szCs w:val="24"/>
    </w:rPr>
  </w:style>
  <w:style w:type="paragraph" w:customStyle="1" w:styleId="BodyTextDo">
    <w:name w:val="Body Text Do"/>
    <w:pPr>
      <w:widowControl w:val="0"/>
      <w:autoSpaceDE w:val="0"/>
      <w:autoSpaceDN w:val="0"/>
      <w:adjustRightInd w:val="0"/>
      <w:spacing w:line="480" w:lineRule="auto"/>
      <w:ind w:firstLine="1440"/>
      <w:jc w:val="both"/>
    </w:pPr>
    <w:rPr>
      <w:sz w:val="24"/>
      <w:szCs w:val="24"/>
    </w:rPr>
  </w:style>
  <w:style w:type="paragraph" w:customStyle="1" w:styleId="BodyTextFl">
    <w:name w:val="Body Text Fl"/>
    <w:pPr>
      <w:widowControl w:val="0"/>
      <w:autoSpaceDE w:val="0"/>
      <w:autoSpaceDN w:val="0"/>
      <w:adjustRightInd w:val="0"/>
      <w:spacing w:after="240"/>
      <w:jc w:val="both"/>
    </w:pPr>
    <w:rPr>
      <w:sz w:val="24"/>
      <w:szCs w:val="24"/>
    </w:rPr>
  </w:style>
  <w:style w:type="paragraph" w:customStyle="1" w:styleId="BodyTextJu">
    <w:name w:val="Body Text Ju"/>
    <w:pPr>
      <w:widowControl w:val="0"/>
      <w:autoSpaceDE w:val="0"/>
      <w:autoSpaceDN w:val="0"/>
      <w:adjustRightInd w:val="0"/>
      <w:spacing w:after="240"/>
      <w:ind w:firstLine="1440"/>
      <w:jc w:val="both"/>
    </w:pPr>
    <w:rPr>
      <w:sz w:val="24"/>
      <w:szCs w:val="24"/>
    </w:rPr>
  </w:style>
  <w:style w:type="paragraph" w:customStyle="1" w:styleId="BodyTextSi">
    <w:name w:val="Body Text Si"/>
    <w:pPr>
      <w:widowControl w:val="0"/>
      <w:autoSpaceDE w:val="0"/>
      <w:autoSpaceDN w:val="0"/>
      <w:adjustRightInd w:val="0"/>
      <w:spacing w:after="240"/>
      <w:ind w:firstLine="1440"/>
      <w:jc w:val="both"/>
    </w:pPr>
    <w:rPr>
      <w:sz w:val="24"/>
      <w:szCs w:val="24"/>
    </w:rPr>
  </w:style>
  <w:style w:type="paragraph" w:customStyle="1" w:styleId="CenteredBol">
    <w:name w:val="Centered Bol"/>
    <w:pPr>
      <w:widowControl w:val="0"/>
      <w:autoSpaceDE w:val="0"/>
      <w:autoSpaceDN w:val="0"/>
      <w:adjustRightInd w:val="0"/>
      <w:spacing w:after="240"/>
      <w:jc w:val="center"/>
    </w:pPr>
    <w:rPr>
      <w:b/>
      <w:bCs/>
      <w:sz w:val="24"/>
      <w:szCs w:val="24"/>
    </w:rPr>
  </w:style>
  <w:style w:type="paragraph" w:customStyle="1" w:styleId="CenteredSco">
    <w:name w:val="Centered Sco"/>
    <w:pPr>
      <w:widowControl w:val="0"/>
      <w:autoSpaceDE w:val="0"/>
      <w:autoSpaceDN w:val="0"/>
      <w:adjustRightInd w:val="0"/>
      <w:spacing w:after="240"/>
      <w:jc w:val="center"/>
    </w:pPr>
    <w:rPr>
      <w:sz w:val="24"/>
      <w:szCs w:val="24"/>
      <w:u w:val="single"/>
    </w:rPr>
  </w:style>
  <w:style w:type="paragraph" w:customStyle="1" w:styleId="CenteredTit">
    <w:name w:val="Centered Tit"/>
    <w:pPr>
      <w:widowControl w:val="0"/>
      <w:autoSpaceDE w:val="0"/>
      <w:autoSpaceDN w:val="0"/>
      <w:adjustRightInd w:val="0"/>
      <w:spacing w:after="240"/>
      <w:jc w:val="center"/>
    </w:pPr>
    <w:rPr>
      <w:sz w:val="24"/>
      <w:szCs w:val="24"/>
    </w:rPr>
  </w:style>
  <w:style w:type="paragraph" w:styleId="Footer">
    <w:name w:val="footer"/>
    <w:basedOn w:val="Normal"/>
    <w:link w:val="FooterChar"/>
    <w:uiPriority w:val="99"/>
    <w:rPr>
      <w:sz w:val="24"/>
      <w:szCs w:val="24"/>
    </w:rPr>
  </w:style>
  <w:style w:type="character" w:customStyle="1" w:styleId="FootnoteRef">
    <w:name w:val="Footnote Ref"/>
    <w:rPr>
      <w:vertAlign w:val="superscript"/>
    </w:rPr>
  </w:style>
  <w:style w:type="paragraph" w:customStyle="1" w:styleId="FootnoteTex">
    <w:name w:val="Footnote Tex"/>
    <w:pPr>
      <w:widowControl w:val="0"/>
      <w:autoSpaceDE w:val="0"/>
      <w:autoSpaceDN w:val="0"/>
      <w:adjustRightInd w:val="0"/>
      <w:spacing w:after="120"/>
      <w:jc w:val="both"/>
    </w:pPr>
  </w:style>
  <w:style w:type="paragraph" w:styleId="Header">
    <w:name w:val="header"/>
    <w:basedOn w:val="Normal"/>
    <w:rPr>
      <w:sz w:val="24"/>
      <w:szCs w:val="24"/>
    </w:rPr>
  </w:style>
  <w:style w:type="paragraph" w:customStyle="1" w:styleId="LeftTitle">
    <w:name w:val="Left Title"/>
    <w:pPr>
      <w:widowControl w:val="0"/>
      <w:autoSpaceDE w:val="0"/>
      <w:autoSpaceDN w:val="0"/>
      <w:adjustRightInd w:val="0"/>
      <w:spacing w:after="240"/>
      <w:jc w:val="both"/>
    </w:pPr>
    <w:rPr>
      <w:sz w:val="24"/>
      <w:szCs w:val="24"/>
    </w:rPr>
  </w:style>
  <w:style w:type="paragraph" w:customStyle="1" w:styleId="LeftTitleB">
    <w:name w:val="Left Title B"/>
    <w:pPr>
      <w:widowControl w:val="0"/>
      <w:autoSpaceDE w:val="0"/>
      <w:autoSpaceDN w:val="0"/>
      <w:adjustRightInd w:val="0"/>
      <w:spacing w:after="240"/>
      <w:jc w:val="both"/>
    </w:pPr>
    <w:rPr>
      <w:b/>
      <w:bCs/>
      <w:sz w:val="24"/>
      <w:szCs w:val="24"/>
    </w:rPr>
  </w:style>
  <w:style w:type="paragraph" w:customStyle="1" w:styleId="LeftTitleS">
    <w:name w:val="Left Title S"/>
    <w:pPr>
      <w:widowControl w:val="0"/>
      <w:autoSpaceDE w:val="0"/>
      <w:autoSpaceDN w:val="0"/>
      <w:adjustRightInd w:val="0"/>
      <w:spacing w:after="240"/>
      <w:jc w:val="both"/>
    </w:pPr>
    <w:rPr>
      <w:sz w:val="24"/>
      <w:szCs w:val="24"/>
      <w:u w:val="single"/>
    </w:rPr>
  </w:style>
  <w:style w:type="paragraph" w:customStyle="1" w:styleId="Request">
    <w:name w:val="Request"/>
    <w:pPr>
      <w:widowControl w:val="0"/>
      <w:autoSpaceDE w:val="0"/>
      <w:autoSpaceDN w:val="0"/>
      <w:adjustRightInd w:val="0"/>
      <w:spacing w:line="480" w:lineRule="auto"/>
      <w:jc w:val="both"/>
    </w:pPr>
    <w:rPr>
      <w:sz w:val="24"/>
      <w:szCs w:val="24"/>
    </w:rPr>
  </w:style>
  <w:style w:type="paragraph" w:customStyle="1" w:styleId="Response">
    <w:name w:val="Response"/>
    <w:pPr>
      <w:widowControl w:val="0"/>
      <w:autoSpaceDE w:val="0"/>
      <w:autoSpaceDN w:val="0"/>
      <w:adjustRightInd w:val="0"/>
      <w:spacing w:line="480" w:lineRule="auto"/>
      <w:jc w:val="both"/>
    </w:pPr>
    <w:rPr>
      <w:sz w:val="24"/>
      <w:szCs w:val="24"/>
    </w:rPr>
  </w:style>
  <w:style w:type="paragraph" w:customStyle="1" w:styleId="RightFlush">
    <w:name w:val="Right Flush"/>
    <w:pPr>
      <w:widowControl w:val="0"/>
      <w:autoSpaceDE w:val="0"/>
      <w:autoSpaceDN w:val="0"/>
      <w:adjustRightInd w:val="0"/>
      <w:spacing w:after="240"/>
      <w:jc w:val="right"/>
    </w:pPr>
    <w:rPr>
      <w:sz w:val="24"/>
      <w:szCs w:val="24"/>
    </w:rPr>
  </w:style>
  <w:style w:type="paragraph" w:styleId="Title">
    <w:name w:val="Title"/>
    <w:basedOn w:val="Normal"/>
    <w:qFormat/>
    <w:pPr>
      <w:spacing w:line="480" w:lineRule="auto"/>
      <w:jc w:val="center"/>
    </w:pPr>
    <w:rPr>
      <w:sz w:val="24"/>
      <w:szCs w:val="24"/>
      <w:u w:val="single"/>
    </w:rPr>
  </w:style>
  <w:style w:type="paragraph" w:styleId="BalloonText">
    <w:name w:val="Balloon Text"/>
    <w:basedOn w:val="Normal"/>
    <w:link w:val="BalloonTextChar"/>
    <w:semiHidden/>
    <w:unhideWhenUsed/>
    <w:rsid w:val="00B24F16"/>
    <w:rPr>
      <w:rFonts w:ascii="Segoe UI" w:hAnsi="Segoe UI" w:cs="Segoe UI"/>
      <w:sz w:val="18"/>
      <w:szCs w:val="18"/>
    </w:rPr>
  </w:style>
  <w:style w:type="character" w:customStyle="1" w:styleId="BalloonTextChar">
    <w:name w:val="Balloon Text Char"/>
    <w:basedOn w:val="DefaultParagraphFont"/>
    <w:link w:val="BalloonText"/>
    <w:semiHidden/>
    <w:rsid w:val="00B24F16"/>
    <w:rPr>
      <w:rFonts w:ascii="Segoe UI" w:hAnsi="Segoe UI" w:cs="Segoe UI"/>
      <w:sz w:val="18"/>
      <w:szCs w:val="18"/>
    </w:rPr>
  </w:style>
  <w:style w:type="paragraph" w:styleId="FootnoteText">
    <w:name w:val="footnote text"/>
    <w:basedOn w:val="Normal"/>
    <w:link w:val="FootnoteTextChar"/>
    <w:unhideWhenUsed/>
    <w:rsid w:val="007167BF"/>
  </w:style>
  <w:style w:type="character" w:customStyle="1" w:styleId="FootnoteTextChar">
    <w:name w:val="Footnote Text Char"/>
    <w:basedOn w:val="DefaultParagraphFont"/>
    <w:link w:val="FootnoteText"/>
    <w:rsid w:val="007167BF"/>
  </w:style>
  <w:style w:type="character" w:styleId="FootnoteReference">
    <w:name w:val="footnote reference"/>
    <w:basedOn w:val="DefaultParagraphFont"/>
    <w:semiHidden/>
    <w:unhideWhenUsed/>
    <w:rsid w:val="007167BF"/>
    <w:rPr>
      <w:vertAlign w:val="superscript"/>
    </w:rPr>
  </w:style>
  <w:style w:type="character" w:styleId="CommentReference">
    <w:name w:val="annotation reference"/>
    <w:basedOn w:val="DefaultParagraphFont"/>
    <w:semiHidden/>
    <w:unhideWhenUsed/>
    <w:rsid w:val="0039316B"/>
    <w:rPr>
      <w:sz w:val="16"/>
      <w:szCs w:val="16"/>
    </w:rPr>
  </w:style>
  <w:style w:type="paragraph" w:styleId="CommentText">
    <w:name w:val="annotation text"/>
    <w:basedOn w:val="Normal"/>
    <w:link w:val="CommentTextChar"/>
    <w:semiHidden/>
    <w:unhideWhenUsed/>
    <w:rsid w:val="0039316B"/>
  </w:style>
  <w:style w:type="character" w:customStyle="1" w:styleId="CommentTextChar">
    <w:name w:val="Comment Text Char"/>
    <w:basedOn w:val="DefaultParagraphFont"/>
    <w:link w:val="CommentText"/>
    <w:semiHidden/>
    <w:rsid w:val="0039316B"/>
  </w:style>
  <w:style w:type="paragraph" w:styleId="CommentSubject">
    <w:name w:val="annotation subject"/>
    <w:basedOn w:val="CommentText"/>
    <w:next w:val="CommentText"/>
    <w:link w:val="CommentSubjectChar"/>
    <w:semiHidden/>
    <w:unhideWhenUsed/>
    <w:rsid w:val="0039316B"/>
    <w:rPr>
      <w:b/>
      <w:bCs/>
    </w:rPr>
  </w:style>
  <w:style w:type="character" w:customStyle="1" w:styleId="CommentSubjectChar">
    <w:name w:val="Comment Subject Char"/>
    <w:basedOn w:val="CommentTextChar"/>
    <w:link w:val="CommentSubject"/>
    <w:semiHidden/>
    <w:rsid w:val="0039316B"/>
    <w:rPr>
      <w:b/>
      <w:bCs/>
    </w:rPr>
  </w:style>
  <w:style w:type="character" w:styleId="Hyperlink">
    <w:name w:val="Hyperlink"/>
    <w:basedOn w:val="DefaultParagraphFont"/>
    <w:unhideWhenUsed/>
    <w:rsid w:val="0051521C"/>
    <w:rPr>
      <w:color w:val="0563C1" w:themeColor="hyperlink"/>
      <w:u w:val="single"/>
    </w:rPr>
  </w:style>
  <w:style w:type="character" w:styleId="UnresolvedMention">
    <w:name w:val="Unresolved Mention"/>
    <w:basedOn w:val="DefaultParagraphFont"/>
    <w:uiPriority w:val="99"/>
    <w:semiHidden/>
    <w:unhideWhenUsed/>
    <w:rsid w:val="0051521C"/>
    <w:rPr>
      <w:color w:val="605E5C"/>
      <w:shd w:val="clear" w:color="auto" w:fill="E1DFDD"/>
    </w:rPr>
  </w:style>
  <w:style w:type="paragraph" w:styleId="ListParagraph">
    <w:name w:val="List Paragraph"/>
    <w:basedOn w:val="Normal"/>
    <w:uiPriority w:val="34"/>
    <w:qFormat/>
    <w:rsid w:val="00466889"/>
    <w:pPr>
      <w:ind w:left="720"/>
      <w:contextualSpacing/>
    </w:pPr>
  </w:style>
  <w:style w:type="paragraph" w:styleId="NormalWeb">
    <w:name w:val="Normal (Web)"/>
    <w:basedOn w:val="Normal"/>
    <w:uiPriority w:val="99"/>
    <w:semiHidden/>
    <w:unhideWhenUsed/>
    <w:rsid w:val="00AE164E"/>
    <w:pPr>
      <w:widowControl/>
      <w:autoSpaceDE/>
      <w:autoSpaceDN/>
      <w:adjustRightInd/>
      <w:spacing w:before="100" w:beforeAutospacing="1" w:after="100" w:afterAutospacing="1"/>
    </w:pPr>
    <w:rPr>
      <w:sz w:val="24"/>
      <w:szCs w:val="24"/>
    </w:rPr>
  </w:style>
  <w:style w:type="character" w:customStyle="1" w:styleId="FooterChar">
    <w:name w:val="Footer Char"/>
    <w:basedOn w:val="DefaultParagraphFont"/>
    <w:link w:val="Footer"/>
    <w:uiPriority w:val="99"/>
    <w:rsid w:val="00F801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7429309">
      <w:bodyDiv w:val="1"/>
      <w:marLeft w:val="0"/>
      <w:marRight w:val="0"/>
      <w:marTop w:val="0"/>
      <w:marBottom w:val="0"/>
      <w:divBdr>
        <w:top w:val="none" w:sz="0" w:space="0" w:color="auto"/>
        <w:left w:val="none" w:sz="0" w:space="0" w:color="auto"/>
        <w:bottom w:val="none" w:sz="0" w:space="0" w:color="auto"/>
        <w:right w:val="none" w:sz="0" w:space="0" w:color="auto"/>
      </w:divBdr>
    </w:div>
    <w:div w:id="1091927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transforming-classification.blogs.archives.gov/2017/12/18/completion-of-the-jfk-records-rolling-release/" TargetMode="External"/><Relationship Id="rId2" Type="http://schemas.openxmlformats.org/officeDocument/2006/relationships/hyperlink" Target="https://transforming-classification.blogs.archives.gov/2013/12/02/new-prioritization-category-topics-older-than-25-years/" TargetMode="External"/><Relationship Id="rId1" Type="http://schemas.openxmlformats.org/officeDocument/2006/relationships/hyperlink" Target="https://twitter.com/SunshineWeek" TargetMode="External"/><Relationship Id="rId4" Type="http://schemas.openxmlformats.org/officeDocument/2006/relationships/hyperlink" Target="https://www.americantruthnow.org/signatori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20ABA4-011C-4B12-AF32-B2AC18C0F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12</Pages>
  <Words>2743</Words>
  <Characters>15640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_</vt:lpstr>
    </vt:vector>
  </TitlesOfParts>
  <Company>Microsoft</Company>
  <LinksUpToDate>false</LinksUpToDate>
  <CharactersWithSpaces>18347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Lawrence Schnapf</dc:creator>
  <cp:lastModifiedBy>Lawrence Schnapf</cp:lastModifiedBy>
  <cp:revision>6</cp:revision>
  <cp:lastPrinted>2016-09-30T00:02:00Z</cp:lastPrinted>
  <dcterms:created xsi:type="dcterms:W3CDTF">2021-02-22T03:53:00Z</dcterms:created>
  <dcterms:modified xsi:type="dcterms:W3CDTF">2021-02-22T19:17:00Z</dcterms:modified>
</cp:coreProperties>
</file>