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48CF" w14:textId="6600B3B2" w:rsidR="00F70B2F" w:rsidRDefault="00F70B2F" w:rsidP="00F70B2F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3FAAE52" wp14:editId="560C4048">
            <wp:extent cx="1835015" cy="1599565"/>
            <wp:effectExtent l="0" t="0" r="0" b="635"/>
            <wp:docPr id="735490304" name="Picture 1" descr="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90304" name="Picture 1" descr="A yellow circle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192" cy="160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F599C" w14:textId="3E28CE37" w:rsidR="00F70B2F" w:rsidRDefault="007E3969" w:rsidP="00F70B2F">
      <w:pPr>
        <w:jc w:val="center"/>
        <w:rPr>
          <w:rFonts w:ascii="Century Gothic" w:eastAsia="Calibri" w:hAnsi="Century Gothic" w:cs="Arial"/>
          <w:b/>
          <w:sz w:val="20"/>
          <w:szCs w:val="20"/>
          <w:u w:val="single"/>
        </w:rPr>
      </w:pPr>
      <w:r>
        <w:rPr>
          <w:rFonts w:ascii="Century Gothic" w:eastAsia="Calibri" w:hAnsi="Century Gothic" w:cs="Arial"/>
          <w:b/>
          <w:sz w:val="20"/>
          <w:szCs w:val="20"/>
          <w:u w:val="single"/>
        </w:rPr>
        <w:t>SEND Policy</w:t>
      </w:r>
    </w:p>
    <w:p w14:paraId="35EABBE0" w14:textId="57942066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At 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Diverse Sports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we take safeguarding very seriously and </w:t>
      </w:r>
      <w:proofErr w:type="gramStart"/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>all of</w:t>
      </w:r>
      <w:proofErr w:type="gramEnd"/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our policies are developed with a high priority on 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student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>’s safety.</w:t>
      </w:r>
      <w:r w:rsidR="00161975">
        <w:rPr>
          <w:rFonts w:ascii="Arial" w:hAnsi="Arial" w:cs="Arial"/>
          <w:sz w:val="23"/>
          <w:szCs w:val="23"/>
          <w:bdr w:val="none" w:sz="0" w:space="0" w:color="auto" w:frame="1"/>
        </w:rPr>
        <w:t xml:space="preserve"> We believe this is reflected in our safeguarding policy.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proofErr w:type="gramStart"/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>All of</w:t>
      </w:r>
      <w:proofErr w:type="gramEnd"/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our policies are interlinked and should be read and informed by all other policies. In particular, the SEND policy is linked to behaviour, anti-bullying, medical and curriculum policies.</w:t>
      </w:r>
    </w:p>
    <w:p w14:paraId="093644F0" w14:textId="77777777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</w:rPr>
        <w:t> </w:t>
      </w:r>
    </w:p>
    <w:p w14:paraId="4163FD17" w14:textId="39CB787F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</w:rPr>
        <w:t>  </w:t>
      </w:r>
    </w:p>
    <w:p w14:paraId="33F140CF" w14:textId="0BF81FC2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At 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Diverse Sports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we support and value the abilities of all our pupils. It is our duty to provide equal opportunities for every person in our care and a safe and fully equipped learning environment which caters to the needs of every child as an individual. We are committed to inclusion within 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our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curriculum and participation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.</w:t>
      </w:r>
    </w:p>
    <w:p w14:paraId="49501CCA" w14:textId="77777777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</w:rPr>
        <w:t> </w:t>
      </w:r>
    </w:p>
    <w:p w14:paraId="216D5830" w14:textId="561D5E7E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dr w:val="none" w:sz="0" w:space="0" w:color="auto" w:frame="1"/>
        </w:rPr>
        <w:t>Diverse Sports</w:t>
      </w:r>
      <w:r w:rsidRPr="007E3969">
        <w:rPr>
          <w:rFonts w:ascii="Arial" w:hAnsi="Arial" w:cs="Arial"/>
          <w:bdr w:val="none" w:sz="0" w:space="0" w:color="auto" w:frame="1"/>
        </w:rPr>
        <w:t xml:space="preserve"> adopts a 'whole approach' to special educational needs. All staff make reasonable adjustments to</w:t>
      </w:r>
      <w:r w:rsidRPr="007E3969">
        <w:rPr>
          <w:rFonts w:ascii="Arial" w:hAnsi="Arial" w:cs="Arial"/>
          <w:sz w:val="23"/>
          <w:szCs w:val="23"/>
        </w:rPr>
        <w:t> </w:t>
      </w:r>
      <w:r w:rsidRPr="007E3969">
        <w:rPr>
          <w:rFonts w:ascii="Arial" w:hAnsi="Arial" w:cs="Arial"/>
          <w:bdr w:val="none" w:sz="0" w:space="0" w:color="auto" w:frame="1"/>
        </w:rPr>
        <w:t xml:space="preserve">enable all </w:t>
      </w:r>
      <w:r>
        <w:rPr>
          <w:rFonts w:ascii="Arial" w:hAnsi="Arial" w:cs="Arial"/>
          <w:bdr w:val="none" w:sz="0" w:space="0" w:color="auto" w:frame="1"/>
        </w:rPr>
        <w:t>students</w:t>
      </w:r>
      <w:r w:rsidRPr="007E3969">
        <w:rPr>
          <w:rFonts w:ascii="Arial" w:hAnsi="Arial" w:cs="Arial"/>
          <w:bdr w:val="none" w:sz="0" w:space="0" w:color="auto" w:frame="1"/>
        </w:rPr>
        <w:t xml:space="preserve"> to have full access to all elements of the curriculum. </w:t>
      </w:r>
      <w:r>
        <w:rPr>
          <w:rFonts w:ascii="Arial" w:hAnsi="Arial" w:cs="Arial"/>
          <w:bdr w:val="none" w:sz="0" w:space="0" w:color="auto" w:frame="1"/>
        </w:rPr>
        <w:t>Diverse Sports</w:t>
      </w:r>
      <w:r w:rsidRPr="007E3969">
        <w:rPr>
          <w:rFonts w:ascii="Arial" w:hAnsi="Arial" w:cs="Arial"/>
          <w:bdr w:val="none" w:sz="0" w:space="0" w:color="auto" w:frame="1"/>
        </w:rPr>
        <w:t xml:space="preserve"> is committed to ensuring that pupils with special educational needs can fulfil their potential and achieve optimal educational outcomes.</w:t>
      </w:r>
    </w:p>
    <w:p w14:paraId="7ADCE501" w14:textId="77777777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</w:rPr>
        <w:t> </w:t>
      </w:r>
    </w:p>
    <w:p w14:paraId="46A16EF1" w14:textId="523D300F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</w:rPr>
        <w:br/>
        <w:t> </w:t>
      </w:r>
    </w:p>
    <w:p w14:paraId="3A29F1D0" w14:textId="41B437BF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 xml:space="preserve">SEN policy and practice </w:t>
      </w:r>
      <w:r>
        <w:rPr>
          <w:rFonts w:ascii="Arial" w:hAnsi="Arial" w:cs="Arial"/>
          <w:bdr w:val="none" w:sz="0" w:space="0" w:color="auto" w:frame="1"/>
        </w:rPr>
        <w:t>at Diverse Sports</w:t>
      </w:r>
      <w:r w:rsidRPr="007E3969">
        <w:rPr>
          <w:rFonts w:ascii="Arial" w:hAnsi="Arial" w:cs="Arial"/>
          <w:bdr w:val="none" w:sz="0" w:space="0" w:color="auto" w:frame="1"/>
        </w:rPr>
        <w:t xml:space="preserve"> are:</w:t>
      </w:r>
    </w:p>
    <w:p w14:paraId="762E7F5E" w14:textId="77777777" w:rsidR="007E3969" w:rsidRPr="007E3969" w:rsidRDefault="007E3969" w:rsidP="007E3969">
      <w:pPr>
        <w:shd w:val="clear" w:color="auto" w:fill="FFFFFF"/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</w:rPr>
        <w:t> </w:t>
      </w:r>
    </w:p>
    <w:p w14:paraId="70D92BF0" w14:textId="77777777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>to identify, at the earliest possible opportunity, any barriers to learning and participation for pupils with SEN.</w:t>
      </w:r>
    </w:p>
    <w:p w14:paraId="56777A84" w14:textId="7D2FED0D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 xml:space="preserve">to make appropriate provision to overcome all barriers to learning and ensure pupils with SEN have full access to </w:t>
      </w:r>
      <w:r>
        <w:rPr>
          <w:rFonts w:ascii="Arial" w:hAnsi="Arial" w:cs="Arial"/>
          <w:bdr w:val="none" w:sz="0" w:space="0" w:color="auto" w:frame="1"/>
        </w:rPr>
        <w:t>our</w:t>
      </w:r>
      <w:r w:rsidRPr="007E3969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c</w:t>
      </w:r>
      <w:r w:rsidRPr="007E3969">
        <w:rPr>
          <w:rFonts w:ascii="Arial" w:hAnsi="Arial" w:cs="Arial"/>
          <w:bdr w:val="none" w:sz="0" w:space="0" w:color="auto" w:frame="1"/>
        </w:rPr>
        <w:t>urriculum.</w:t>
      </w:r>
    </w:p>
    <w:p w14:paraId="40A3FC2F" w14:textId="303FFCB2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>to work in partnership with parent and carers to gain a better understanding of their child and involve them in all stages of their education.</w:t>
      </w:r>
    </w:p>
    <w:p w14:paraId="6E0E75EE" w14:textId="77777777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>to seek and respond to pupil’s views and value their contribution when making decisions concerning their education.</w:t>
      </w:r>
    </w:p>
    <w:p w14:paraId="3BCF2A04" w14:textId="7A43AA04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>to ensure support for pupils with medical conditions</w:t>
      </w:r>
      <w:r w:rsidR="00161975">
        <w:rPr>
          <w:rFonts w:ascii="Arial" w:hAnsi="Arial" w:cs="Arial"/>
          <w:sz w:val="23"/>
          <w:szCs w:val="23"/>
          <w:bdr w:val="none" w:sz="0" w:space="0" w:color="auto" w:frame="1"/>
        </w:rPr>
        <w:t xml:space="preserve"> and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 full inclusion in all activities by ensuring consultation with health and social care </w:t>
      </w:r>
      <w:proofErr w:type="gramStart"/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>professionals;</w:t>
      </w:r>
      <w:proofErr w:type="gramEnd"/>
    </w:p>
    <w:p w14:paraId="158BAD5A" w14:textId="6B9E647D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to identify the roles and responsibilities of all staff in providing for </w:t>
      </w:r>
      <w:r>
        <w:rPr>
          <w:rFonts w:ascii="Arial" w:hAnsi="Arial" w:cs="Arial"/>
          <w:sz w:val="23"/>
          <w:szCs w:val="23"/>
          <w:bdr w:val="none" w:sz="0" w:space="0" w:color="auto" w:frame="1"/>
        </w:rPr>
        <w:t>student</w:t>
      </w:r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 xml:space="preserve">’s special educational </w:t>
      </w:r>
      <w:proofErr w:type="gramStart"/>
      <w:r w:rsidRPr="007E3969">
        <w:rPr>
          <w:rFonts w:ascii="Arial" w:hAnsi="Arial" w:cs="Arial"/>
          <w:sz w:val="23"/>
          <w:szCs w:val="23"/>
          <w:bdr w:val="none" w:sz="0" w:space="0" w:color="auto" w:frame="1"/>
        </w:rPr>
        <w:t>needs;</w:t>
      </w:r>
      <w:proofErr w:type="gramEnd"/>
    </w:p>
    <w:p w14:paraId="2A861DA1" w14:textId="77777777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>to carefully map provision for all vulnerable learners to ensure that staffing deployment, resource allocation and choice of intervention is leading to good learning outcomes.</w:t>
      </w:r>
    </w:p>
    <w:p w14:paraId="762B6B59" w14:textId="77777777" w:rsidR="007E3969" w:rsidRPr="007E3969" w:rsidRDefault="007E3969" w:rsidP="007E3969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 xml:space="preserve">to ensure that all staff have access to training and advice to support quality teaching and learning for all </w:t>
      </w:r>
      <w:proofErr w:type="gramStart"/>
      <w:r w:rsidRPr="007E3969">
        <w:rPr>
          <w:rFonts w:ascii="Arial" w:hAnsi="Arial" w:cs="Arial"/>
          <w:bdr w:val="none" w:sz="0" w:space="0" w:color="auto" w:frame="1"/>
        </w:rPr>
        <w:t>pupils</w:t>
      </w:r>
      <w:proofErr w:type="gramEnd"/>
    </w:p>
    <w:p w14:paraId="309C42C7" w14:textId="6FB4E8A5" w:rsidR="007E3969" w:rsidRPr="00161975" w:rsidRDefault="007E3969" w:rsidP="00161975">
      <w:pPr>
        <w:numPr>
          <w:ilvl w:val="0"/>
          <w:numId w:val="2"/>
        </w:numPr>
        <w:spacing w:before="0" w:beforeAutospacing="0" w:after="0" w:line="240" w:lineRule="auto"/>
        <w:textAlignment w:val="top"/>
        <w:rPr>
          <w:rFonts w:ascii="Arial" w:hAnsi="Arial" w:cs="Arial"/>
          <w:sz w:val="23"/>
          <w:szCs w:val="23"/>
        </w:rPr>
      </w:pPr>
      <w:r w:rsidRPr="007E3969">
        <w:rPr>
          <w:rFonts w:ascii="Arial" w:hAnsi="Arial" w:cs="Arial"/>
          <w:bdr w:val="none" w:sz="0" w:space="0" w:color="auto" w:frame="1"/>
        </w:rPr>
        <w:t>to work in cooperative and productive partnership with the Local Authority and other outside agencies</w:t>
      </w:r>
      <w:r w:rsidR="00161975">
        <w:rPr>
          <w:rFonts w:ascii="Arial" w:hAnsi="Arial" w:cs="Arial"/>
          <w:bdr w:val="none" w:sz="0" w:space="0" w:color="auto" w:frame="1"/>
        </w:rPr>
        <w:t xml:space="preserve"> so we can</w:t>
      </w:r>
      <w:r w:rsidRPr="007E3969">
        <w:rPr>
          <w:rFonts w:ascii="Arial" w:hAnsi="Arial" w:cs="Arial"/>
          <w:bdr w:val="none" w:sz="0" w:space="0" w:color="auto" w:frame="1"/>
        </w:rPr>
        <w:t xml:space="preserve"> ensure there is a multi-professional approach to meeting the needs of all vulnerable learners.</w:t>
      </w:r>
    </w:p>
    <w:p w14:paraId="2206B1C2" w14:textId="77777777" w:rsidR="000572D8" w:rsidRDefault="000572D8"/>
    <w:sectPr w:rsidR="0005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3A60" w14:textId="77777777" w:rsidR="0072638A" w:rsidRDefault="0072638A" w:rsidP="00F70B2F">
      <w:pPr>
        <w:spacing w:before="0" w:after="0" w:line="240" w:lineRule="auto"/>
      </w:pPr>
      <w:r>
        <w:separator/>
      </w:r>
    </w:p>
  </w:endnote>
  <w:endnote w:type="continuationSeparator" w:id="0">
    <w:p w14:paraId="45B7A8D8" w14:textId="77777777" w:rsidR="0072638A" w:rsidRDefault="0072638A" w:rsidP="00F70B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CE37" w14:textId="77777777" w:rsidR="0072638A" w:rsidRDefault="0072638A" w:rsidP="00F70B2F">
      <w:pPr>
        <w:spacing w:before="0" w:after="0" w:line="240" w:lineRule="auto"/>
      </w:pPr>
      <w:r>
        <w:separator/>
      </w:r>
    </w:p>
  </w:footnote>
  <w:footnote w:type="continuationSeparator" w:id="0">
    <w:p w14:paraId="7A4CCEDC" w14:textId="77777777" w:rsidR="0072638A" w:rsidRDefault="0072638A" w:rsidP="00F70B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11D3A"/>
    <w:multiLevelType w:val="multilevel"/>
    <w:tmpl w:val="E7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93236F"/>
    <w:multiLevelType w:val="multilevel"/>
    <w:tmpl w:val="FF863C08"/>
    <w:lvl w:ilvl="0">
      <w:start w:val="1"/>
      <w:numFmt w:val="bullet"/>
      <w:lvlText w:val="➢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 w16cid:durableId="1065689432">
    <w:abstractNumId w:val="1"/>
  </w:num>
  <w:num w:numId="2" w16cid:durableId="173114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2F"/>
    <w:rsid w:val="000572D8"/>
    <w:rsid w:val="000A5AFF"/>
    <w:rsid w:val="00161975"/>
    <w:rsid w:val="006228AC"/>
    <w:rsid w:val="006A21A4"/>
    <w:rsid w:val="0072638A"/>
    <w:rsid w:val="007E3969"/>
    <w:rsid w:val="007F255C"/>
    <w:rsid w:val="009200BC"/>
    <w:rsid w:val="00C90015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12B97"/>
  <w15:chartTrackingRefBased/>
  <w15:docId w15:val="{7181E317-8E5F-49E7-86CD-00EA285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2F"/>
    <w:pPr>
      <w:spacing w:before="100" w:beforeAutospacing="1" w:after="200" w:line="273" w:lineRule="auto"/>
    </w:pPr>
    <w:rPr>
      <w:rFonts w:ascii="Calibri" w:eastAsia="Times New Roman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0B2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2F"/>
    <w:rPr>
      <w:rFonts w:ascii="Calibri" w:eastAsia="Times New Roman" w:hAnsi="Calibri" w:cs="Calibri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3969"/>
    <w:pPr>
      <w:spacing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E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Crawford</dc:creator>
  <cp:keywords/>
  <dc:description/>
  <cp:lastModifiedBy>Gary Macdonald</cp:lastModifiedBy>
  <cp:revision>2</cp:revision>
  <cp:lastPrinted>2024-05-21T10:10:00Z</cp:lastPrinted>
  <dcterms:created xsi:type="dcterms:W3CDTF">2024-05-21T10:10:00Z</dcterms:created>
  <dcterms:modified xsi:type="dcterms:W3CDTF">2024-05-21T10:10:00Z</dcterms:modified>
</cp:coreProperties>
</file>