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Northshore Unit 8 Property Owners’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HOA Meeting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Northshore Country Club (Tea Room)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3rd @ 6:30 pm</w:t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b w:val="1"/>
          <w:color w:val="00000a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b w:val="1"/>
          <w:color w:val="00000a"/>
          <w:sz w:val="26"/>
          <w:szCs w:val="26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6"/>
          <w:szCs w:val="26"/>
          <w:rtl w:val="0"/>
        </w:rPr>
        <w:t xml:space="preserve">Call to Order</w:t>
        <w:tab/>
        <w:tab/>
        <w:tab/>
        <w:tab/>
        <w:tab/>
        <w:tab/>
        <w:tab/>
        <w:t xml:space="preserve">Dustin Winkler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Rule="auto"/>
        <w:rPr>
          <w:rFonts w:ascii="Times New Roman" w:cs="Times New Roman" w:eastAsia="Times New Roman" w:hAnsi="Times New Roman"/>
          <w:b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6"/>
          <w:szCs w:val="26"/>
          <w:rtl w:val="0"/>
        </w:rPr>
        <w:t xml:space="preserve">Approval of June 2024 Annual Mtg Minutes</w:t>
        <w:tab/>
        <w:tab/>
        <w:tab/>
        <w:t xml:space="preserve">Board</w:t>
      </w:r>
    </w:p>
    <w:p w:rsidR="00000000" w:rsidDel="00000000" w:rsidP="00000000" w:rsidRDefault="00000000" w:rsidRPr="00000000" w14:paraId="00000009">
      <w:pPr>
        <w:spacing w:after="160" w:lineRule="auto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6"/>
          <w:szCs w:val="26"/>
          <w:rtl w:val="0"/>
        </w:rPr>
        <w:t xml:space="preserve">Guests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Rule="auto"/>
        <w:rPr>
          <w:rFonts w:ascii="Times New Roman" w:cs="Times New Roman" w:eastAsia="Times New Roman" w:hAnsi="Times New Roman"/>
          <w:b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6"/>
          <w:szCs w:val="26"/>
          <w:rtl w:val="0"/>
        </w:rPr>
        <w:t xml:space="preserve">Committee Reports: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Treasurer’s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6"/>
          <w:szCs w:val="26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Grant Hesseltine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Dues Report</w:t>
        <w:tab/>
        <w:tab/>
        <w:tab/>
        <w:tab/>
        <w:tab/>
        <w:tab/>
        <w:tab/>
        <w:t xml:space="preserve">Catherine Powers</w:t>
        <w:tab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ARC Update</w:t>
        <w:tab/>
        <w:tab/>
        <w:tab/>
        <w:tab/>
        <w:tab/>
        <w:tab/>
        <w:tab/>
        <w:t xml:space="preserve">Will Powers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Rule="auto"/>
        <w:rPr>
          <w:rFonts w:ascii="Times New Roman" w:cs="Times New Roman" w:eastAsia="Times New Roman" w:hAnsi="Times New Roman"/>
          <w:b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6"/>
          <w:szCs w:val="26"/>
          <w:rtl w:val="0"/>
        </w:rPr>
        <w:t xml:space="preserve">Old Business: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Code Violations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New Texas HOA Laws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106 Pine Valley Variance Approval - Tom &amp; Olga Laird</w:t>
      </w:r>
    </w:p>
    <w:p w:rsidR="00000000" w:rsidDel="00000000" w:rsidP="00000000" w:rsidRDefault="00000000" w:rsidRPr="00000000" w14:paraId="00000013">
      <w:pPr>
        <w:spacing w:after="16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Rule="auto"/>
        <w:rPr>
          <w:rFonts w:ascii="Times New Roman" w:cs="Times New Roman" w:eastAsia="Times New Roman" w:hAnsi="Times New Roman"/>
          <w:b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6"/>
          <w:szCs w:val="26"/>
          <w:rtl w:val="0"/>
        </w:rPr>
        <w:t xml:space="preserve">New Business: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Resale Certificate Filing Fee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Officer Terms/Elections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b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6"/>
          <w:szCs w:val="26"/>
          <w:rtl w:val="0"/>
        </w:rPr>
        <w:t xml:space="preserve">Directors’ Terms (3 Years):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Bart Floerke 2024-2027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Grant Hesseltine 2023-2026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Steven Thomas 2023-2026</w:t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Dustin Winkler 2024-2027</w:t>
      </w:r>
    </w:p>
    <w:p w:rsidR="00000000" w:rsidDel="00000000" w:rsidP="00000000" w:rsidRDefault="00000000" w:rsidRPr="00000000" w14:paraId="0000001C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Jill Wilson 2024-2027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b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6"/>
          <w:szCs w:val="26"/>
          <w:rtl w:val="0"/>
        </w:rPr>
        <w:t xml:space="preserve">Officers’ Terms (2 Years)</w:t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Dustin Winkler (President) 2024-2026</w:t>
      </w:r>
    </w:p>
    <w:p w:rsidR="00000000" w:rsidDel="00000000" w:rsidP="00000000" w:rsidRDefault="00000000" w:rsidRPr="00000000" w14:paraId="0000001F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Grant Hesseltine (Treasurer) 2024-2026</w:t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Bart Floerke (Secretary) 2023-2025 -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u w:val="single"/>
          <w:rtl w:val="0"/>
        </w:rPr>
        <w:t xml:space="preserve">Up for Re-Election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color w:val="00000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6"/>
          <w:szCs w:val="26"/>
          <w:rtl w:val="0"/>
        </w:rPr>
        <w:t xml:space="preserve"> 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8"/>
          <w:szCs w:val="28"/>
        </w:rPr>
      </w:pPr>
      <w:hyperlink r:id="rId6">
        <w:r w:rsidDel="00000000" w:rsidR="00000000" w:rsidRPr="00000000">
          <w:rPr>
            <w:b w:val="1"/>
            <w:sz w:val="28"/>
            <w:szCs w:val="28"/>
            <w:u w:val="single"/>
            <w:rtl w:val="0"/>
          </w:rPr>
          <w:t xml:space="preserve">WWW.NORTHSHOREHOA8.COM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b w:val="1"/>
          <w:rtl w:val="0"/>
        </w:rPr>
        <w:t xml:space="preserve">NSPOA8@GMAIL.COM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northshorehoa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