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2E7" w:rsidRPr="00AE32E7" w:rsidRDefault="00AE32E7" w:rsidP="00AE32E7">
      <w:pPr>
        <w:jc w:val="center"/>
        <w:rPr>
          <w:rFonts w:ascii="Arial" w:hAnsi="Arial" w:cs="Arial"/>
          <w:b/>
          <w:sz w:val="26"/>
          <w:szCs w:val="26"/>
          <w:u w:val="single"/>
        </w:rPr>
      </w:pPr>
      <w:r>
        <w:rPr>
          <w:rFonts w:ascii="Arial" w:hAnsi="Arial" w:cs="Arial"/>
          <w:b/>
          <w:sz w:val="26"/>
          <w:szCs w:val="26"/>
          <w:u w:val="single"/>
        </w:rPr>
        <w:t>Garden Policy</w:t>
      </w:r>
    </w:p>
    <w:p w:rsidR="00AE32E7" w:rsidRPr="00AE32E7" w:rsidRDefault="00AE32E7" w:rsidP="00AE32E7">
      <w:pPr>
        <w:jc w:val="center"/>
        <w:rPr>
          <w:rFonts w:ascii="Arial" w:hAnsi="Arial" w:cs="Arial"/>
          <w:b/>
          <w:sz w:val="26"/>
          <w:szCs w:val="26"/>
          <w:u w:val="single"/>
        </w:rPr>
      </w:pPr>
    </w:p>
    <w:p w:rsidR="00AE32E7" w:rsidRPr="00AE32E7" w:rsidRDefault="00AE32E7" w:rsidP="00AE32E7">
      <w:pPr>
        <w:pStyle w:val="ListParagraph"/>
        <w:numPr>
          <w:ilvl w:val="0"/>
          <w:numId w:val="2"/>
        </w:numPr>
        <w:jc w:val="both"/>
        <w:rPr>
          <w:bCs/>
          <w:sz w:val="26"/>
          <w:szCs w:val="26"/>
        </w:rPr>
      </w:pPr>
      <w:r w:rsidRPr="00AE32E7">
        <w:rPr>
          <w:bCs/>
          <w:sz w:val="26"/>
          <w:szCs w:val="26"/>
        </w:rPr>
        <w:t>At least one adult should be outside before the children leave the building</w:t>
      </w:r>
    </w:p>
    <w:p w:rsidR="00AE32E7" w:rsidRPr="00AE32E7" w:rsidRDefault="00AE32E7" w:rsidP="00AE32E7">
      <w:pPr>
        <w:pStyle w:val="ListParagraph"/>
        <w:numPr>
          <w:ilvl w:val="0"/>
          <w:numId w:val="2"/>
        </w:numPr>
        <w:jc w:val="both"/>
        <w:rPr>
          <w:bCs/>
          <w:sz w:val="26"/>
          <w:szCs w:val="26"/>
        </w:rPr>
      </w:pPr>
      <w:r w:rsidRPr="00AE32E7">
        <w:rPr>
          <w:bCs/>
          <w:sz w:val="26"/>
          <w:szCs w:val="26"/>
        </w:rPr>
        <w:t>Child/adult ratios are maintained during outside play including a First Aider</w:t>
      </w:r>
    </w:p>
    <w:p w:rsidR="00AE32E7" w:rsidRPr="00AE32E7" w:rsidRDefault="00AE32E7" w:rsidP="00AE32E7">
      <w:pPr>
        <w:pStyle w:val="ListParagraph"/>
        <w:numPr>
          <w:ilvl w:val="0"/>
          <w:numId w:val="2"/>
        </w:numPr>
        <w:jc w:val="both"/>
        <w:rPr>
          <w:bCs/>
          <w:sz w:val="26"/>
          <w:szCs w:val="26"/>
        </w:rPr>
      </w:pPr>
      <w:r w:rsidRPr="00AE32E7">
        <w:rPr>
          <w:bCs/>
          <w:sz w:val="26"/>
          <w:szCs w:val="26"/>
        </w:rPr>
        <w:t>A member of staff will carry the mobile First Aid kit around with them at all times</w:t>
      </w:r>
    </w:p>
    <w:p w:rsidR="00AE32E7" w:rsidRPr="00AE32E7" w:rsidRDefault="00AE32E7" w:rsidP="00AE32E7">
      <w:pPr>
        <w:pStyle w:val="ListParagraph"/>
        <w:numPr>
          <w:ilvl w:val="0"/>
          <w:numId w:val="2"/>
        </w:numPr>
        <w:jc w:val="both"/>
        <w:rPr>
          <w:bCs/>
          <w:sz w:val="26"/>
          <w:szCs w:val="26"/>
        </w:rPr>
      </w:pPr>
      <w:r w:rsidRPr="00AE32E7">
        <w:rPr>
          <w:bCs/>
          <w:sz w:val="26"/>
          <w:szCs w:val="26"/>
        </w:rPr>
        <w:t>At least one adult remains in the building</w:t>
      </w:r>
    </w:p>
    <w:p w:rsidR="00AE32E7" w:rsidRPr="00AE32E7" w:rsidRDefault="00AE32E7" w:rsidP="00AE32E7">
      <w:pPr>
        <w:pStyle w:val="ListParagraph"/>
        <w:numPr>
          <w:ilvl w:val="0"/>
          <w:numId w:val="2"/>
        </w:numPr>
        <w:jc w:val="both"/>
        <w:rPr>
          <w:bCs/>
          <w:sz w:val="26"/>
          <w:szCs w:val="26"/>
        </w:rPr>
      </w:pPr>
      <w:r w:rsidRPr="00AE32E7">
        <w:rPr>
          <w:bCs/>
          <w:sz w:val="26"/>
          <w:szCs w:val="26"/>
        </w:rPr>
        <w:t>Children are taken to the toilet inside by a member of staff</w:t>
      </w:r>
    </w:p>
    <w:p w:rsidR="00AE32E7" w:rsidRPr="00AE32E7" w:rsidRDefault="00AE32E7" w:rsidP="00AE32E7">
      <w:pPr>
        <w:pStyle w:val="ListParagraph"/>
        <w:numPr>
          <w:ilvl w:val="0"/>
          <w:numId w:val="2"/>
        </w:numPr>
        <w:jc w:val="both"/>
        <w:rPr>
          <w:bCs/>
          <w:sz w:val="26"/>
          <w:szCs w:val="26"/>
        </w:rPr>
      </w:pPr>
      <w:r w:rsidRPr="00AE32E7">
        <w:rPr>
          <w:bCs/>
          <w:sz w:val="26"/>
          <w:szCs w:val="26"/>
        </w:rPr>
        <w:t>One member of staff should remain near the door inside to monitor movement in and out of the building and adjust the numbers on the board accordingly</w:t>
      </w:r>
    </w:p>
    <w:p w:rsidR="00AE32E7" w:rsidRPr="00AE32E7" w:rsidRDefault="00AE32E7" w:rsidP="00AE32E7">
      <w:pPr>
        <w:pStyle w:val="ListParagraph"/>
        <w:numPr>
          <w:ilvl w:val="0"/>
          <w:numId w:val="2"/>
        </w:numPr>
        <w:jc w:val="both"/>
        <w:rPr>
          <w:bCs/>
          <w:sz w:val="26"/>
          <w:szCs w:val="26"/>
        </w:rPr>
      </w:pPr>
      <w:r w:rsidRPr="00AE32E7">
        <w:rPr>
          <w:bCs/>
          <w:sz w:val="26"/>
          <w:szCs w:val="26"/>
        </w:rPr>
        <w:t>Children use the slope, not the steps, to access the grassed area</w:t>
      </w:r>
    </w:p>
    <w:p w:rsidR="00AE32E7" w:rsidRPr="00AE32E7" w:rsidRDefault="00AE32E7" w:rsidP="00AE32E7">
      <w:pPr>
        <w:pStyle w:val="ListParagraph"/>
        <w:numPr>
          <w:ilvl w:val="0"/>
          <w:numId w:val="2"/>
        </w:numPr>
        <w:jc w:val="both"/>
        <w:rPr>
          <w:bCs/>
          <w:sz w:val="26"/>
          <w:szCs w:val="26"/>
        </w:rPr>
      </w:pPr>
      <w:r w:rsidRPr="00AE32E7">
        <w:rPr>
          <w:bCs/>
          <w:sz w:val="26"/>
          <w:szCs w:val="26"/>
        </w:rPr>
        <w:t>All visitors are challenged at the gate and parents are discouraged from entering the secure outside area if children are using the garden</w:t>
      </w:r>
    </w:p>
    <w:p w:rsidR="00AE32E7" w:rsidRPr="00AE32E7" w:rsidRDefault="00AE32E7" w:rsidP="00AE32E7">
      <w:pPr>
        <w:jc w:val="both"/>
        <w:rPr>
          <w:rFonts w:ascii="Arial" w:hAnsi="Arial" w:cs="Arial"/>
          <w:bCs/>
          <w:sz w:val="26"/>
          <w:szCs w:val="26"/>
        </w:rPr>
      </w:pPr>
    </w:p>
    <w:p w:rsidR="00AE32E7" w:rsidRPr="00AE32E7" w:rsidRDefault="00AE32E7" w:rsidP="00AE32E7">
      <w:pPr>
        <w:jc w:val="both"/>
        <w:rPr>
          <w:rFonts w:ascii="Arial" w:hAnsi="Arial" w:cs="Arial"/>
          <w:b/>
          <w:bCs/>
          <w:i/>
          <w:sz w:val="26"/>
          <w:szCs w:val="26"/>
        </w:rPr>
      </w:pPr>
      <w:r w:rsidRPr="00105133">
        <w:rPr>
          <w:rFonts w:ascii="Arial" w:hAnsi="Arial" w:cs="Arial"/>
          <w:b/>
          <w:sz w:val="26"/>
          <w:szCs w:val="26"/>
        </w:rPr>
        <w:t>Leaving the outside area</w:t>
      </w:r>
      <w:r w:rsidRPr="00AE32E7">
        <w:rPr>
          <w:rFonts w:ascii="Arial" w:hAnsi="Arial" w:cs="Arial"/>
          <w:b/>
          <w:bCs/>
          <w:i/>
          <w:sz w:val="26"/>
          <w:szCs w:val="26"/>
        </w:rPr>
        <w:t xml:space="preserve">:  </w:t>
      </w:r>
    </w:p>
    <w:p w:rsidR="00AE32E7" w:rsidRPr="00AE32E7" w:rsidRDefault="00AE32E7" w:rsidP="00AE32E7">
      <w:pPr>
        <w:pStyle w:val="ListParagraph"/>
        <w:numPr>
          <w:ilvl w:val="0"/>
          <w:numId w:val="1"/>
        </w:numPr>
        <w:jc w:val="both"/>
        <w:rPr>
          <w:bCs/>
          <w:sz w:val="26"/>
          <w:szCs w:val="26"/>
        </w:rPr>
      </w:pPr>
      <w:r w:rsidRPr="00AE32E7">
        <w:rPr>
          <w:bCs/>
          <w:sz w:val="26"/>
          <w:szCs w:val="26"/>
        </w:rPr>
        <w:t>Staff make a sweep of the garden to ensure that all children have gone inside prior to the doors being secured. Children are counted on returning to the building relating to the stated number present as displayed on the wall.</w:t>
      </w:r>
    </w:p>
    <w:p w:rsidR="00AE32E7" w:rsidRPr="00105133" w:rsidRDefault="00AE32E7" w:rsidP="00AE32E7">
      <w:pPr>
        <w:jc w:val="both"/>
        <w:rPr>
          <w:rFonts w:ascii="Arial" w:hAnsi="Arial" w:cs="Arial"/>
          <w:sz w:val="26"/>
          <w:szCs w:val="26"/>
        </w:rPr>
      </w:pPr>
      <w:r w:rsidRPr="00105133">
        <w:rPr>
          <w:rFonts w:ascii="Arial" w:eastAsiaTheme="minorHAnsi" w:hAnsi="Arial" w:cs="Arial"/>
          <w:b/>
          <w:bCs/>
          <w:iCs/>
          <w:sz w:val="26"/>
          <w:szCs w:val="26"/>
        </w:rPr>
        <w:t>EYFS key themes and commitments</w:t>
      </w:r>
    </w:p>
    <w:tbl>
      <w:tblPr>
        <w:tblpPr w:leftFromText="180" w:rightFromText="180" w:vertAnchor="text" w:horzAnchor="margin" w:tblpY="104"/>
        <w:tblW w:w="5377" w:type="pct"/>
        <w:tblLook w:val="04A0" w:firstRow="1" w:lastRow="0" w:firstColumn="1" w:lastColumn="0" w:noHBand="0" w:noVBand="1"/>
      </w:tblPr>
      <w:tblGrid>
        <w:gridCol w:w="2254"/>
        <w:gridCol w:w="2254"/>
        <w:gridCol w:w="2254"/>
        <w:gridCol w:w="2934"/>
      </w:tblGrid>
      <w:tr w:rsidR="00AE32E7" w:rsidRPr="00AE32E7" w:rsidTr="001E3E15">
        <w:tc>
          <w:tcPr>
            <w:tcW w:w="1162" w:type="pct"/>
            <w:tcBorders>
              <w:top w:val="single" w:sz="4" w:space="0" w:color="auto"/>
              <w:left w:val="single" w:sz="4" w:space="0" w:color="auto"/>
              <w:bottom w:val="single" w:sz="4" w:space="0" w:color="auto"/>
              <w:right w:val="single" w:sz="4" w:space="0" w:color="auto"/>
            </w:tcBorders>
            <w:shd w:val="clear" w:color="auto" w:fill="00ACB6"/>
            <w:hideMark/>
          </w:tcPr>
          <w:p w:rsidR="00AE32E7" w:rsidRPr="00AE32E7" w:rsidRDefault="00AE32E7" w:rsidP="001E3E15">
            <w:pPr>
              <w:spacing w:line="276" w:lineRule="auto"/>
              <w:jc w:val="both"/>
              <w:rPr>
                <w:rFonts w:ascii="Arial" w:hAnsi="Arial" w:cs="Arial"/>
                <w:color w:val="FFFFFF"/>
                <w:sz w:val="26"/>
                <w:szCs w:val="26"/>
              </w:rPr>
            </w:pPr>
            <w:r w:rsidRPr="00AE32E7">
              <w:rPr>
                <w:rFonts w:ascii="Arial" w:hAnsi="Arial" w:cs="Arial"/>
                <w:color w:val="FFFFFF"/>
                <w:sz w:val="26"/>
                <w:szCs w:val="26"/>
              </w:rPr>
              <w:t>A Unique Child</w:t>
            </w:r>
          </w:p>
        </w:tc>
        <w:tc>
          <w:tcPr>
            <w:tcW w:w="1162" w:type="pct"/>
            <w:tcBorders>
              <w:top w:val="single" w:sz="4" w:space="0" w:color="auto"/>
              <w:left w:val="single" w:sz="4" w:space="0" w:color="auto"/>
              <w:bottom w:val="single" w:sz="4" w:space="0" w:color="auto"/>
              <w:right w:val="single" w:sz="4" w:space="0" w:color="auto"/>
            </w:tcBorders>
            <w:shd w:val="clear" w:color="auto" w:fill="A64D8A"/>
            <w:hideMark/>
          </w:tcPr>
          <w:p w:rsidR="00AE32E7" w:rsidRPr="00AE32E7" w:rsidRDefault="00AE32E7" w:rsidP="001E3E15">
            <w:pPr>
              <w:spacing w:line="276" w:lineRule="auto"/>
              <w:jc w:val="both"/>
              <w:rPr>
                <w:rFonts w:ascii="Arial" w:hAnsi="Arial" w:cs="Arial"/>
                <w:color w:val="FFFFFF"/>
                <w:sz w:val="26"/>
                <w:szCs w:val="26"/>
              </w:rPr>
            </w:pPr>
            <w:r w:rsidRPr="00AE32E7">
              <w:rPr>
                <w:rFonts w:ascii="Arial" w:hAnsi="Arial" w:cs="Arial"/>
                <w:color w:val="FFFFFF"/>
                <w:sz w:val="26"/>
                <w:szCs w:val="26"/>
              </w:rPr>
              <w:t>Positive Relationships</w:t>
            </w:r>
          </w:p>
        </w:tc>
        <w:tc>
          <w:tcPr>
            <w:tcW w:w="1162" w:type="pct"/>
            <w:tcBorders>
              <w:top w:val="single" w:sz="4" w:space="0" w:color="auto"/>
              <w:left w:val="single" w:sz="4" w:space="0" w:color="auto"/>
              <w:bottom w:val="single" w:sz="4" w:space="0" w:color="auto"/>
              <w:right w:val="single" w:sz="4" w:space="0" w:color="auto"/>
            </w:tcBorders>
            <w:shd w:val="clear" w:color="auto" w:fill="80B71B"/>
            <w:hideMark/>
          </w:tcPr>
          <w:p w:rsidR="00AE32E7" w:rsidRPr="00AE32E7" w:rsidRDefault="00AE32E7" w:rsidP="001E3E15">
            <w:pPr>
              <w:spacing w:line="276" w:lineRule="auto"/>
              <w:jc w:val="both"/>
              <w:rPr>
                <w:rFonts w:ascii="Arial" w:hAnsi="Arial" w:cs="Arial"/>
                <w:color w:val="FFFFFF"/>
                <w:sz w:val="26"/>
                <w:szCs w:val="26"/>
              </w:rPr>
            </w:pPr>
            <w:r w:rsidRPr="00AE32E7">
              <w:rPr>
                <w:rFonts w:ascii="Arial" w:hAnsi="Arial" w:cs="Arial"/>
                <w:color w:val="FFFFFF"/>
                <w:sz w:val="26"/>
                <w:szCs w:val="26"/>
              </w:rPr>
              <w:t>Enabling Environments</w:t>
            </w:r>
          </w:p>
        </w:tc>
        <w:tc>
          <w:tcPr>
            <w:tcW w:w="1513" w:type="pct"/>
            <w:tcBorders>
              <w:top w:val="single" w:sz="4" w:space="0" w:color="auto"/>
              <w:left w:val="single" w:sz="4" w:space="0" w:color="auto"/>
              <w:bottom w:val="single" w:sz="4" w:space="0" w:color="auto"/>
              <w:right w:val="single" w:sz="4" w:space="0" w:color="auto"/>
            </w:tcBorders>
            <w:shd w:val="clear" w:color="auto" w:fill="EE7F00"/>
            <w:hideMark/>
          </w:tcPr>
          <w:p w:rsidR="00AE32E7" w:rsidRPr="00AE32E7" w:rsidRDefault="00AE32E7" w:rsidP="001E3E15">
            <w:pPr>
              <w:spacing w:line="276" w:lineRule="auto"/>
              <w:rPr>
                <w:rFonts w:ascii="Arial" w:hAnsi="Arial" w:cs="Arial"/>
                <w:color w:val="FFFFFF"/>
                <w:sz w:val="26"/>
                <w:szCs w:val="26"/>
              </w:rPr>
            </w:pPr>
            <w:r w:rsidRPr="00AE32E7">
              <w:rPr>
                <w:rFonts w:ascii="Arial" w:hAnsi="Arial" w:cs="Arial"/>
                <w:color w:val="FFFFFF"/>
                <w:sz w:val="26"/>
                <w:szCs w:val="26"/>
              </w:rPr>
              <w:t>Learning and Development</w:t>
            </w:r>
          </w:p>
        </w:tc>
      </w:tr>
      <w:tr w:rsidR="00AE32E7" w:rsidRPr="00AE32E7" w:rsidTr="001E3E15">
        <w:tc>
          <w:tcPr>
            <w:tcW w:w="1162" w:type="pct"/>
            <w:tcBorders>
              <w:top w:val="single" w:sz="4" w:space="0" w:color="auto"/>
              <w:left w:val="single" w:sz="4" w:space="0" w:color="auto"/>
              <w:bottom w:val="single" w:sz="4" w:space="0" w:color="auto"/>
              <w:right w:val="single" w:sz="4" w:space="0" w:color="auto"/>
            </w:tcBorders>
            <w:shd w:val="clear" w:color="auto" w:fill="00ACB6"/>
            <w:hideMark/>
          </w:tcPr>
          <w:p w:rsidR="00AE32E7" w:rsidRPr="00AE32E7" w:rsidRDefault="00AE32E7" w:rsidP="001E3E15">
            <w:pPr>
              <w:spacing w:line="276" w:lineRule="auto"/>
              <w:jc w:val="both"/>
              <w:rPr>
                <w:rFonts w:ascii="Arial" w:hAnsi="Arial" w:cs="Arial"/>
                <w:color w:val="FFFFFF"/>
                <w:sz w:val="26"/>
                <w:szCs w:val="26"/>
              </w:rPr>
            </w:pPr>
            <w:r w:rsidRPr="00AE32E7">
              <w:rPr>
                <w:rFonts w:ascii="Arial" w:hAnsi="Arial" w:cs="Arial"/>
                <w:color w:val="FFFFFF"/>
                <w:sz w:val="26"/>
                <w:szCs w:val="26"/>
              </w:rPr>
              <w:t>1.1 Child Development</w:t>
            </w:r>
          </w:p>
          <w:p w:rsidR="00AE32E7" w:rsidRPr="00AE32E7" w:rsidRDefault="00AE32E7" w:rsidP="001E3E15">
            <w:pPr>
              <w:spacing w:line="276" w:lineRule="auto"/>
              <w:jc w:val="both"/>
              <w:rPr>
                <w:rFonts w:ascii="Arial" w:hAnsi="Arial" w:cs="Arial"/>
                <w:color w:val="FFFFFF"/>
                <w:sz w:val="26"/>
                <w:szCs w:val="26"/>
              </w:rPr>
            </w:pPr>
            <w:r w:rsidRPr="00AE32E7">
              <w:rPr>
                <w:rFonts w:ascii="Arial" w:hAnsi="Arial" w:cs="Arial"/>
                <w:color w:val="FFFFFF"/>
                <w:sz w:val="26"/>
                <w:szCs w:val="26"/>
              </w:rPr>
              <w:t>1.3 Keeping safe</w:t>
            </w:r>
          </w:p>
          <w:p w:rsidR="00AE32E7" w:rsidRPr="00AE32E7" w:rsidRDefault="00AE32E7" w:rsidP="001E3E15">
            <w:pPr>
              <w:spacing w:line="276" w:lineRule="auto"/>
              <w:jc w:val="both"/>
              <w:rPr>
                <w:rFonts w:ascii="Arial" w:hAnsi="Arial" w:cs="Arial"/>
                <w:color w:val="FFFFFF"/>
                <w:sz w:val="26"/>
                <w:szCs w:val="26"/>
              </w:rPr>
            </w:pPr>
            <w:r w:rsidRPr="00AE32E7">
              <w:rPr>
                <w:rFonts w:ascii="Arial" w:hAnsi="Arial" w:cs="Arial"/>
                <w:color w:val="FFFFFF"/>
                <w:sz w:val="26"/>
                <w:szCs w:val="26"/>
              </w:rPr>
              <w:t>1.4 Health and well-being</w:t>
            </w:r>
          </w:p>
          <w:p w:rsidR="00AE32E7" w:rsidRPr="00AE32E7" w:rsidRDefault="00AE32E7" w:rsidP="001E3E15">
            <w:pPr>
              <w:spacing w:line="276" w:lineRule="auto"/>
              <w:jc w:val="both"/>
              <w:rPr>
                <w:rFonts w:ascii="Arial" w:hAnsi="Arial" w:cs="Arial"/>
                <w:color w:val="FFFFFF"/>
                <w:sz w:val="26"/>
                <w:szCs w:val="26"/>
              </w:rPr>
            </w:pPr>
          </w:p>
        </w:tc>
        <w:tc>
          <w:tcPr>
            <w:tcW w:w="1162" w:type="pct"/>
            <w:tcBorders>
              <w:top w:val="single" w:sz="4" w:space="0" w:color="auto"/>
              <w:left w:val="single" w:sz="4" w:space="0" w:color="auto"/>
              <w:bottom w:val="single" w:sz="4" w:space="0" w:color="auto"/>
              <w:right w:val="single" w:sz="4" w:space="0" w:color="auto"/>
            </w:tcBorders>
            <w:shd w:val="clear" w:color="auto" w:fill="A64D8A"/>
          </w:tcPr>
          <w:p w:rsidR="00AE32E7" w:rsidRPr="00AE32E7" w:rsidRDefault="00AE32E7" w:rsidP="001E3E15">
            <w:pPr>
              <w:spacing w:line="276" w:lineRule="auto"/>
              <w:rPr>
                <w:rFonts w:ascii="Arial" w:hAnsi="Arial" w:cs="Arial"/>
                <w:color w:val="FFFFFF"/>
                <w:sz w:val="26"/>
                <w:szCs w:val="26"/>
              </w:rPr>
            </w:pPr>
            <w:r w:rsidRPr="00AE32E7">
              <w:rPr>
                <w:rFonts w:ascii="Arial" w:hAnsi="Arial" w:cs="Arial"/>
                <w:color w:val="FFFFFF"/>
                <w:sz w:val="26"/>
                <w:szCs w:val="26"/>
              </w:rPr>
              <w:t xml:space="preserve">2.3 Supporting Learning. </w:t>
            </w:r>
          </w:p>
        </w:tc>
        <w:tc>
          <w:tcPr>
            <w:tcW w:w="1162" w:type="pct"/>
            <w:tcBorders>
              <w:top w:val="single" w:sz="4" w:space="0" w:color="auto"/>
              <w:left w:val="single" w:sz="4" w:space="0" w:color="auto"/>
              <w:bottom w:val="single" w:sz="4" w:space="0" w:color="auto"/>
              <w:right w:val="single" w:sz="4" w:space="0" w:color="auto"/>
            </w:tcBorders>
            <w:shd w:val="clear" w:color="auto" w:fill="80B71B"/>
          </w:tcPr>
          <w:p w:rsidR="00AE32E7" w:rsidRPr="00AE32E7" w:rsidRDefault="00AE32E7" w:rsidP="001E3E15">
            <w:pPr>
              <w:spacing w:line="276" w:lineRule="auto"/>
              <w:rPr>
                <w:rFonts w:ascii="Arial" w:hAnsi="Arial" w:cs="Arial"/>
                <w:color w:val="FFFFFF"/>
                <w:sz w:val="26"/>
                <w:szCs w:val="26"/>
              </w:rPr>
            </w:pPr>
            <w:r w:rsidRPr="00AE32E7">
              <w:rPr>
                <w:rFonts w:ascii="Arial" w:hAnsi="Arial" w:cs="Arial"/>
                <w:color w:val="FFFFFF"/>
                <w:sz w:val="26"/>
                <w:szCs w:val="26"/>
              </w:rPr>
              <w:t>3.1 Observation, assessment and planning.</w:t>
            </w:r>
          </w:p>
          <w:p w:rsidR="00AE32E7" w:rsidRPr="00AE32E7" w:rsidRDefault="00AE32E7" w:rsidP="001E3E15">
            <w:pPr>
              <w:spacing w:line="276" w:lineRule="auto"/>
              <w:rPr>
                <w:rFonts w:ascii="Arial" w:hAnsi="Arial" w:cs="Arial"/>
                <w:color w:val="FFFFFF"/>
                <w:sz w:val="26"/>
                <w:szCs w:val="26"/>
              </w:rPr>
            </w:pPr>
            <w:r w:rsidRPr="00AE32E7">
              <w:rPr>
                <w:rFonts w:ascii="Arial" w:hAnsi="Arial" w:cs="Arial"/>
                <w:color w:val="FFFFFF"/>
                <w:sz w:val="26"/>
                <w:szCs w:val="26"/>
              </w:rPr>
              <w:t>3.2 supporting every child</w:t>
            </w:r>
          </w:p>
          <w:p w:rsidR="00AE32E7" w:rsidRPr="00AE32E7" w:rsidRDefault="00AE32E7" w:rsidP="001E3E15">
            <w:pPr>
              <w:spacing w:line="276" w:lineRule="auto"/>
              <w:rPr>
                <w:rFonts w:ascii="Arial" w:hAnsi="Arial" w:cs="Arial"/>
                <w:color w:val="FFFFFF"/>
                <w:sz w:val="26"/>
                <w:szCs w:val="26"/>
              </w:rPr>
            </w:pPr>
            <w:r w:rsidRPr="00AE32E7">
              <w:rPr>
                <w:rFonts w:ascii="Arial" w:hAnsi="Arial" w:cs="Arial"/>
                <w:color w:val="FFFFFF"/>
                <w:sz w:val="26"/>
                <w:szCs w:val="26"/>
              </w:rPr>
              <w:t>3.3 The learning Environment.</w:t>
            </w:r>
          </w:p>
          <w:p w:rsidR="00AE32E7" w:rsidRPr="00AE32E7" w:rsidRDefault="00AE32E7" w:rsidP="001E3E15">
            <w:pPr>
              <w:spacing w:line="276" w:lineRule="auto"/>
              <w:rPr>
                <w:rFonts w:ascii="Arial" w:hAnsi="Arial" w:cs="Arial"/>
                <w:color w:val="FFFFFF"/>
                <w:sz w:val="26"/>
                <w:szCs w:val="26"/>
              </w:rPr>
            </w:pPr>
            <w:r w:rsidRPr="00AE32E7">
              <w:rPr>
                <w:rFonts w:ascii="Arial" w:hAnsi="Arial" w:cs="Arial"/>
                <w:color w:val="FFFFFF"/>
                <w:sz w:val="26"/>
                <w:szCs w:val="26"/>
              </w:rPr>
              <w:t xml:space="preserve">3.4 The Wider Context </w:t>
            </w:r>
          </w:p>
        </w:tc>
        <w:tc>
          <w:tcPr>
            <w:tcW w:w="1513" w:type="pct"/>
            <w:tcBorders>
              <w:top w:val="single" w:sz="4" w:space="0" w:color="auto"/>
              <w:left w:val="single" w:sz="4" w:space="0" w:color="auto"/>
              <w:bottom w:val="single" w:sz="4" w:space="0" w:color="auto"/>
              <w:right w:val="single" w:sz="4" w:space="0" w:color="auto"/>
            </w:tcBorders>
            <w:shd w:val="clear" w:color="auto" w:fill="EE7F00"/>
          </w:tcPr>
          <w:p w:rsidR="00AE32E7" w:rsidRPr="00AE32E7" w:rsidRDefault="00AE32E7" w:rsidP="001E3E15">
            <w:pPr>
              <w:spacing w:line="276" w:lineRule="auto"/>
              <w:rPr>
                <w:rFonts w:ascii="Arial" w:hAnsi="Arial" w:cs="Arial"/>
                <w:color w:val="FFFFFF"/>
                <w:sz w:val="26"/>
                <w:szCs w:val="26"/>
              </w:rPr>
            </w:pPr>
            <w:r w:rsidRPr="00AE32E7">
              <w:rPr>
                <w:rFonts w:ascii="Arial" w:hAnsi="Arial" w:cs="Arial"/>
                <w:color w:val="FFFFFF"/>
                <w:sz w:val="26"/>
                <w:szCs w:val="26"/>
              </w:rPr>
              <w:t>4.1 Play and Exploration.</w:t>
            </w:r>
          </w:p>
          <w:p w:rsidR="00AE32E7" w:rsidRPr="00AE32E7" w:rsidRDefault="00AE32E7" w:rsidP="001E3E15">
            <w:pPr>
              <w:spacing w:line="276" w:lineRule="auto"/>
              <w:rPr>
                <w:rFonts w:ascii="Arial" w:hAnsi="Arial" w:cs="Arial"/>
                <w:color w:val="FFFFFF"/>
                <w:sz w:val="26"/>
                <w:szCs w:val="26"/>
              </w:rPr>
            </w:pPr>
            <w:r w:rsidRPr="00AE32E7">
              <w:rPr>
                <w:rFonts w:ascii="Arial" w:hAnsi="Arial" w:cs="Arial"/>
                <w:color w:val="FFFFFF"/>
                <w:sz w:val="26"/>
                <w:szCs w:val="26"/>
              </w:rPr>
              <w:t>4.2 Active Learning</w:t>
            </w:r>
          </w:p>
          <w:p w:rsidR="00AE32E7" w:rsidRPr="00AE32E7" w:rsidRDefault="00AE32E7" w:rsidP="001E3E15">
            <w:pPr>
              <w:spacing w:line="276" w:lineRule="auto"/>
              <w:rPr>
                <w:rFonts w:ascii="Arial" w:hAnsi="Arial" w:cs="Arial"/>
                <w:color w:val="FFFFFF"/>
                <w:sz w:val="26"/>
                <w:szCs w:val="26"/>
              </w:rPr>
            </w:pPr>
            <w:r w:rsidRPr="00AE32E7">
              <w:rPr>
                <w:rFonts w:ascii="Arial" w:hAnsi="Arial" w:cs="Arial"/>
                <w:color w:val="FFFFFF"/>
                <w:sz w:val="26"/>
                <w:szCs w:val="26"/>
              </w:rPr>
              <w:t>4.3 Creativity and critical thinking</w:t>
            </w:r>
          </w:p>
          <w:p w:rsidR="00AE32E7" w:rsidRPr="00AE32E7" w:rsidRDefault="00AE32E7" w:rsidP="001E3E15">
            <w:pPr>
              <w:spacing w:line="276" w:lineRule="auto"/>
              <w:rPr>
                <w:rFonts w:ascii="Arial" w:hAnsi="Arial" w:cs="Arial"/>
                <w:color w:val="FFFFFF"/>
                <w:sz w:val="26"/>
                <w:szCs w:val="26"/>
              </w:rPr>
            </w:pPr>
            <w:r w:rsidRPr="00AE32E7">
              <w:rPr>
                <w:rFonts w:ascii="Arial" w:hAnsi="Arial" w:cs="Arial"/>
                <w:color w:val="FFFFFF"/>
                <w:sz w:val="26"/>
                <w:szCs w:val="26"/>
              </w:rPr>
              <w:t>4.4 Aras of Learning and Development.</w:t>
            </w:r>
          </w:p>
        </w:tc>
      </w:tr>
    </w:tbl>
    <w:p w:rsidR="00AE32E7" w:rsidRPr="00AE32E7" w:rsidRDefault="00AE32E7" w:rsidP="00AE32E7">
      <w:pPr>
        <w:pStyle w:val="ListParagraph"/>
        <w:jc w:val="both"/>
        <w:rPr>
          <w:bCs/>
          <w:sz w:val="26"/>
          <w:szCs w:val="26"/>
        </w:rPr>
      </w:pPr>
    </w:p>
    <w:p w:rsidR="00AE32E7" w:rsidRPr="00105133" w:rsidRDefault="00AE32E7" w:rsidP="00AE32E7">
      <w:pPr>
        <w:jc w:val="both"/>
        <w:rPr>
          <w:rFonts w:ascii="Arial" w:hAnsi="Arial" w:cs="Arial"/>
          <w:b/>
          <w:sz w:val="26"/>
          <w:szCs w:val="26"/>
        </w:rPr>
      </w:pPr>
      <w:bookmarkStart w:id="0" w:name="_GoBack"/>
      <w:r w:rsidRPr="00105133">
        <w:rPr>
          <w:rFonts w:ascii="Arial" w:hAnsi="Arial" w:cs="Arial"/>
          <w:b/>
          <w:sz w:val="26"/>
          <w:szCs w:val="26"/>
        </w:rPr>
        <w:t>Legal framework</w:t>
      </w:r>
    </w:p>
    <w:bookmarkEnd w:id="0"/>
    <w:p w:rsidR="00AE32E7" w:rsidRPr="00AE32E7" w:rsidRDefault="00AE32E7" w:rsidP="00AE32E7">
      <w:pPr>
        <w:jc w:val="both"/>
        <w:rPr>
          <w:rFonts w:ascii="Arial" w:hAnsi="Arial" w:cs="Arial"/>
          <w:sz w:val="26"/>
          <w:szCs w:val="26"/>
        </w:rPr>
      </w:pPr>
      <w:r w:rsidRPr="00AE32E7">
        <w:rPr>
          <w:rFonts w:ascii="Arial" w:hAnsi="Arial" w:cs="Arial"/>
          <w:sz w:val="26"/>
          <w:szCs w:val="26"/>
        </w:rPr>
        <w:t>Health and Safety at Work Act (1974)</w:t>
      </w:r>
    </w:p>
    <w:p w:rsidR="00AE32E7" w:rsidRPr="00AE32E7" w:rsidRDefault="00AE32E7" w:rsidP="00AE32E7">
      <w:pPr>
        <w:jc w:val="both"/>
        <w:rPr>
          <w:rFonts w:ascii="Arial" w:hAnsi="Arial" w:cs="Arial"/>
          <w:sz w:val="26"/>
          <w:szCs w:val="26"/>
        </w:rPr>
      </w:pPr>
      <w:r w:rsidRPr="00AE32E7">
        <w:rPr>
          <w:rFonts w:ascii="Arial" w:hAnsi="Arial" w:cs="Arial"/>
          <w:sz w:val="26"/>
          <w:szCs w:val="26"/>
        </w:rPr>
        <w:t>Management of Health and Safety at Work Regulations 1999</w:t>
      </w:r>
    </w:p>
    <w:p w:rsidR="00AE32E7" w:rsidRPr="00AE32E7" w:rsidRDefault="00AE32E7" w:rsidP="00AE32E7">
      <w:pPr>
        <w:jc w:val="both"/>
        <w:rPr>
          <w:rFonts w:ascii="Arial" w:hAnsi="Arial" w:cs="Arial"/>
          <w:sz w:val="26"/>
          <w:szCs w:val="26"/>
        </w:rPr>
      </w:pPr>
      <w:r w:rsidRPr="00AE32E7">
        <w:rPr>
          <w:rFonts w:ascii="Arial" w:hAnsi="Arial" w:cs="Arial"/>
          <w:sz w:val="26"/>
          <w:szCs w:val="26"/>
        </w:rPr>
        <w:t>Electricity at Work Regulations 1989</w:t>
      </w:r>
    </w:p>
    <w:p w:rsidR="00AE32E7" w:rsidRPr="00AE32E7" w:rsidRDefault="00AE32E7" w:rsidP="00AE32E7">
      <w:pPr>
        <w:jc w:val="both"/>
        <w:rPr>
          <w:rFonts w:ascii="Arial" w:hAnsi="Arial" w:cs="Arial"/>
          <w:sz w:val="26"/>
          <w:szCs w:val="26"/>
        </w:rPr>
      </w:pPr>
      <w:r w:rsidRPr="00AE32E7">
        <w:rPr>
          <w:rFonts w:ascii="Arial" w:hAnsi="Arial" w:cs="Arial"/>
          <w:sz w:val="26"/>
          <w:szCs w:val="26"/>
        </w:rPr>
        <w:t>Control of Substances Hazardous to Health Regulations (COSHH) (2002)</w:t>
      </w:r>
    </w:p>
    <w:p w:rsidR="00AE32E7" w:rsidRPr="00AE32E7" w:rsidRDefault="00AE32E7" w:rsidP="00AE32E7">
      <w:pPr>
        <w:jc w:val="both"/>
        <w:rPr>
          <w:rFonts w:ascii="Arial" w:hAnsi="Arial" w:cs="Arial"/>
          <w:sz w:val="26"/>
          <w:szCs w:val="26"/>
        </w:rPr>
      </w:pPr>
      <w:r w:rsidRPr="00AE32E7">
        <w:rPr>
          <w:rFonts w:ascii="Arial" w:hAnsi="Arial" w:cs="Arial"/>
          <w:sz w:val="26"/>
          <w:szCs w:val="26"/>
        </w:rPr>
        <w:t>Manual Handling Operations Regulations 1992 (as amended)</w:t>
      </w:r>
    </w:p>
    <w:p w:rsidR="00AE32E7" w:rsidRPr="00AE32E7" w:rsidRDefault="00AE32E7" w:rsidP="00AE32E7">
      <w:pPr>
        <w:jc w:val="both"/>
        <w:rPr>
          <w:rFonts w:ascii="Arial" w:hAnsi="Arial" w:cs="Arial"/>
          <w:sz w:val="26"/>
          <w:szCs w:val="26"/>
        </w:rPr>
      </w:pPr>
      <w:r w:rsidRPr="00AE32E7">
        <w:rPr>
          <w:rFonts w:ascii="Arial" w:hAnsi="Arial" w:cs="Arial"/>
          <w:sz w:val="26"/>
          <w:szCs w:val="26"/>
        </w:rPr>
        <w:t xml:space="preserve">Health and Safety (Display Screen Equipment) Regulations 1992 </w:t>
      </w:r>
    </w:p>
    <w:p w:rsidR="00AE32E7" w:rsidRPr="00B645F2" w:rsidRDefault="00AE32E7" w:rsidP="00AE32E7">
      <w:pPr>
        <w:jc w:val="both"/>
        <w:rPr>
          <w:rFonts w:ascii="Sassoon Infant Rg" w:hAnsi="Sassoon Infant Rg"/>
          <w:sz w:val="26"/>
          <w:szCs w:val="26"/>
        </w:rPr>
      </w:pPr>
    </w:p>
    <w:p w:rsidR="00AE32E7" w:rsidRPr="00B645F2" w:rsidRDefault="00AE32E7" w:rsidP="00AE32E7">
      <w:pPr>
        <w:jc w:val="both"/>
        <w:rPr>
          <w:rFonts w:ascii="Sassoon Infant Rg" w:hAnsi="Sassoon Infant Rg"/>
          <w:sz w:val="26"/>
          <w:szCs w:val="26"/>
        </w:rPr>
      </w:pPr>
    </w:p>
    <w:p w:rsidR="002A4838" w:rsidRDefault="00105133"/>
    <w:sectPr w:rsidR="002A4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ssoon Infant Rg">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71713"/>
    <w:multiLevelType w:val="hybridMultilevel"/>
    <w:tmpl w:val="8DD0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EE5C0D"/>
    <w:multiLevelType w:val="hybridMultilevel"/>
    <w:tmpl w:val="1ED2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E7"/>
    <w:rsid w:val="00093EC6"/>
    <w:rsid w:val="00105133"/>
    <w:rsid w:val="00AE15D5"/>
    <w:rsid w:val="00AE32E7"/>
    <w:rsid w:val="00E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8043F-1C59-46EA-A63E-CB6F1C36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2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32E7"/>
    <w:pPr>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Preschool</cp:lastModifiedBy>
  <cp:revision>2</cp:revision>
  <dcterms:created xsi:type="dcterms:W3CDTF">2017-04-16T08:36:00Z</dcterms:created>
  <dcterms:modified xsi:type="dcterms:W3CDTF">2017-04-16T16:28:00Z</dcterms:modified>
</cp:coreProperties>
</file>