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4B92D" w14:textId="5A23AE49" w:rsidR="008B5443" w:rsidRPr="00947221" w:rsidRDefault="00A75B26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947221">
        <w:rPr>
          <w:rFonts w:ascii="Arial" w:hAnsi="Arial" w:cs="Arial"/>
          <w:b/>
          <w:bCs/>
          <w:sz w:val="24"/>
          <w:szCs w:val="24"/>
          <w:lang w:val="en-GB"/>
        </w:rPr>
        <w:t>ISRTP</w:t>
      </w:r>
      <w:r w:rsidR="00947221" w:rsidRPr="00947221">
        <w:rPr>
          <w:rFonts w:ascii="Arial" w:hAnsi="Arial" w:cs="Arial"/>
          <w:b/>
          <w:bCs/>
          <w:sz w:val="24"/>
          <w:szCs w:val="24"/>
          <w:lang w:val="en-GB"/>
        </w:rPr>
        <w:t xml:space="preserve">: </w:t>
      </w:r>
      <w:r w:rsidRPr="00947221">
        <w:rPr>
          <w:rFonts w:ascii="Arial" w:hAnsi="Arial" w:cs="Arial"/>
          <w:b/>
          <w:bCs/>
          <w:sz w:val="24"/>
          <w:szCs w:val="24"/>
          <w:lang w:val="en-GB"/>
        </w:rPr>
        <w:t>Case of the Month-May,23</w:t>
      </w:r>
    </w:p>
    <w:p w14:paraId="5B6C5774" w14:textId="4B97D8E2" w:rsidR="00A75B26" w:rsidRPr="00947221" w:rsidRDefault="00A75B26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947221">
        <w:rPr>
          <w:rFonts w:ascii="Arial" w:hAnsi="Arial" w:cs="Arial"/>
          <w:b/>
          <w:bCs/>
          <w:sz w:val="24"/>
          <w:szCs w:val="24"/>
          <w:lang w:val="en-GB"/>
        </w:rPr>
        <w:t>Contributor: Dr Manoj Jain, SGPGIMS, Lucknow</w:t>
      </w:r>
    </w:p>
    <w:p w14:paraId="7290A0CA" w14:textId="6B776291" w:rsidR="00A75B26" w:rsidRPr="00A75B26" w:rsidRDefault="00A75B26" w:rsidP="00172DC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75B26">
        <w:rPr>
          <w:rFonts w:ascii="Arial" w:hAnsi="Arial" w:cs="Arial"/>
          <w:sz w:val="24"/>
          <w:szCs w:val="24"/>
          <w:lang w:val="en-US"/>
        </w:rPr>
        <w:t>This  33</w:t>
      </w:r>
      <w:proofErr w:type="gramEnd"/>
      <w:r w:rsidRPr="00A75B26">
        <w:rPr>
          <w:rFonts w:ascii="Arial" w:hAnsi="Arial" w:cs="Arial"/>
          <w:sz w:val="24"/>
          <w:szCs w:val="24"/>
          <w:lang w:val="en-US"/>
        </w:rPr>
        <w:t xml:space="preserve"> years male patient recently diagnosed with hypertension (</w:t>
      </w:r>
      <w:r w:rsidR="00947221">
        <w:rPr>
          <w:rFonts w:ascii="Arial" w:hAnsi="Arial" w:cs="Arial"/>
          <w:sz w:val="24"/>
          <w:szCs w:val="24"/>
          <w:lang w:val="en-US"/>
        </w:rPr>
        <w:t>BP</w:t>
      </w:r>
      <w:r w:rsidRPr="00A75B26">
        <w:rPr>
          <w:rFonts w:ascii="Arial" w:hAnsi="Arial" w:cs="Arial"/>
          <w:sz w:val="24"/>
          <w:szCs w:val="24"/>
          <w:lang w:val="en-US"/>
        </w:rPr>
        <w:t xml:space="preserve"> </w:t>
      </w:r>
      <w:r w:rsidRPr="00A75B26">
        <w:rPr>
          <w:rFonts w:ascii="Arial" w:hAnsi="Arial" w:cs="Arial"/>
          <w:sz w:val="24"/>
          <w:szCs w:val="24"/>
        </w:rPr>
        <w:t>212/160 mmHg)</w:t>
      </w:r>
      <w:r w:rsidRPr="00A75B26">
        <w:rPr>
          <w:rFonts w:ascii="Arial" w:hAnsi="Arial" w:cs="Arial"/>
          <w:sz w:val="24"/>
          <w:szCs w:val="24"/>
          <w:lang w:val="en-US"/>
        </w:rPr>
        <w:t xml:space="preserve">  and presented with moderate renal failure with bilateral normal sized kidneys and active urinary sediments. With clinical </w:t>
      </w:r>
      <w:r w:rsidRPr="00172DC8">
        <w:rPr>
          <w:rFonts w:ascii="Arial" w:hAnsi="Arial" w:cs="Arial"/>
          <w:sz w:val="24"/>
          <w:szCs w:val="24"/>
          <w:lang w:val="en-US"/>
        </w:rPr>
        <w:t xml:space="preserve">presentation </w:t>
      </w:r>
      <w:proofErr w:type="gramStart"/>
      <w:r w:rsidRPr="00172DC8">
        <w:rPr>
          <w:rFonts w:ascii="Arial" w:hAnsi="Arial" w:cs="Arial"/>
          <w:sz w:val="24"/>
          <w:szCs w:val="24"/>
          <w:lang w:val="en-US"/>
        </w:rPr>
        <w:t xml:space="preserve">of </w:t>
      </w:r>
      <w:r w:rsidRPr="00A75B26">
        <w:rPr>
          <w:rFonts w:ascii="Arial" w:hAnsi="Arial" w:cs="Arial"/>
          <w:sz w:val="24"/>
          <w:szCs w:val="24"/>
          <w:lang w:val="en-US"/>
        </w:rPr>
        <w:t xml:space="preserve"> </w:t>
      </w:r>
      <w:r w:rsidR="00947221">
        <w:rPr>
          <w:rFonts w:ascii="Arial" w:hAnsi="Arial" w:cs="Arial"/>
          <w:sz w:val="24"/>
          <w:szCs w:val="24"/>
          <w:lang w:val="en-GB"/>
        </w:rPr>
        <w:t>r</w:t>
      </w:r>
      <w:r w:rsidRPr="00A75B26">
        <w:rPr>
          <w:rFonts w:ascii="Arial" w:hAnsi="Arial" w:cs="Arial"/>
          <w:sz w:val="24"/>
          <w:szCs w:val="24"/>
          <w:lang w:val="en-GB"/>
        </w:rPr>
        <w:t>enal</w:t>
      </w:r>
      <w:proofErr w:type="gramEnd"/>
      <w:r w:rsidRPr="00A75B26">
        <w:rPr>
          <w:rFonts w:ascii="Arial" w:hAnsi="Arial" w:cs="Arial"/>
          <w:sz w:val="24"/>
          <w:szCs w:val="24"/>
          <w:lang w:val="en-GB"/>
        </w:rPr>
        <w:t xml:space="preserve"> </w:t>
      </w:r>
      <w:r w:rsidR="00947221">
        <w:rPr>
          <w:rFonts w:ascii="Arial" w:hAnsi="Arial" w:cs="Arial"/>
          <w:sz w:val="24"/>
          <w:szCs w:val="24"/>
          <w:lang w:val="en-GB"/>
        </w:rPr>
        <w:t>f</w:t>
      </w:r>
      <w:r w:rsidRPr="00A75B26">
        <w:rPr>
          <w:rFonts w:ascii="Arial" w:hAnsi="Arial" w:cs="Arial"/>
          <w:sz w:val="24"/>
          <w:szCs w:val="24"/>
          <w:lang w:val="en-GB"/>
        </w:rPr>
        <w:t xml:space="preserve">ailure with </w:t>
      </w:r>
      <w:proofErr w:type="spellStart"/>
      <w:r w:rsidR="00947221">
        <w:rPr>
          <w:rFonts w:ascii="Arial" w:hAnsi="Arial" w:cs="Arial"/>
          <w:sz w:val="24"/>
          <w:szCs w:val="24"/>
          <w:lang w:val="en-GB"/>
        </w:rPr>
        <w:t>a</w:t>
      </w:r>
      <w:r w:rsidRPr="00A75B26">
        <w:rPr>
          <w:rFonts w:ascii="Arial" w:hAnsi="Arial" w:cs="Arial"/>
          <w:sz w:val="24"/>
          <w:szCs w:val="24"/>
          <w:lang w:val="en-GB"/>
        </w:rPr>
        <w:t>nemia</w:t>
      </w:r>
      <w:proofErr w:type="spellEnd"/>
      <w:r w:rsidRPr="00A75B26">
        <w:rPr>
          <w:rFonts w:ascii="Arial" w:hAnsi="Arial" w:cs="Arial"/>
          <w:sz w:val="24"/>
          <w:szCs w:val="24"/>
          <w:lang w:val="en-GB"/>
        </w:rPr>
        <w:t xml:space="preserve"> with transient thrombocytopenia with</w:t>
      </w:r>
      <w:r w:rsidRPr="00172DC8">
        <w:rPr>
          <w:rFonts w:ascii="Arial" w:hAnsi="Arial" w:cs="Arial"/>
          <w:sz w:val="24"/>
          <w:szCs w:val="24"/>
          <w:lang w:val="en-GB"/>
        </w:rPr>
        <w:t xml:space="preserve"> </w:t>
      </w:r>
      <w:r w:rsidR="00947221" w:rsidRPr="00172DC8">
        <w:rPr>
          <w:rFonts w:ascii="Arial" w:hAnsi="Arial" w:cs="Arial"/>
          <w:sz w:val="24"/>
          <w:szCs w:val="24"/>
          <w:lang w:val="en-GB"/>
        </w:rPr>
        <w:t>hypertension</w:t>
      </w:r>
      <w:r w:rsidRPr="00172DC8">
        <w:rPr>
          <w:rFonts w:ascii="Arial" w:hAnsi="Arial" w:cs="Arial"/>
          <w:sz w:val="24"/>
          <w:szCs w:val="24"/>
          <w:lang w:val="en-GB"/>
        </w:rPr>
        <w:t>, f</w:t>
      </w:r>
      <w:r w:rsidR="00947221" w:rsidRPr="00A75B26">
        <w:rPr>
          <w:rFonts w:ascii="Arial" w:hAnsi="Arial" w:cs="Arial"/>
          <w:sz w:val="24"/>
          <w:szCs w:val="24"/>
        </w:rPr>
        <w:t>further</w:t>
      </w:r>
      <w:r w:rsidRPr="00A75B26">
        <w:rPr>
          <w:rFonts w:ascii="Arial" w:hAnsi="Arial" w:cs="Arial"/>
          <w:sz w:val="24"/>
          <w:szCs w:val="24"/>
        </w:rPr>
        <w:t xml:space="preserve"> work up planned for </w:t>
      </w:r>
      <w:r w:rsidR="00111A56" w:rsidRPr="00111A56">
        <w:rPr>
          <w:rFonts w:ascii="Arial" w:hAnsi="Arial" w:cs="Arial"/>
          <w:b/>
          <w:bCs/>
          <w:sz w:val="24"/>
          <w:szCs w:val="24"/>
        </w:rPr>
        <w:t>T</w:t>
      </w:r>
      <w:proofErr w:type="spellStart"/>
      <w:r w:rsidR="00111A56" w:rsidRPr="00111A56">
        <w:rPr>
          <w:rFonts w:ascii="Arial" w:hAnsi="Arial" w:cs="Arial"/>
          <w:b/>
          <w:bCs/>
          <w:sz w:val="24"/>
          <w:szCs w:val="24"/>
          <w:lang w:val="en-GB"/>
        </w:rPr>
        <w:t>hrombotic</w:t>
      </w:r>
      <w:proofErr w:type="spellEnd"/>
      <w:r w:rsidR="00111A56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111A56">
        <w:rPr>
          <w:rFonts w:ascii="Arial" w:hAnsi="Arial" w:cs="Arial"/>
          <w:b/>
          <w:bCs/>
          <w:sz w:val="24"/>
          <w:szCs w:val="24"/>
          <w:lang w:val="en-GB"/>
        </w:rPr>
        <w:t>M</w:t>
      </w:r>
      <w:r w:rsidR="00111A56" w:rsidRPr="00111A56">
        <w:rPr>
          <w:rFonts w:ascii="Arial" w:hAnsi="Arial" w:cs="Arial"/>
          <w:b/>
          <w:bCs/>
          <w:sz w:val="24"/>
          <w:szCs w:val="24"/>
          <w:lang w:val="en-GB"/>
        </w:rPr>
        <w:t>icroangiopathy</w:t>
      </w:r>
      <w:proofErr w:type="spellEnd"/>
      <w:r w:rsidR="00111A56" w:rsidRPr="00111A56">
        <w:rPr>
          <w:rFonts w:ascii="Arial" w:hAnsi="Arial" w:cs="Arial"/>
          <w:b/>
          <w:bCs/>
          <w:sz w:val="24"/>
          <w:szCs w:val="24"/>
          <w:lang w:val="en-GB"/>
        </w:rPr>
        <w:t xml:space="preserve"> (</w:t>
      </w:r>
      <w:r w:rsidRPr="00111A56">
        <w:rPr>
          <w:rFonts w:ascii="Arial" w:hAnsi="Arial" w:cs="Arial"/>
          <w:b/>
          <w:bCs/>
          <w:sz w:val="24"/>
          <w:szCs w:val="24"/>
        </w:rPr>
        <w:t>TMA</w:t>
      </w:r>
      <w:r w:rsidR="00111A56" w:rsidRPr="00111A56">
        <w:rPr>
          <w:rFonts w:ascii="Arial" w:hAnsi="Arial" w:cs="Arial"/>
          <w:b/>
          <w:bCs/>
          <w:sz w:val="24"/>
          <w:szCs w:val="24"/>
        </w:rPr>
        <w:t>)</w:t>
      </w:r>
      <w:r w:rsidRPr="00111A56">
        <w:rPr>
          <w:rFonts w:ascii="Arial" w:hAnsi="Arial" w:cs="Arial"/>
          <w:b/>
          <w:bCs/>
          <w:sz w:val="24"/>
          <w:szCs w:val="24"/>
        </w:rPr>
        <w:t xml:space="preserve">, </w:t>
      </w:r>
      <w:r w:rsidR="00111A56" w:rsidRPr="00111A56">
        <w:rPr>
          <w:rFonts w:ascii="Arial" w:hAnsi="Arial" w:cs="Arial"/>
          <w:b/>
          <w:bCs/>
          <w:sz w:val="24"/>
          <w:szCs w:val="24"/>
        </w:rPr>
        <w:t>Rapidly Progressive Renal Failure (</w:t>
      </w:r>
      <w:r w:rsidRPr="00A75B26">
        <w:rPr>
          <w:rFonts w:ascii="Arial" w:hAnsi="Arial" w:cs="Arial"/>
          <w:b/>
          <w:bCs/>
          <w:sz w:val="24"/>
          <w:szCs w:val="24"/>
        </w:rPr>
        <w:t>RPGN</w:t>
      </w:r>
      <w:r w:rsidR="00111A56">
        <w:rPr>
          <w:rFonts w:ascii="Arial" w:hAnsi="Arial" w:cs="Arial"/>
          <w:b/>
          <w:bCs/>
          <w:sz w:val="24"/>
          <w:szCs w:val="24"/>
        </w:rPr>
        <w:t>)</w:t>
      </w:r>
      <w:r w:rsidRPr="00A75B26">
        <w:rPr>
          <w:rFonts w:ascii="Arial" w:hAnsi="Arial" w:cs="Arial"/>
          <w:b/>
          <w:bCs/>
          <w:sz w:val="24"/>
          <w:szCs w:val="24"/>
        </w:rPr>
        <w:t xml:space="preserve">and Secondary hypertension </w:t>
      </w:r>
      <w:r w:rsidRPr="00A75B26">
        <w:rPr>
          <w:rFonts w:ascii="Arial" w:hAnsi="Arial" w:cs="Arial"/>
          <w:sz w:val="24"/>
          <w:szCs w:val="24"/>
        </w:rPr>
        <w:t>(</w:t>
      </w:r>
      <w:r w:rsidRPr="00A75B26">
        <w:rPr>
          <w:rFonts w:ascii="Arial" w:hAnsi="Arial" w:cs="Arial"/>
          <w:sz w:val="24"/>
          <w:szCs w:val="24"/>
          <w:lang w:val="en-US"/>
        </w:rPr>
        <w:t>RAS axis) and kidney biopsy planned</w:t>
      </w:r>
      <w:r w:rsidR="00172DC8" w:rsidRPr="00172DC8">
        <w:rPr>
          <w:rFonts w:ascii="Arial" w:hAnsi="Arial" w:cs="Arial"/>
          <w:sz w:val="24"/>
          <w:szCs w:val="24"/>
          <w:lang w:val="en-US"/>
        </w:rPr>
        <w:t>.</w:t>
      </w:r>
    </w:p>
    <w:p w14:paraId="3175618A" w14:textId="439406E3" w:rsidR="00A75B26" w:rsidRPr="00A75B26" w:rsidRDefault="00A75B26" w:rsidP="00A75B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5B26">
        <w:rPr>
          <w:rFonts w:ascii="Arial" w:hAnsi="Arial" w:cs="Arial"/>
          <w:b/>
          <w:bCs/>
          <w:sz w:val="24"/>
          <w:szCs w:val="24"/>
          <w:lang w:val="en-US"/>
        </w:rPr>
        <w:t>Pointers towards TMA</w:t>
      </w:r>
      <w:r w:rsidR="00947221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7F2BC438" w14:textId="77777777" w:rsidR="00A75B26" w:rsidRPr="00A75B26" w:rsidRDefault="00A75B26" w:rsidP="00A75B2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72DC8">
        <w:rPr>
          <w:rFonts w:ascii="Arial" w:hAnsi="Arial" w:cs="Arial"/>
          <w:sz w:val="24"/>
          <w:szCs w:val="24"/>
        </w:rPr>
        <w:t>Anemia</w:t>
      </w:r>
      <w:proofErr w:type="spellEnd"/>
      <w:r w:rsidRPr="00172DC8">
        <w:rPr>
          <w:rFonts w:ascii="Arial" w:hAnsi="Arial" w:cs="Arial"/>
          <w:sz w:val="24"/>
          <w:szCs w:val="24"/>
        </w:rPr>
        <w:t xml:space="preserve"> (+)</w:t>
      </w:r>
    </w:p>
    <w:p w14:paraId="4D13976C" w14:textId="77777777" w:rsidR="00A75B26" w:rsidRPr="00A75B26" w:rsidRDefault="00A75B26" w:rsidP="00A75B2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2DC8">
        <w:rPr>
          <w:rFonts w:ascii="Arial" w:hAnsi="Arial" w:cs="Arial"/>
          <w:sz w:val="24"/>
          <w:szCs w:val="24"/>
        </w:rPr>
        <w:t>Thrombocytopenia (transient +)</w:t>
      </w:r>
    </w:p>
    <w:p w14:paraId="03A4E67A" w14:textId="77777777" w:rsidR="00A75B26" w:rsidRPr="00A75B26" w:rsidRDefault="00A75B26" w:rsidP="00A75B2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2DC8">
        <w:rPr>
          <w:rFonts w:ascii="Arial" w:hAnsi="Arial" w:cs="Arial"/>
          <w:sz w:val="24"/>
          <w:szCs w:val="24"/>
        </w:rPr>
        <w:t>LDH=1426 (+)</w:t>
      </w:r>
    </w:p>
    <w:p w14:paraId="682A7A6F" w14:textId="77777777" w:rsidR="00A75B26" w:rsidRPr="00A75B26" w:rsidRDefault="00A75B26" w:rsidP="00A75B2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2DC8">
        <w:rPr>
          <w:rFonts w:ascii="Arial" w:hAnsi="Arial" w:cs="Arial"/>
          <w:sz w:val="24"/>
          <w:szCs w:val="24"/>
        </w:rPr>
        <w:t>Indirect bilirubin=2.0mg/dl (+)</w:t>
      </w:r>
    </w:p>
    <w:p w14:paraId="40A7E34B" w14:textId="77777777" w:rsidR="00A75B26" w:rsidRPr="00172DC8" w:rsidRDefault="00A75B26" w:rsidP="00A75B2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2DC8">
        <w:rPr>
          <w:rFonts w:ascii="Arial" w:hAnsi="Arial" w:cs="Arial"/>
          <w:sz w:val="24"/>
          <w:szCs w:val="24"/>
        </w:rPr>
        <w:t>4-5% schistocytes on PBS (+)</w:t>
      </w:r>
    </w:p>
    <w:p w14:paraId="25963335" w14:textId="77777777" w:rsidR="00A75B26" w:rsidRPr="00A75B26" w:rsidRDefault="00A75B26" w:rsidP="00095E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C78E77" w14:textId="20D9178C" w:rsidR="00A75B26" w:rsidRPr="00A75B26" w:rsidRDefault="00A75B26" w:rsidP="00A75B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5B26">
        <w:rPr>
          <w:rFonts w:ascii="Arial" w:hAnsi="Arial" w:cs="Arial"/>
          <w:b/>
          <w:bCs/>
          <w:sz w:val="24"/>
          <w:szCs w:val="24"/>
          <w:lang w:val="en-US"/>
        </w:rPr>
        <w:t>Pointers</w:t>
      </w:r>
      <w:r w:rsidRPr="00172DC8">
        <w:rPr>
          <w:rFonts w:ascii="Arial" w:hAnsi="Arial" w:cs="Arial"/>
          <w:b/>
          <w:bCs/>
          <w:sz w:val="24"/>
          <w:szCs w:val="24"/>
          <w:lang w:val="en-US"/>
        </w:rPr>
        <w:t xml:space="preserve"> towards Glomerular: RPGN/Acute on CGN</w:t>
      </w:r>
      <w:r w:rsidR="00947221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19B11305" w14:textId="77777777" w:rsidR="00A75B26" w:rsidRPr="00A75B26" w:rsidRDefault="00A75B26" w:rsidP="00A75B2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2DC8">
        <w:rPr>
          <w:rFonts w:ascii="Arial" w:hAnsi="Arial" w:cs="Arial"/>
          <w:sz w:val="24"/>
          <w:szCs w:val="24"/>
        </w:rPr>
        <w:t>Urinary active sediments (+)</w:t>
      </w:r>
    </w:p>
    <w:p w14:paraId="39336B9A" w14:textId="77777777" w:rsidR="00A75B26" w:rsidRPr="00A75B26" w:rsidRDefault="00A75B26" w:rsidP="00A75B2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2DC8">
        <w:rPr>
          <w:rFonts w:ascii="Arial" w:hAnsi="Arial" w:cs="Arial"/>
          <w:sz w:val="24"/>
          <w:szCs w:val="24"/>
        </w:rPr>
        <w:t>Proteinuria (+)</w:t>
      </w:r>
    </w:p>
    <w:p w14:paraId="7F4E5D80" w14:textId="7D953149" w:rsidR="00A75B26" w:rsidRPr="00172DC8" w:rsidRDefault="00A75B26" w:rsidP="0065702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2DC8">
        <w:rPr>
          <w:rFonts w:ascii="Arial" w:hAnsi="Arial" w:cs="Arial"/>
          <w:sz w:val="24"/>
          <w:szCs w:val="24"/>
        </w:rPr>
        <w:t>E/o chronic HTN: grade IV HR on fundus examination(+)</w:t>
      </w:r>
      <w:r w:rsidRPr="00172DC8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1AAB03F" w14:textId="77777777" w:rsidR="00A75B26" w:rsidRPr="00A75B26" w:rsidRDefault="00A75B26" w:rsidP="00095E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65F5E7" w14:textId="073D95BC" w:rsidR="00A75B26" w:rsidRPr="00A75B26" w:rsidRDefault="00A75B26" w:rsidP="00A75B2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A75B26">
        <w:rPr>
          <w:rFonts w:ascii="Arial" w:hAnsi="Arial" w:cs="Arial"/>
          <w:b/>
          <w:bCs/>
          <w:sz w:val="24"/>
          <w:szCs w:val="24"/>
          <w:lang w:val="en-US"/>
        </w:rPr>
        <w:t>Pointers</w:t>
      </w:r>
      <w:r w:rsidRPr="00172DC8">
        <w:rPr>
          <w:rFonts w:ascii="Arial" w:hAnsi="Arial" w:cs="Arial"/>
          <w:b/>
          <w:bCs/>
          <w:sz w:val="24"/>
          <w:szCs w:val="24"/>
          <w:lang w:val="en-US"/>
        </w:rPr>
        <w:t xml:space="preserve"> towards Secondary </w:t>
      </w:r>
      <w:r w:rsidR="00111A56">
        <w:rPr>
          <w:rFonts w:ascii="Arial" w:hAnsi="Arial" w:cs="Arial"/>
          <w:b/>
          <w:bCs/>
          <w:sz w:val="24"/>
          <w:szCs w:val="24"/>
          <w:lang w:val="en-US"/>
        </w:rPr>
        <w:t>hypertension</w:t>
      </w:r>
      <w:r w:rsidR="00947221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6E97893D" w14:textId="77777777" w:rsidR="00A75B26" w:rsidRPr="00A75B26" w:rsidRDefault="00A75B26" w:rsidP="00A75B2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2DC8">
        <w:rPr>
          <w:rFonts w:ascii="Arial" w:hAnsi="Arial" w:cs="Arial"/>
          <w:sz w:val="24"/>
          <w:szCs w:val="24"/>
        </w:rPr>
        <w:t>Hypokalaemia (+)</w:t>
      </w:r>
    </w:p>
    <w:p w14:paraId="4678DFC6" w14:textId="77777777" w:rsidR="00A75B26" w:rsidRPr="00A75B26" w:rsidRDefault="00A75B26" w:rsidP="00A75B2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2DC8">
        <w:rPr>
          <w:rFonts w:ascii="Arial" w:hAnsi="Arial" w:cs="Arial"/>
          <w:sz w:val="24"/>
          <w:szCs w:val="24"/>
        </w:rPr>
        <w:t>Alkalosis (+)</w:t>
      </w:r>
    </w:p>
    <w:p w14:paraId="65F777C2" w14:textId="5E32FE2C" w:rsidR="00095E25" w:rsidRPr="00172DC8" w:rsidRDefault="00A75B26" w:rsidP="00A75B2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75B26">
        <w:rPr>
          <w:rFonts w:ascii="Arial" w:hAnsi="Arial" w:cs="Arial"/>
          <w:b/>
          <w:bCs/>
          <w:sz w:val="24"/>
          <w:szCs w:val="24"/>
          <w:lang w:val="en-US"/>
        </w:rPr>
        <w:t>Fundus examination</w:t>
      </w:r>
      <w:r w:rsidRPr="00A75B26">
        <w:rPr>
          <w:rFonts w:ascii="Arial" w:hAnsi="Arial" w:cs="Arial"/>
          <w:sz w:val="24"/>
          <w:szCs w:val="24"/>
          <w:lang w:val="en-US"/>
        </w:rPr>
        <w:t> revealed multiple </w:t>
      </w:r>
      <w:r w:rsidR="00111A56" w:rsidRPr="00A75B26">
        <w:rPr>
          <w:rFonts w:ascii="Arial" w:hAnsi="Arial" w:cs="Arial"/>
          <w:b/>
          <w:bCs/>
          <w:sz w:val="24"/>
          <w:szCs w:val="24"/>
          <w:lang w:val="en-US"/>
        </w:rPr>
        <w:t>hemorrhages</w:t>
      </w:r>
      <w:r w:rsidRPr="00A75B26">
        <w:rPr>
          <w:rFonts w:ascii="Arial" w:hAnsi="Arial" w:cs="Arial"/>
          <w:sz w:val="24"/>
          <w:szCs w:val="24"/>
          <w:lang w:val="en-US"/>
        </w:rPr>
        <w:t> and </w:t>
      </w:r>
      <w:r w:rsidRPr="00A75B26">
        <w:rPr>
          <w:rFonts w:ascii="Arial" w:hAnsi="Arial" w:cs="Arial"/>
          <w:b/>
          <w:bCs/>
          <w:sz w:val="24"/>
          <w:szCs w:val="24"/>
          <w:lang w:val="en-US"/>
        </w:rPr>
        <w:t>grade IV HTR</w:t>
      </w:r>
      <w:r w:rsidRPr="00A75B26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262D7716" w14:textId="04E1D00F" w:rsidR="00A75B26" w:rsidRPr="00172DC8" w:rsidRDefault="00A75B26" w:rsidP="00A75B2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75B26">
        <w:rPr>
          <w:rFonts w:ascii="Arial" w:hAnsi="Arial" w:cs="Arial"/>
          <w:sz w:val="24"/>
          <w:szCs w:val="24"/>
          <w:lang w:val="en-US"/>
        </w:rPr>
        <w:t>ECG showed changes s/o</w:t>
      </w:r>
      <w:r w:rsidRPr="00A75B26">
        <w:rPr>
          <w:rFonts w:ascii="Arial" w:hAnsi="Arial" w:cs="Arial"/>
          <w:b/>
          <w:bCs/>
          <w:sz w:val="24"/>
          <w:szCs w:val="24"/>
          <w:lang w:val="en-US"/>
        </w:rPr>
        <w:t> LVH with strain</w:t>
      </w:r>
      <w:r w:rsidRPr="00A75B26">
        <w:rPr>
          <w:rFonts w:ascii="Arial" w:hAnsi="Arial" w:cs="Arial"/>
          <w:sz w:val="24"/>
          <w:szCs w:val="24"/>
          <w:lang w:val="en-US"/>
        </w:rPr>
        <w:t> pattern.</w:t>
      </w:r>
    </w:p>
    <w:p w14:paraId="21E2C644" w14:textId="77777777" w:rsidR="00A75B26" w:rsidRPr="00172DC8" w:rsidRDefault="00A75B26" w:rsidP="00A75B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7AD236" w14:textId="2DDCE546" w:rsidR="004A26FB" w:rsidRPr="00172DC8" w:rsidRDefault="004A26FB" w:rsidP="004A26FB">
      <w:pPr>
        <w:spacing w:after="0" w:line="240" w:lineRule="auto"/>
        <w:rPr>
          <w:rFonts w:ascii="Arial" w:hAnsi="Arial" w:cs="Arial"/>
          <w:sz w:val="24"/>
          <w:szCs w:val="24"/>
          <w:lang w:bidi="hi-IN"/>
        </w:rPr>
      </w:pPr>
      <w:r w:rsidRPr="00A75B26">
        <w:rPr>
          <w:rFonts w:ascii="Arial" w:hAnsi="Arial" w:cs="Arial"/>
          <w:sz w:val="24"/>
          <w:szCs w:val="24"/>
          <w:lang w:bidi="hi-IN"/>
        </w:rPr>
        <w:t xml:space="preserve">Renal Artery Doppler: </w:t>
      </w:r>
      <w:r w:rsidRPr="00A75B26">
        <w:rPr>
          <w:rFonts w:ascii="Arial" w:hAnsi="Arial" w:cs="Arial"/>
          <w:b/>
          <w:bCs/>
          <w:sz w:val="24"/>
          <w:szCs w:val="24"/>
          <w:lang w:bidi="hi-IN"/>
        </w:rPr>
        <w:t>WNL</w:t>
      </w:r>
      <w:r w:rsidRPr="00A75B26">
        <w:rPr>
          <w:rFonts w:ascii="Arial" w:hAnsi="Arial" w:cs="Arial"/>
          <w:sz w:val="24"/>
          <w:szCs w:val="24"/>
          <w:lang w:bidi="hi-IN"/>
        </w:rPr>
        <w:t xml:space="preserve"> </w:t>
      </w:r>
      <w:r w:rsidRPr="00172DC8">
        <w:rPr>
          <w:rFonts w:ascii="Arial" w:hAnsi="Arial" w:cs="Arial"/>
          <w:sz w:val="24"/>
          <w:szCs w:val="24"/>
          <w:lang w:bidi="hi-IN"/>
        </w:rPr>
        <w:t xml:space="preserve"> </w:t>
      </w:r>
    </w:p>
    <w:p w14:paraId="28CD15ED" w14:textId="77777777" w:rsidR="00A75B26" w:rsidRPr="00A75B26" w:rsidRDefault="00A75B26" w:rsidP="00A75B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3E5DC3" w14:textId="0195FAA8" w:rsidR="00A75B26" w:rsidRPr="00A75B26" w:rsidRDefault="00AF1DA4" w:rsidP="00A75B26">
      <w:pPr>
        <w:tabs>
          <w:tab w:val="num" w:pos="720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172DC8">
        <w:rPr>
          <w:rFonts w:ascii="Arial" w:hAnsi="Arial" w:cs="Arial"/>
          <w:b/>
          <w:bCs/>
          <w:sz w:val="24"/>
          <w:szCs w:val="24"/>
          <w:lang w:val="en-US"/>
        </w:rPr>
        <w:t>Kidney biopsy</w:t>
      </w:r>
      <w:r w:rsidR="00A75B26" w:rsidRPr="00172DC8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172DC8">
        <w:rPr>
          <w:rFonts w:ascii="Arial" w:hAnsi="Arial" w:cs="Arial"/>
          <w:b/>
          <w:bCs/>
          <w:sz w:val="24"/>
          <w:szCs w:val="24"/>
          <w:lang w:val="en-US"/>
        </w:rPr>
        <w:t>performed:</w:t>
      </w:r>
    </w:p>
    <w:p w14:paraId="5BDCE0AE" w14:textId="58D28882" w:rsidR="00947221" w:rsidRPr="00947221" w:rsidRDefault="00947221" w:rsidP="00AF1DA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Renal biopsy evaluated with 3 micron serial 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sections  </w:t>
      </w:r>
      <w:r w:rsidR="00AF1DA4">
        <w:rPr>
          <w:rFonts w:ascii="Arial" w:hAnsi="Arial" w:cs="Arial"/>
          <w:sz w:val="24"/>
          <w:szCs w:val="24"/>
          <w:lang w:val="en-US"/>
        </w:rPr>
        <w:t>stained</w:t>
      </w:r>
      <w:proofErr w:type="gramEnd"/>
      <w:r w:rsidR="00AF1DA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with H&amp;E, PAS, PSM and Masson Trichrome (MT) stain.</w:t>
      </w:r>
    </w:p>
    <w:p w14:paraId="4B2DFBC2" w14:textId="454196B9" w:rsidR="00A75B26" w:rsidRPr="00172DC8" w:rsidRDefault="00947221" w:rsidP="00AF1DA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Biopsy showed had sixteen glomeruli with </w:t>
      </w:r>
      <w:r w:rsidR="00A75B26" w:rsidRPr="00172DC8">
        <w:rPr>
          <w:rFonts w:ascii="Arial" w:hAnsi="Arial" w:cs="Arial"/>
          <w:sz w:val="24"/>
          <w:szCs w:val="24"/>
          <w:lang w:val="en-US"/>
        </w:rPr>
        <w:t>2/</w:t>
      </w:r>
      <w:r w:rsidR="00111A56" w:rsidRPr="00172DC8">
        <w:rPr>
          <w:rFonts w:ascii="Arial" w:hAnsi="Arial" w:cs="Arial"/>
          <w:sz w:val="24"/>
          <w:szCs w:val="24"/>
          <w:lang w:val="en-US"/>
        </w:rPr>
        <w:t xml:space="preserve">16 </w:t>
      </w:r>
      <w:r w:rsidR="00111A56">
        <w:rPr>
          <w:rFonts w:ascii="Arial" w:hAnsi="Arial" w:cs="Arial"/>
          <w:sz w:val="24"/>
          <w:szCs w:val="24"/>
          <w:lang w:val="en-US"/>
        </w:rPr>
        <w:t>had</w:t>
      </w:r>
      <w:r>
        <w:rPr>
          <w:rFonts w:ascii="Arial" w:hAnsi="Arial" w:cs="Arial"/>
          <w:sz w:val="24"/>
          <w:szCs w:val="24"/>
          <w:lang w:val="en-US"/>
        </w:rPr>
        <w:t xml:space="preserve"> global glomeruloscl</w:t>
      </w:r>
      <w:r w:rsidR="00AF1DA4"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  <w:lang w:val="en-US"/>
        </w:rPr>
        <w:t>rosi</w:t>
      </w:r>
      <w:r w:rsidR="00AF1DA4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="00A75B26" w:rsidRPr="00172DC8">
        <w:rPr>
          <w:rFonts w:ascii="Arial" w:hAnsi="Arial" w:cs="Arial"/>
          <w:sz w:val="24"/>
          <w:szCs w:val="24"/>
          <w:lang w:val="en-US"/>
        </w:rPr>
        <w:t xml:space="preserve">1/16 </w:t>
      </w:r>
      <w:r>
        <w:rPr>
          <w:rFonts w:ascii="Arial" w:hAnsi="Arial" w:cs="Arial"/>
          <w:sz w:val="24"/>
          <w:szCs w:val="24"/>
          <w:lang w:val="en-US"/>
        </w:rPr>
        <w:t xml:space="preserve">had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fibrocellular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A75B26" w:rsidRPr="00172DC8">
        <w:rPr>
          <w:rFonts w:ascii="Arial" w:hAnsi="Arial" w:cs="Arial"/>
          <w:sz w:val="24"/>
          <w:szCs w:val="24"/>
          <w:lang w:val="en-US"/>
        </w:rPr>
        <w:t>crescent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3E202C8D" w14:textId="38A22825" w:rsidR="00A75B26" w:rsidRPr="00172DC8" w:rsidRDefault="00A75B26" w:rsidP="00AF1DA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2DC8">
        <w:rPr>
          <w:rFonts w:ascii="Arial" w:hAnsi="Arial" w:cs="Arial"/>
          <w:sz w:val="24"/>
          <w:szCs w:val="24"/>
          <w:lang w:val="en-US"/>
        </w:rPr>
        <w:t xml:space="preserve">Rest </w:t>
      </w:r>
      <w:r w:rsidR="00947221">
        <w:rPr>
          <w:rFonts w:ascii="Arial" w:hAnsi="Arial" w:cs="Arial"/>
          <w:sz w:val="24"/>
          <w:szCs w:val="24"/>
          <w:lang w:val="en-US"/>
        </w:rPr>
        <w:t xml:space="preserve">all glomeruli </w:t>
      </w:r>
      <w:r w:rsidRPr="00172DC8">
        <w:rPr>
          <w:rFonts w:ascii="Arial" w:hAnsi="Arial" w:cs="Arial"/>
          <w:sz w:val="24"/>
          <w:szCs w:val="24"/>
          <w:lang w:val="en-US"/>
        </w:rPr>
        <w:t xml:space="preserve">showed </w:t>
      </w:r>
      <w:r w:rsidR="00111A56" w:rsidRPr="00111A56">
        <w:rPr>
          <w:rFonts w:ascii="Arial" w:hAnsi="Arial" w:cs="Arial"/>
          <w:sz w:val="24"/>
          <w:szCs w:val="24"/>
        </w:rPr>
        <w:t>fibrillary appearance, thickened capillary wall and blending of mesangial area with the capillaries</w:t>
      </w:r>
      <w:r w:rsidR="00111A56" w:rsidRPr="00111A56">
        <w:rPr>
          <w:rFonts w:ascii="Arial" w:hAnsi="Arial" w:cs="Arial"/>
          <w:sz w:val="24"/>
          <w:szCs w:val="24"/>
          <w:lang w:val="en-US"/>
        </w:rPr>
        <w:t xml:space="preserve"> </w:t>
      </w:r>
      <w:r w:rsidR="00111A56">
        <w:rPr>
          <w:rFonts w:ascii="Arial" w:hAnsi="Arial" w:cs="Arial"/>
          <w:sz w:val="24"/>
          <w:szCs w:val="24"/>
          <w:lang w:val="en-US"/>
        </w:rPr>
        <w:t xml:space="preserve"> and </w:t>
      </w:r>
      <w:r w:rsidRPr="00172DC8">
        <w:rPr>
          <w:rFonts w:ascii="Arial" w:hAnsi="Arial" w:cs="Arial"/>
          <w:sz w:val="24"/>
          <w:szCs w:val="24"/>
          <w:lang w:val="en-US"/>
        </w:rPr>
        <w:t>ischemic wrinkling and focal duplication of GBM</w:t>
      </w:r>
    </w:p>
    <w:p w14:paraId="7359E65A" w14:textId="7E8A7CF8" w:rsidR="00A75B26" w:rsidRPr="00172DC8" w:rsidRDefault="00A75B26" w:rsidP="00AF1DA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2DC8">
        <w:rPr>
          <w:rFonts w:ascii="Arial" w:hAnsi="Arial" w:cs="Arial"/>
          <w:sz w:val="24"/>
          <w:szCs w:val="24"/>
          <w:lang w:val="en-US"/>
        </w:rPr>
        <w:t>Blood vessels</w:t>
      </w:r>
      <w:r w:rsidR="0079180B">
        <w:rPr>
          <w:rFonts w:ascii="Arial" w:hAnsi="Arial" w:cs="Arial"/>
          <w:sz w:val="24"/>
          <w:szCs w:val="24"/>
          <w:lang w:val="en-US"/>
        </w:rPr>
        <w:t xml:space="preserve"> were</w:t>
      </w:r>
      <w:r w:rsidRPr="00172DC8">
        <w:rPr>
          <w:rFonts w:ascii="Arial" w:hAnsi="Arial" w:cs="Arial"/>
          <w:sz w:val="24"/>
          <w:szCs w:val="24"/>
          <w:lang w:val="en-US"/>
        </w:rPr>
        <w:t xml:space="preserve"> thickened</w:t>
      </w:r>
      <w:r w:rsidR="0079180B">
        <w:rPr>
          <w:rFonts w:ascii="Arial" w:hAnsi="Arial" w:cs="Arial"/>
          <w:sz w:val="24"/>
          <w:szCs w:val="24"/>
          <w:lang w:val="en-US"/>
        </w:rPr>
        <w:t xml:space="preserve"> with </w:t>
      </w:r>
      <w:r w:rsidRPr="00172DC8">
        <w:rPr>
          <w:rFonts w:ascii="Arial" w:hAnsi="Arial" w:cs="Arial"/>
          <w:sz w:val="24"/>
          <w:szCs w:val="24"/>
          <w:lang w:val="en-US"/>
        </w:rPr>
        <w:t>mucous interstitial change, near luminal occlusion by thrombi</w:t>
      </w:r>
      <w:r w:rsidR="0079180B">
        <w:rPr>
          <w:rFonts w:ascii="Arial" w:hAnsi="Arial" w:cs="Arial"/>
          <w:sz w:val="24"/>
          <w:szCs w:val="24"/>
          <w:lang w:val="en-US"/>
        </w:rPr>
        <w:t xml:space="preserve"> and </w:t>
      </w:r>
      <w:r w:rsidRPr="00172DC8">
        <w:rPr>
          <w:rFonts w:ascii="Arial" w:hAnsi="Arial" w:cs="Arial"/>
          <w:sz w:val="24"/>
          <w:szCs w:val="24"/>
          <w:lang w:val="en-US"/>
        </w:rPr>
        <w:t xml:space="preserve">fragmented RBC in wall </w:t>
      </w:r>
    </w:p>
    <w:p w14:paraId="5AE6EF53" w14:textId="5BF14960" w:rsidR="00A75B26" w:rsidRPr="00172DC8" w:rsidRDefault="00A75B26" w:rsidP="00AF1DA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72DC8">
        <w:rPr>
          <w:rFonts w:ascii="Arial" w:hAnsi="Arial" w:cs="Arial"/>
          <w:sz w:val="24"/>
          <w:szCs w:val="24"/>
          <w:lang w:val="en-US"/>
        </w:rPr>
        <w:t xml:space="preserve">Mild Acute Tubular Injury (ATI) with </w:t>
      </w:r>
      <w:r w:rsidR="0079180B">
        <w:rPr>
          <w:rFonts w:ascii="Arial" w:hAnsi="Arial" w:cs="Arial"/>
          <w:sz w:val="24"/>
          <w:szCs w:val="24"/>
          <w:lang w:val="en-US"/>
        </w:rPr>
        <w:t xml:space="preserve">moderate </w:t>
      </w:r>
      <w:proofErr w:type="spellStart"/>
      <w:r w:rsidR="0079180B">
        <w:rPr>
          <w:rFonts w:ascii="Arial" w:hAnsi="Arial" w:cs="Arial"/>
          <w:sz w:val="24"/>
          <w:szCs w:val="24"/>
          <w:lang w:val="en-US"/>
        </w:rPr>
        <w:t>Interstial</w:t>
      </w:r>
      <w:proofErr w:type="spellEnd"/>
      <w:r w:rsidR="0079180B">
        <w:rPr>
          <w:rFonts w:ascii="Arial" w:hAnsi="Arial" w:cs="Arial"/>
          <w:sz w:val="24"/>
          <w:szCs w:val="24"/>
          <w:lang w:val="en-US"/>
        </w:rPr>
        <w:t xml:space="preserve"> Fibrosis and Tubular Atrophy (</w:t>
      </w:r>
      <w:r w:rsidRPr="00172DC8">
        <w:rPr>
          <w:rFonts w:ascii="Arial" w:hAnsi="Arial" w:cs="Arial"/>
          <w:sz w:val="24"/>
          <w:szCs w:val="24"/>
          <w:lang w:val="en-US"/>
        </w:rPr>
        <w:t>IFTA</w:t>
      </w:r>
      <w:r w:rsidR="0079180B">
        <w:rPr>
          <w:rFonts w:ascii="Arial" w:hAnsi="Arial" w:cs="Arial"/>
          <w:sz w:val="24"/>
          <w:szCs w:val="24"/>
          <w:lang w:val="en-US"/>
        </w:rPr>
        <w:t xml:space="preserve">) was present. </w:t>
      </w:r>
    </w:p>
    <w:p w14:paraId="4A481851" w14:textId="5298E0BC" w:rsidR="00A75B26" w:rsidRPr="00172DC8" w:rsidRDefault="00A75B26" w:rsidP="00AF1DA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2DC8">
        <w:rPr>
          <w:rFonts w:ascii="Arial" w:hAnsi="Arial" w:cs="Arial"/>
          <w:sz w:val="24"/>
          <w:szCs w:val="24"/>
          <w:lang w:val="en-GB"/>
        </w:rPr>
        <w:t>Direct Immuno</w:t>
      </w:r>
      <w:r w:rsidR="00111A56" w:rsidRPr="00172DC8">
        <w:rPr>
          <w:rFonts w:ascii="Arial" w:hAnsi="Arial" w:cs="Arial"/>
          <w:sz w:val="24"/>
          <w:szCs w:val="24"/>
          <w:lang w:val="en-GB"/>
        </w:rPr>
        <w:t>fluorescence</w:t>
      </w:r>
      <w:r w:rsidRPr="00172DC8">
        <w:rPr>
          <w:rFonts w:ascii="Arial" w:hAnsi="Arial" w:cs="Arial"/>
          <w:sz w:val="24"/>
          <w:szCs w:val="24"/>
          <w:lang w:val="en-GB"/>
        </w:rPr>
        <w:t xml:space="preserve">: </w:t>
      </w:r>
      <w:proofErr w:type="gramStart"/>
      <w:r w:rsidRPr="00172DC8">
        <w:rPr>
          <w:rFonts w:ascii="Arial" w:hAnsi="Arial" w:cs="Arial"/>
          <w:sz w:val="24"/>
          <w:szCs w:val="24"/>
          <w:lang w:val="en-GB"/>
        </w:rPr>
        <w:t>negative  for</w:t>
      </w:r>
      <w:proofErr w:type="gramEnd"/>
      <w:r w:rsidRPr="00172DC8">
        <w:rPr>
          <w:rFonts w:ascii="Arial" w:hAnsi="Arial" w:cs="Arial"/>
          <w:sz w:val="24"/>
          <w:szCs w:val="24"/>
          <w:lang w:val="en-GB"/>
        </w:rPr>
        <w:t xml:space="preserve"> IgG, IgM, Ig</w:t>
      </w:r>
      <w:r w:rsidR="00111A56">
        <w:rPr>
          <w:rFonts w:ascii="Arial" w:hAnsi="Arial" w:cs="Arial"/>
          <w:sz w:val="24"/>
          <w:szCs w:val="24"/>
          <w:lang w:val="en-GB"/>
        </w:rPr>
        <w:t>A</w:t>
      </w:r>
      <w:r w:rsidRPr="00172DC8">
        <w:rPr>
          <w:rFonts w:ascii="Arial" w:hAnsi="Arial" w:cs="Arial"/>
          <w:sz w:val="24"/>
          <w:szCs w:val="24"/>
          <w:lang w:val="en-GB"/>
        </w:rPr>
        <w:t>, C3 and C1q.</w:t>
      </w:r>
    </w:p>
    <w:p w14:paraId="1A6A467D" w14:textId="77777777" w:rsidR="00A75B26" w:rsidRPr="00A75B26" w:rsidRDefault="00A75B26" w:rsidP="00A75B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781AE4" w14:textId="6E0E5FF5" w:rsidR="00A75B26" w:rsidRPr="00172DC8" w:rsidRDefault="00947221" w:rsidP="00A75B2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BIOPSY </w:t>
      </w:r>
      <w:r w:rsidR="00A75B26" w:rsidRPr="00A75B26">
        <w:rPr>
          <w:rFonts w:ascii="Arial" w:hAnsi="Arial" w:cs="Arial"/>
          <w:b/>
          <w:bCs/>
          <w:sz w:val="24"/>
          <w:szCs w:val="24"/>
          <w:lang w:val="en-US"/>
        </w:rPr>
        <w:t xml:space="preserve">DIAGNOSIS: </w:t>
      </w:r>
      <w:r w:rsidR="00172DC8" w:rsidRPr="00172DC8">
        <w:rPr>
          <w:rFonts w:ascii="Arial" w:hAnsi="Arial" w:cs="Arial"/>
          <w:b/>
          <w:bCs/>
          <w:sz w:val="24"/>
          <w:szCs w:val="24"/>
          <w:lang w:val="en-US"/>
        </w:rPr>
        <w:t xml:space="preserve">LIKELY </w:t>
      </w:r>
      <w:r w:rsidR="00A75B26" w:rsidRPr="00A75B26">
        <w:rPr>
          <w:rFonts w:ascii="Arial" w:hAnsi="Arial" w:cs="Arial"/>
          <w:b/>
          <w:bCs/>
          <w:sz w:val="24"/>
          <w:szCs w:val="24"/>
          <w:lang w:val="en-US"/>
        </w:rPr>
        <w:t>ACCELERETED HYPERTENSION RELATED ACUTE AND CHRONIC TMA</w:t>
      </w:r>
    </w:p>
    <w:p w14:paraId="39510A3D" w14:textId="77777777" w:rsidR="00A75B26" w:rsidRPr="00172DC8" w:rsidRDefault="00A75B26" w:rsidP="00A75B2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F2FA6A4" w14:textId="77777777" w:rsidR="00AF1DA4" w:rsidRDefault="00AF1DA4" w:rsidP="004A26F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730FF4A" w14:textId="77777777" w:rsidR="0079180B" w:rsidRDefault="0079180B" w:rsidP="004A26F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3F176D6" w14:textId="4D2426F8" w:rsidR="00AF1DA4" w:rsidRPr="00111A56" w:rsidRDefault="00AF1DA4" w:rsidP="00AF1DA4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1A56">
        <w:rPr>
          <w:rFonts w:ascii="Arial" w:hAnsi="Arial" w:cs="Arial"/>
          <w:b/>
          <w:bCs/>
          <w:sz w:val="24"/>
          <w:szCs w:val="24"/>
        </w:rPr>
        <w:lastRenderedPageBreak/>
        <w:t xml:space="preserve">Features </w:t>
      </w:r>
      <w:r w:rsidR="00111A56" w:rsidRPr="00111A56">
        <w:rPr>
          <w:rFonts w:ascii="Arial" w:hAnsi="Arial" w:cs="Arial"/>
          <w:b/>
          <w:bCs/>
          <w:sz w:val="24"/>
          <w:szCs w:val="24"/>
        </w:rPr>
        <w:t>S/O</w:t>
      </w:r>
      <w:r w:rsidRPr="00111A56">
        <w:rPr>
          <w:rFonts w:ascii="Arial" w:hAnsi="Arial" w:cs="Arial"/>
          <w:b/>
          <w:bCs/>
          <w:sz w:val="24"/>
          <w:szCs w:val="24"/>
        </w:rPr>
        <w:t xml:space="preserve"> </w:t>
      </w:r>
      <w:r w:rsidR="00111A56" w:rsidRPr="00111A56">
        <w:rPr>
          <w:rFonts w:ascii="Arial" w:hAnsi="Arial" w:cs="Arial"/>
          <w:b/>
          <w:bCs/>
          <w:sz w:val="24"/>
          <w:szCs w:val="24"/>
        </w:rPr>
        <w:t xml:space="preserve">Acclereated hypertension related </w:t>
      </w:r>
      <w:r w:rsidRPr="00111A56">
        <w:rPr>
          <w:rFonts w:ascii="Arial" w:hAnsi="Arial" w:cs="Arial"/>
          <w:b/>
          <w:bCs/>
          <w:sz w:val="24"/>
          <w:szCs w:val="24"/>
        </w:rPr>
        <w:t>TMA:</w:t>
      </w:r>
    </w:p>
    <w:p w14:paraId="7168DF4F" w14:textId="77777777" w:rsidR="00AF1DA4" w:rsidRPr="00111A56" w:rsidRDefault="00AF1DA4" w:rsidP="00AF1DA4">
      <w:pPr>
        <w:numPr>
          <w:ilvl w:val="2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1A56">
        <w:rPr>
          <w:rFonts w:ascii="Arial" w:hAnsi="Arial" w:cs="Arial"/>
          <w:sz w:val="24"/>
          <w:szCs w:val="24"/>
        </w:rPr>
        <w:t>Higher BP at presentation</w:t>
      </w:r>
    </w:p>
    <w:p w14:paraId="5F4BC54B" w14:textId="77777777" w:rsidR="00AF1DA4" w:rsidRPr="00111A56" w:rsidRDefault="00AF1DA4" w:rsidP="00AF1DA4">
      <w:pPr>
        <w:numPr>
          <w:ilvl w:val="2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1A56">
        <w:rPr>
          <w:rFonts w:ascii="Arial" w:hAnsi="Arial" w:cs="Arial"/>
          <w:sz w:val="24"/>
          <w:szCs w:val="24"/>
        </w:rPr>
        <w:t>Signs of HTN-heart disease</w:t>
      </w:r>
    </w:p>
    <w:p w14:paraId="78DCC827" w14:textId="77777777" w:rsidR="00AF1DA4" w:rsidRPr="00111A56" w:rsidRDefault="00AF1DA4" w:rsidP="00AF1DA4">
      <w:pPr>
        <w:numPr>
          <w:ilvl w:val="2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1A56">
        <w:rPr>
          <w:rFonts w:ascii="Arial" w:hAnsi="Arial" w:cs="Arial"/>
          <w:sz w:val="24"/>
          <w:szCs w:val="24"/>
        </w:rPr>
        <w:t>HTN retinopathy</w:t>
      </w:r>
    </w:p>
    <w:p w14:paraId="48F76E50" w14:textId="77777777" w:rsidR="00AF1DA4" w:rsidRPr="00111A56" w:rsidRDefault="00AF1DA4" w:rsidP="00AF1DA4">
      <w:pPr>
        <w:numPr>
          <w:ilvl w:val="2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1A56">
        <w:rPr>
          <w:rFonts w:ascii="Arial" w:hAnsi="Arial" w:cs="Arial"/>
          <w:sz w:val="24"/>
          <w:szCs w:val="24"/>
        </w:rPr>
        <w:t>Relatively higher platelet count</w:t>
      </w:r>
    </w:p>
    <w:p w14:paraId="2B8B8A8F" w14:textId="77777777" w:rsidR="00AF1DA4" w:rsidRPr="00111A56" w:rsidRDefault="00AF1DA4" w:rsidP="00AF1DA4">
      <w:pPr>
        <w:numPr>
          <w:ilvl w:val="2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1A56">
        <w:rPr>
          <w:rFonts w:ascii="Arial" w:hAnsi="Arial" w:cs="Arial"/>
          <w:sz w:val="24"/>
          <w:szCs w:val="24"/>
        </w:rPr>
        <w:t>Significant renal failure</w:t>
      </w:r>
    </w:p>
    <w:p w14:paraId="0BC1E04F" w14:textId="77777777" w:rsidR="00AF1DA4" w:rsidRPr="0079180B" w:rsidRDefault="00AF1DA4" w:rsidP="007918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3A3332D" w14:textId="0E4B3FDB" w:rsidR="00C610F9" w:rsidRPr="00C610F9" w:rsidRDefault="00AF1DA4" w:rsidP="0079180B">
      <w:pPr>
        <w:jc w:val="both"/>
        <w:rPr>
          <w:rFonts w:ascii="Arial" w:hAnsi="Arial" w:cs="Arial"/>
          <w:sz w:val="24"/>
          <w:szCs w:val="24"/>
        </w:rPr>
      </w:pPr>
      <w:r w:rsidRPr="0079180B">
        <w:rPr>
          <w:rFonts w:ascii="Arial" w:hAnsi="Arial" w:cs="Arial"/>
          <w:sz w:val="24"/>
          <w:szCs w:val="24"/>
          <w:lang w:val="en-US"/>
        </w:rPr>
        <w:t xml:space="preserve">Patient managed with </w:t>
      </w:r>
      <w:r w:rsidR="00111A56" w:rsidRPr="0079180B">
        <w:rPr>
          <w:rFonts w:ascii="Arial" w:hAnsi="Arial" w:cs="Arial"/>
          <w:sz w:val="24"/>
          <w:szCs w:val="24"/>
          <w:lang w:val="en-US"/>
        </w:rPr>
        <w:t xml:space="preserve">stopping </w:t>
      </w:r>
      <w:r w:rsidRPr="0079180B">
        <w:rPr>
          <w:rFonts w:ascii="Arial" w:hAnsi="Arial" w:cs="Arial"/>
          <w:sz w:val="24"/>
          <w:szCs w:val="24"/>
          <w:lang w:val="en-US"/>
        </w:rPr>
        <w:t xml:space="preserve">amlodipine, metoprolol, </w:t>
      </w:r>
      <w:proofErr w:type="spellStart"/>
      <w:r w:rsidRPr="0079180B">
        <w:rPr>
          <w:rFonts w:ascii="Arial" w:hAnsi="Arial" w:cs="Arial"/>
          <w:sz w:val="24"/>
          <w:szCs w:val="24"/>
          <w:lang w:val="en-US"/>
        </w:rPr>
        <w:t>arkamine</w:t>
      </w:r>
      <w:proofErr w:type="spellEnd"/>
      <w:r w:rsidRPr="0079180B">
        <w:rPr>
          <w:rFonts w:ascii="Arial" w:hAnsi="Arial" w:cs="Arial"/>
          <w:sz w:val="24"/>
          <w:szCs w:val="24"/>
          <w:lang w:val="en-US"/>
        </w:rPr>
        <w:t xml:space="preserve"> and switch</w:t>
      </w:r>
      <w:r w:rsidR="00111A56" w:rsidRPr="0079180B">
        <w:rPr>
          <w:rFonts w:ascii="Arial" w:hAnsi="Arial" w:cs="Arial"/>
          <w:sz w:val="24"/>
          <w:szCs w:val="24"/>
          <w:lang w:val="en-US"/>
        </w:rPr>
        <w:t xml:space="preserve">ed </w:t>
      </w:r>
      <w:r w:rsidRPr="0079180B">
        <w:rPr>
          <w:rFonts w:ascii="Arial" w:hAnsi="Arial" w:cs="Arial"/>
          <w:sz w:val="24"/>
          <w:szCs w:val="24"/>
          <w:lang w:val="en-US"/>
        </w:rPr>
        <w:t xml:space="preserve">to </w:t>
      </w:r>
      <w:proofErr w:type="spellStart"/>
      <w:r w:rsidRPr="0079180B">
        <w:rPr>
          <w:rFonts w:ascii="Arial" w:hAnsi="Arial" w:cs="Arial"/>
          <w:sz w:val="24"/>
          <w:szCs w:val="24"/>
          <w:lang w:val="en-US"/>
        </w:rPr>
        <w:t>dilzem</w:t>
      </w:r>
      <w:proofErr w:type="spellEnd"/>
      <w:r w:rsidRPr="0079180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79180B">
        <w:rPr>
          <w:rFonts w:ascii="Arial" w:hAnsi="Arial" w:cs="Arial"/>
          <w:sz w:val="24"/>
          <w:szCs w:val="24"/>
          <w:lang w:val="en-US"/>
        </w:rPr>
        <w:t>prazopress</w:t>
      </w:r>
      <w:proofErr w:type="spellEnd"/>
      <w:r w:rsidRPr="0079180B">
        <w:rPr>
          <w:rFonts w:ascii="Arial" w:hAnsi="Arial" w:cs="Arial"/>
          <w:sz w:val="24"/>
          <w:szCs w:val="24"/>
          <w:lang w:val="en-US"/>
        </w:rPr>
        <w:t xml:space="preserve"> and BP </w:t>
      </w:r>
      <w:r w:rsidR="00111A56" w:rsidRPr="0079180B">
        <w:rPr>
          <w:rFonts w:ascii="Arial" w:hAnsi="Arial" w:cs="Arial"/>
          <w:sz w:val="24"/>
          <w:szCs w:val="24"/>
          <w:lang w:val="en-US"/>
        </w:rPr>
        <w:t>monitoring</w:t>
      </w:r>
      <w:r w:rsidRPr="0079180B">
        <w:rPr>
          <w:rFonts w:ascii="Arial" w:hAnsi="Arial" w:cs="Arial"/>
          <w:sz w:val="24"/>
          <w:szCs w:val="24"/>
          <w:lang w:val="en-US"/>
        </w:rPr>
        <w:t xml:space="preserve">. </w:t>
      </w:r>
      <w:r w:rsidR="00C610F9" w:rsidRPr="0079180B">
        <w:rPr>
          <w:rFonts w:ascii="Arial" w:hAnsi="Arial" w:cs="Arial"/>
          <w:sz w:val="24"/>
          <w:szCs w:val="24"/>
          <w:lang w:val="en-US"/>
        </w:rPr>
        <w:t xml:space="preserve">At the time of discharge </w:t>
      </w:r>
      <w:r w:rsidR="0079180B" w:rsidRPr="0079180B">
        <w:rPr>
          <w:rFonts w:ascii="Arial" w:hAnsi="Arial" w:cs="Arial"/>
          <w:sz w:val="24"/>
          <w:szCs w:val="24"/>
          <w:lang w:val="en-US"/>
        </w:rPr>
        <w:t>patient’s</w:t>
      </w:r>
      <w:r w:rsidR="00C610F9" w:rsidRPr="0079180B">
        <w:rPr>
          <w:rFonts w:ascii="Arial" w:hAnsi="Arial" w:cs="Arial"/>
          <w:sz w:val="24"/>
          <w:szCs w:val="24"/>
          <w:lang w:val="en-US"/>
        </w:rPr>
        <w:t xml:space="preserve"> blood pressure was adequately controlled and was s</w:t>
      </w:r>
      <w:r w:rsidR="00C610F9" w:rsidRPr="00C610F9">
        <w:rPr>
          <w:rFonts w:ascii="Arial" w:hAnsi="Arial" w:cs="Arial"/>
          <w:sz w:val="24"/>
          <w:szCs w:val="24"/>
          <w:lang w:val="en-US"/>
        </w:rPr>
        <w:t>ymptomatically better</w:t>
      </w:r>
      <w:r w:rsidR="00C610F9" w:rsidRPr="0079180B">
        <w:rPr>
          <w:rFonts w:ascii="Arial" w:hAnsi="Arial" w:cs="Arial"/>
          <w:sz w:val="24"/>
          <w:szCs w:val="24"/>
          <w:lang w:val="en-US"/>
        </w:rPr>
        <w:t xml:space="preserve"> and d</w:t>
      </w:r>
      <w:r w:rsidR="00C610F9" w:rsidRPr="00C610F9">
        <w:rPr>
          <w:rFonts w:ascii="Arial" w:hAnsi="Arial" w:cs="Arial"/>
          <w:sz w:val="24"/>
          <w:szCs w:val="24"/>
          <w:lang w:val="en-US"/>
        </w:rPr>
        <w:t>ialysis independent</w:t>
      </w:r>
      <w:r w:rsidR="00C610F9" w:rsidRPr="0079180B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21A7B1B7" w14:textId="76EEF6A6" w:rsidR="00AF1DA4" w:rsidRPr="00111A56" w:rsidRDefault="00AF1DA4" w:rsidP="004A26F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6B004EF" w14:textId="77777777" w:rsidR="00AF1DA4" w:rsidRDefault="00AF1DA4" w:rsidP="004A26F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3E33A02" w14:textId="77777777" w:rsidR="00AF1DA4" w:rsidRDefault="00AF1DA4" w:rsidP="004A26F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A2F4818" w14:textId="710B26FA" w:rsidR="004A26FB" w:rsidRPr="00AF1DA4" w:rsidRDefault="004A26FB" w:rsidP="004A26F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AF1DA4">
        <w:rPr>
          <w:rFonts w:ascii="Arial" w:hAnsi="Arial" w:cs="Arial"/>
          <w:b/>
          <w:bCs/>
          <w:sz w:val="24"/>
          <w:szCs w:val="24"/>
          <w:lang w:val="en-US"/>
        </w:rPr>
        <w:t xml:space="preserve">Further workup suggested </w:t>
      </w:r>
    </w:p>
    <w:p w14:paraId="1B7EF061" w14:textId="705FFCDA" w:rsidR="00172DC8" w:rsidRPr="00172DC8" w:rsidRDefault="00172DC8" w:rsidP="00172DC8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bidi="hi-IN"/>
        </w:rPr>
      </w:pPr>
      <w:r w:rsidRPr="00A75B26">
        <w:rPr>
          <w:rFonts w:ascii="Arial" w:hAnsi="Arial" w:cs="Arial"/>
          <w:sz w:val="24"/>
          <w:szCs w:val="24"/>
          <w:lang w:bidi="hi-IN"/>
        </w:rPr>
        <w:t>Workup for RAAS activation</w:t>
      </w:r>
    </w:p>
    <w:p w14:paraId="6FD869DD" w14:textId="418C67F5" w:rsidR="00172DC8" w:rsidRPr="00172DC8" w:rsidRDefault="00A75B26" w:rsidP="00172DC8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bidi="hi-IN"/>
        </w:rPr>
      </w:pPr>
      <w:r w:rsidRPr="00A75B26">
        <w:rPr>
          <w:rFonts w:ascii="Arial" w:hAnsi="Arial" w:cs="Arial"/>
          <w:sz w:val="24"/>
          <w:szCs w:val="24"/>
          <w:lang w:val="en-GB" w:bidi="hi-IN"/>
        </w:rPr>
        <w:t xml:space="preserve">Workup for primary TMA </w:t>
      </w:r>
    </w:p>
    <w:p w14:paraId="5C623F11" w14:textId="77777777" w:rsidR="00172DC8" w:rsidRPr="00172DC8" w:rsidRDefault="00A75B26" w:rsidP="00172DC8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bidi="hi-IN"/>
        </w:rPr>
      </w:pPr>
      <w:r w:rsidRPr="00A75B26">
        <w:rPr>
          <w:rFonts w:ascii="Arial" w:hAnsi="Arial" w:cs="Arial"/>
          <w:sz w:val="24"/>
          <w:szCs w:val="24"/>
          <w:lang w:val="en-GB" w:bidi="hi-IN"/>
        </w:rPr>
        <w:t>Anti CFH Ab</w:t>
      </w:r>
    </w:p>
    <w:p w14:paraId="401A4BB6" w14:textId="77777777" w:rsidR="00A75B26" w:rsidRPr="00A75B26" w:rsidRDefault="00A75B26" w:rsidP="00172DC8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GB" w:bidi="hi-IN"/>
        </w:rPr>
      </w:pPr>
      <w:r w:rsidRPr="00A75B26">
        <w:rPr>
          <w:rFonts w:ascii="Arial" w:hAnsi="Arial" w:cs="Arial"/>
          <w:sz w:val="24"/>
          <w:szCs w:val="24"/>
          <w:lang w:val="en-GB" w:bidi="hi-IN"/>
        </w:rPr>
        <w:t xml:space="preserve">Workup for </w:t>
      </w:r>
      <w:r w:rsidR="00172DC8" w:rsidRPr="00172DC8">
        <w:rPr>
          <w:rFonts w:ascii="Arial" w:hAnsi="Arial" w:cs="Arial"/>
          <w:sz w:val="24"/>
          <w:szCs w:val="24"/>
          <w:lang w:val="en-GB" w:bidi="hi-IN"/>
        </w:rPr>
        <w:t xml:space="preserve"> </w:t>
      </w:r>
      <w:r w:rsidR="00172DC8" w:rsidRPr="00095E25">
        <w:rPr>
          <w:rFonts w:ascii="Arial" w:hAnsi="Arial" w:cs="Arial"/>
          <w:sz w:val="24"/>
          <w:szCs w:val="24"/>
          <w:lang w:val="en-GB" w:bidi="hi-IN"/>
        </w:rPr>
        <w:t>Thrombotic Thrombocytopenic Purpura</w:t>
      </w:r>
    </w:p>
    <w:p w14:paraId="4BD76B78" w14:textId="77777777" w:rsidR="00A75B26" w:rsidRPr="00947221" w:rsidRDefault="00A75B26" w:rsidP="00172DC8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bidi="hi-IN"/>
        </w:rPr>
      </w:pPr>
      <w:r w:rsidRPr="00A75B26">
        <w:rPr>
          <w:rFonts w:ascii="Arial" w:hAnsi="Arial" w:cs="Arial"/>
          <w:sz w:val="24"/>
          <w:szCs w:val="24"/>
          <w:lang w:val="en-GB" w:bidi="hi-IN"/>
        </w:rPr>
        <w:t>ADAMTS13</w:t>
      </w:r>
    </w:p>
    <w:p w14:paraId="4191EDD5" w14:textId="77777777" w:rsidR="00A75B26" w:rsidRPr="00A75B26" w:rsidRDefault="00A75B26" w:rsidP="00947221">
      <w:pPr>
        <w:spacing w:after="0" w:line="240" w:lineRule="auto"/>
        <w:ind w:left="360"/>
        <w:rPr>
          <w:rFonts w:ascii="Arial" w:hAnsi="Arial" w:cs="Arial"/>
          <w:sz w:val="24"/>
          <w:szCs w:val="24"/>
          <w:lang w:bidi="hi-IN"/>
        </w:rPr>
      </w:pPr>
    </w:p>
    <w:p w14:paraId="54F9BF82" w14:textId="77777777" w:rsidR="004A26FB" w:rsidRPr="00C610F9" w:rsidRDefault="00172DC8" w:rsidP="004A26FB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C610F9">
        <w:rPr>
          <w:rFonts w:ascii="Arial" w:hAnsi="Arial" w:cs="Arial"/>
          <w:b/>
          <w:bCs/>
          <w:sz w:val="28"/>
          <w:szCs w:val="28"/>
          <w:lang w:val="en-GB"/>
        </w:rPr>
        <w:t>Discussion:</w:t>
      </w:r>
      <w:r w:rsidRPr="00C610F9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542B5432" w14:textId="0EF98232" w:rsidR="00172DC8" w:rsidRDefault="00095E25" w:rsidP="004A26FB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  <w:lang w:val="en-GB"/>
        </w:rPr>
      </w:pPr>
      <w:r w:rsidRPr="00095E25">
        <w:rPr>
          <w:rFonts w:ascii="Arial" w:hAnsi="Arial" w:cs="Arial"/>
          <w:sz w:val="24"/>
          <w:szCs w:val="24"/>
          <w:lang w:val="en-GB"/>
        </w:rPr>
        <w:t>TMA describes a specific pathologic lesion in which abnormalities in the vessel wall of arterioles and capillaries lead to microvascular thrombosis</w:t>
      </w:r>
      <w:r w:rsidR="00383C0A" w:rsidRPr="00172DC8">
        <w:rPr>
          <w:rFonts w:ascii="Arial" w:hAnsi="Arial" w:cs="Arial"/>
          <w:sz w:val="24"/>
          <w:szCs w:val="24"/>
          <w:lang w:val="en-GB"/>
        </w:rPr>
        <w:t xml:space="preserve">. </w:t>
      </w:r>
      <w:r w:rsidRPr="00095E25">
        <w:rPr>
          <w:rFonts w:ascii="Arial" w:hAnsi="Arial" w:cs="Arial"/>
          <w:sz w:val="24"/>
          <w:szCs w:val="24"/>
          <w:lang w:val="en-GB"/>
        </w:rPr>
        <w:t xml:space="preserve">TMA is a pathologic diagnosis made by tissue biopsy, typically a kidney biopsy. However, it is commonly inferred from the observation of </w:t>
      </w:r>
      <w:proofErr w:type="spellStart"/>
      <w:r w:rsidRPr="00095E25">
        <w:rPr>
          <w:rFonts w:ascii="Arial" w:hAnsi="Arial" w:cs="Arial"/>
          <w:sz w:val="24"/>
          <w:szCs w:val="24"/>
        </w:rPr>
        <w:t>Microangiopathic</w:t>
      </w:r>
      <w:proofErr w:type="spellEnd"/>
      <w:r w:rsidRPr="00095E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E25">
        <w:rPr>
          <w:rFonts w:ascii="Arial" w:hAnsi="Arial" w:cs="Arial"/>
          <w:sz w:val="24"/>
          <w:szCs w:val="24"/>
        </w:rPr>
        <w:t>hemolytic</w:t>
      </w:r>
      <w:proofErr w:type="spellEnd"/>
      <w:r w:rsidRPr="00095E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E25">
        <w:rPr>
          <w:rFonts w:ascii="Arial" w:hAnsi="Arial" w:cs="Arial"/>
          <w:sz w:val="24"/>
          <w:szCs w:val="24"/>
        </w:rPr>
        <w:t>anemia</w:t>
      </w:r>
      <w:proofErr w:type="spellEnd"/>
      <w:r w:rsidRPr="00095E25">
        <w:rPr>
          <w:rFonts w:ascii="Arial" w:hAnsi="Arial" w:cs="Arial"/>
          <w:sz w:val="24"/>
          <w:szCs w:val="24"/>
        </w:rPr>
        <w:t xml:space="preserve"> (</w:t>
      </w:r>
      <w:r w:rsidRPr="00095E25">
        <w:rPr>
          <w:rFonts w:ascii="Arial" w:hAnsi="Arial" w:cs="Arial"/>
          <w:sz w:val="24"/>
          <w:szCs w:val="24"/>
          <w:lang w:val="en-GB"/>
        </w:rPr>
        <w:t>MAHA) and thrombocytopenia in the appropriate clinical setting.</w:t>
      </w:r>
      <w:r w:rsidR="00172DC8" w:rsidRPr="00172DC8">
        <w:rPr>
          <w:rFonts w:ascii="Arial" w:hAnsi="Arial" w:cs="Arial"/>
          <w:sz w:val="24"/>
          <w:szCs w:val="24"/>
          <w:vertAlign w:val="superscript"/>
          <w:lang w:val="en-GB"/>
        </w:rPr>
        <w:t>1</w:t>
      </w:r>
      <w:r w:rsidR="00C610F9">
        <w:rPr>
          <w:rFonts w:ascii="Arial" w:hAnsi="Arial" w:cs="Arial"/>
          <w:sz w:val="24"/>
          <w:szCs w:val="24"/>
          <w:vertAlign w:val="superscript"/>
          <w:lang w:val="en-GB"/>
        </w:rPr>
        <w:t xml:space="preserve">  </w:t>
      </w:r>
      <w:r w:rsidR="00C610F9" w:rsidRPr="00947221">
        <w:rPr>
          <w:rFonts w:ascii="Arial" w:hAnsi="Arial" w:cs="Arial"/>
          <w:kern w:val="0"/>
          <w:sz w:val="24"/>
          <w:szCs w:val="24"/>
          <w:lang w:bidi="hi-IN"/>
        </w:rPr>
        <w:t>TMA presents both clinically and histologically in two main forms; acute and chronic TMA.</w:t>
      </w:r>
    </w:p>
    <w:p w14:paraId="06BDDB01" w14:textId="77777777" w:rsidR="004A26FB" w:rsidRPr="00172DC8" w:rsidRDefault="004A26FB" w:rsidP="004A26FB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  <w:lang w:val="en-GB"/>
        </w:rPr>
      </w:pPr>
    </w:p>
    <w:p w14:paraId="34A10E83" w14:textId="44528B6E" w:rsidR="00172DC8" w:rsidRDefault="00172DC8" w:rsidP="004A26F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72DC8">
        <w:rPr>
          <w:rFonts w:ascii="Arial" w:hAnsi="Arial" w:cs="Arial"/>
          <w:sz w:val="24"/>
          <w:szCs w:val="24"/>
          <w:lang w:val="en-GB"/>
        </w:rPr>
        <w:t xml:space="preserve">There are two classic TMAs, </w:t>
      </w:r>
      <w:proofErr w:type="spellStart"/>
      <w:r w:rsidRPr="00172DC8">
        <w:rPr>
          <w:rFonts w:ascii="Arial" w:hAnsi="Arial" w:cs="Arial"/>
          <w:sz w:val="24"/>
          <w:szCs w:val="24"/>
          <w:lang w:val="en-GB"/>
        </w:rPr>
        <w:t>hemolytic</w:t>
      </w:r>
      <w:proofErr w:type="spellEnd"/>
      <w:r w:rsidRPr="00172DC8">
        <w:rPr>
          <w:rFonts w:ascii="Arial" w:hAnsi="Arial" w:cs="Arial"/>
          <w:sz w:val="24"/>
          <w:szCs w:val="24"/>
          <w:lang w:val="en-GB"/>
        </w:rPr>
        <w:t xml:space="preserve"> uremic syndrome (HUS) and thrombotic thrombocytopenic purpura, as well as an atypical HUS. </w:t>
      </w:r>
      <w:r w:rsidR="00C610F9">
        <w:rPr>
          <w:rFonts w:ascii="Arial" w:hAnsi="Arial" w:cs="Arial"/>
          <w:sz w:val="24"/>
          <w:szCs w:val="24"/>
          <w:lang w:val="en-GB"/>
        </w:rPr>
        <w:t xml:space="preserve">Atypical </w:t>
      </w:r>
      <w:r w:rsidRPr="00172DC8">
        <w:rPr>
          <w:rFonts w:ascii="Arial" w:hAnsi="Arial" w:cs="Arial"/>
          <w:sz w:val="24"/>
          <w:szCs w:val="24"/>
          <w:lang w:val="en-GB"/>
        </w:rPr>
        <w:t xml:space="preserve">HUS includes a broad spectrum of disorders with diverse </w:t>
      </w:r>
      <w:r w:rsidR="00C610F9" w:rsidRPr="00172DC8">
        <w:rPr>
          <w:rFonts w:ascii="Arial" w:hAnsi="Arial" w:cs="Arial"/>
          <w:sz w:val="24"/>
          <w:szCs w:val="24"/>
          <w:lang w:val="en-GB"/>
        </w:rPr>
        <w:t>aetiologies</w:t>
      </w:r>
      <w:r w:rsidRPr="00172DC8">
        <w:rPr>
          <w:rFonts w:ascii="Arial" w:hAnsi="Arial" w:cs="Arial"/>
          <w:sz w:val="24"/>
          <w:szCs w:val="24"/>
          <w:lang w:val="en-GB"/>
        </w:rPr>
        <w:t xml:space="preserve"> and shares clinical manifesta</w:t>
      </w:r>
      <w:r w:rsidRPr="00172DC8">
        <w:rPr>
          <w:rFonts w:ascii="Arial" w:hAnsi="Arial" w:cs="Arial"/>
          <w:sz w:val="24"/>
          <w:szCs w:val="24"/>
          <w:lang w:val="en-GB"/>
        </w:rPr>
        <w:softHyphen/>
        <w:t>tions with classic TMA; however, it frequently lacks typical clinical and laboratory findings. These traits can confuse clinicians and pa</w:t>
      </w:r>
      <w:r w:rsidRPr="00172DC8">
        <w:rPr>
          <w:rFonts w:ascii="Arial" w:hAnsi="Arial" w:cs="Arial"/>
          <w:sz w:val="24"/>
          <w:szCs w:val="24"/>
          <w:lang w:val="en-GB"/>
        </w:rPr>
        <w:softHyphen/>
        <w:t>thologists in terms of renal pathologic diagnosis, especially in cases where TMA is associated with other glomerulopathies or hyper</w:t>
      </w:r>
      <w:r w:rsidRPr="00172DC8">
        <w:rPr>
          <w:rFonts w:ascii="Arial" w:hAnsi="Arial" w:cs="Arial"/>
          <w:sz w:val="24"/>
          <w:szCs w:val="24"/>
          <w:lang w:val="en-GB"/>
        </w:rPr>
        <w:softHyphen/>
        <w:t>tensive renal disease.</w:t>
      </w:r>
      <w:r w:rsidRPr="00172DC8">
        <w:rPr>
          <w:rFonts w:ascii="Arial" w:hAnsi="Arial" w:cs="Arial"/>
          <w:sz w:val="24"/>
          <w:szCs w:val="24"/>
          <w:vertAlign w:val="superscript"/>
          <w:lang w:val="en-GB"/>
        </w:rPr>
        <w:t>2</w:t>
      </w:r>
    </w:p>
    <w:p w14:paraId="2D558CCE" w14:textId="77777777" w:rsidR="00095E25" w:rsidRPr="00172DC8" w:rsidRDefault="00095E25" w:rsidP="00A75B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ACAB49" w14:textId="7BBBA165" w:rsidR="00095E25" w:rsidRPr="00095E25" w:rsidRDefault="004A26FB" w:rsidP="00095E2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Table 1 </w:t>
      </w:r>
      <w:r w:rsidR="00095E25" w:rsidRPr="00095E25">
        <w:rPr>
          <w:rFonts w:ascii="Arial" w:hAnsi="Arial" w:cs="Arial"/>
          <w:b/>
          <w:bCs/>
          <w:sz w:val="24"/>
          <w:szCs w:val="24"/>
          <w:lang w:val="en-US"/>
        </w:rPr>
        <w:t xml:space="preserve">Etiological Classification </w:t>
      </w:r>
      <w:r w:rsidR="00383C0A" w:rsidRPr="00172DC8">
        <w:rPr>
          <w:rFonts w:ascii="Arial" w:hAnsi="Arial" w:cs="Arial"/>
          <w:b/>
          <w:bCs/>
          <w:sz w:val="24"/>
          <w:szCs w:val="24"/>
          <w:lang w:val="en-US"/>
        </w:rPr>
        <w:t>o</w:t>
      </w:r>
      <w:r w:rsidR="00095E25" w:rsidRPr="00095E25">
        <w:rPr>
          <w:rFonts w:ascii="Arial" w:hAnsi="Arial" w:cs="Arial"/>
          <w:b/>
          <w:bCs/>
          <w:sz w:val="24"/>
          <w:szCs w:val="24"/>
          <w:lang w:val="en-US"/>
        </w:rPr>
        <w:t xml:space="preserve">f </w:t>
      </w:r>
      <w:r w:rsidR="00095E25" w:rsidRPr="00172DC8">
        <w:rPr>
          <w:rFonts w:ascii="Arial" w:hAnsi="Arial" w:cs="Arial"/>
          <w:b/>
          <w:bCs/>
          <w:sz w:val="24"/>
          <w:szCs w:val="24"/>
          <w:lang w:val="en-US"/>
        </w:rPr>
        <w:t>TMA</w:t>
      </w:r>
      <w:r w:rsidRPr="004A26FB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3</w:t>
      </w:r>
    </w:p>
    <w:p w14:paraId="2AE84DA5" w14:textId="77777777" w:rsidR="00095E25" w:rsidRPr="00172DC8" w:rsidRDefault="00095E25" w:rsidP="00A75B2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70"/>
        <w:gridCol w:w="4248"/>
        <w:gridCol w:w="3074"/>
      </w:tblGrid>
      <w:tr w:rsidR="00095E25" w:rsidRPr="00095E25" w14:paraId="139C9CF8" w14:textId="77777777" w:rsidTr="004A26FB">
        <w:trPr>
          <w:trHeight w:val="772"/>
        </w:trPr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0906CD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Typical </w:t>
            </w:r>
            <w:proofErr w:type="spellStart"/>
            <w:r w:rsidRPr="00095E25">
              <w:rPr>
                <w:rFonts w:ascii="Arial" w:hAnsi="Arial" w:cs="Arial"/>
                <w:b/>
                <w:bCs/>
                <w:sz w:val="24"/>
                <w:szCs w:val="24"/>
              </w:rPr>
              <w:t>Hemolytic</w:t>
            </w:r>
            <w:proofErr w:type="spellEnd"/>
            <w:r w:rsidRPr="00095E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Syndrome (HUS)</w:t>
            </w:r>
          </w:p>
        </w:tc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569D2C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Atypical HUS (&amp; Forms of TMA; Clinical Overlap With TTP)</w:t>
            </w:r>
          </w:p>
        </w:tc>
        <w:tc>
          <w:tcPr>
            <w:tcW w:w="31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D86B64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b/>
                <w:bCs/>
                <w:sz w:val="24"/>
                <w:szCs w:val="24"/>
              </w:rPr>
              <w:t>Thrombotic Thrombocytopenic Purpura (TTP)</w:t>
            </w:r>
          </w:p>
        </w:tc>
      </w:tr>
      <w:tr w:rsidR="00095E25" w:rsidRPr="00095E25" w14:paraId="161E875D" w14:textId="77777777" w:rsidTr="00095E25">
        <w:trPr>
          <w:trHeight w:val="729"/>
        </w:trPr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3E8E10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sz w:val="24"/>
                <w:szCs w:val="24"/>
              </w:rPr>
              <w:t xml:space="preserve">Enteropathogenic infections (Escherichia coli, </w:t>
            </w:r>
            <w:proofErr w:type="spellStart"/>
            <w:r w:rsidRPr="00095E25">
              <w:rPr>
                <w:rFonts w:ascii="Arial" w:hAnsi="Arial" w:cs="Arial"/>
                <w:sz w:val="24"/>
                <w:szCs w:val="24"/>
              </w:rPr>
              <w:t>Shigella</w:t>
            </w:r>
            <w:proofErr w:type="spellEnd"/>
            <w:r w:rsidRPr="00095E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5E25">
              <w:rPr>
                <w:rFonts w:ascii="Arial" w:hAnsi="Arial" w:cs="Arial"/>
                <w:sz w:val="24"/>
                <w:szCs w:val="24"/>
              </w:rPr>
              <w:t>dysenteriae</w:t>
            </w:r>
            <w:proofErr w:type="spellEnd"/>
            <w:r w:rsidRPr="00095E2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DCEFF3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5E25">
              <w:rPr>
                <w:rFonts w:ascii="Arial" w:hAnsi="Arial" w:cs="Arial"/>
                <w:sz w:val="24"/>
                <w:szCs w:val="24"/>
              </w:rPr>
              <w:t>Nonenteric</w:t>
            </w:r>
            <w:proofErr w:type="spellEnd"/>
            <w:r w:rsidRPr="00095E25">
              <w:rPr>
                <w:rFonts w:ascii="Arial" w:hAnsi="Arial" w:cs="Arial"/>
                <w:sz w:val="24"/>
                <w:szCs w:val="24"/>
              </w:rPr>
              <w:t xml:space="preserve"> infections (e.g., Streptococcus pneumoniae, HIV, Mycoplasma pneumoniae, Coxsackie A &amp; B)</w:t>
            </w:r>
          </w:p>
        </w:tc>
        <w:tc>
          <w:tcPr>
            <w:tcW w:w="31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EE2C18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sz w:val="24"/>
                <w:szCs w:val="24"/>
                <w:lang w:val="en-GB"/>
              </w:rPr>
              <w:t xml:space="preserve">Familial (Mutations in gene encoding ADAMTS13, a </w:t>
            </w:r>
            <w:proofErr w:type="spellStart"/>
            <w:r w:rsidRPr="00095E25">
              <w:rPr>
                <w:rFonts w:ascii="Arial" w:hAnsi="Arial" w:cs="Arial"/>
                <w:sz w:val="24"/>
                <w:szCs w:val="24"/>
                <w:lang w:val="en-GB"/>
              </w:rPr>
              <w:t>vWF</w:t>
            </w:r>
            <w:proofErr w:type="spellEnd"/>
            <w:r w:rsidRPr="00095E25">
              <w:rPr>
                <w:rFonts w:ascii="Arial" w:hAnsi="Arial" w:cs="Arial"/>
                <w:sz w:val="24"/>
                <w:szCs w:val="24"/>
                <w:lang w:val="en-GB"/>
              </w:rPr>
              <w:t xml:space="preserve"> cleaving protease; large </w:t>
            </w:r>
            <w:proofErr w:type="spellStart"/>
            <w:r w:rsidRPr="00095E25">
              <w:rPr>
                <w:rFonts w:ascii="Arial" w:hAnsi="Arial" w:cs="Arial"/>
                <w:sz w:val="24"/>
                <w:szCs w:val="24"/>
                <w:lang w:val="en-GB"/>
              </w:rPr>
              <w:t>vWF</w:t>
            </w:r>
            <w:proofErr w:type="spellEnd"/>
            <w:r w:rsidRPr="00095E2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95E25">
              <w:rPr>
                <w:rFonts w:ascii="Arial" w:hAnsi="Arial" w:cs="Arial"/>
                <w:sz w:val="24"/>
                <w:szCs w:val="24"/>
                <w:lang w:val="en-GB"/>
              </w:rPr>
              <w:t>multimers</w:t>
            </w:r>
            <w:proofErr w:type="spellEnd"/>
            <w:r w:rsidRPr="00095E25">
              <w:rPr>
                <w:rFonts w:ascii="Arial" w:hAnsi="Arial" w:cs="Arial"/>
                <w:sz w:val="24"/>
                <w:szCs w:val="24"/>
                <w:lang w:val="en-GB"/>
              </w:rPr>
              <w:t xml:space="preserve"> cause </w:t>
            </w:r>
            <w:r w:rsidRPr="00095E25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increased platelet aggregation)</w:t>
            </w:r>
          </w:p>
        </w:tc>
      </w:tr>
      <w:tr w:rsidR="00095E25" w:rsidRPr="00095E25" w14:paraId="00FE9196" w14:textId="77777777" w:rsidTr="00095E25">
        <w:trPr>
          <w:trHeight w:val="18"/>
        </w:trPr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3BAAD1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14D7F7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sz w:val="24"/>
                <w:szCs w:val="24"/>
                <w:lang w:val="en-GB"/>
              </w:rPr>
              <w:t>Genetic defects in complement activation &amp; regulation (mutations in genes CFH, MCP (CD46), CFI, CFB, C3</w:t>
            </w:r>
          </w:p>
        </w:tc>
        <w:tc>
          <w:tcPr>
            <w:tcW w:w="31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ADCF83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sz w:val="24"/>
                <w:szCs w:val="24"/>
              </w:rPr>
              <w:t>Autoimmune (Autoantibodies against ADAMTS13)</w:t>
            </w:r>
          </w:p>
        </w:tc>
      </w:tr>
      <w:tr w:rsidR="00095E25" w:rsidRPr="00095E25" w14:paraId="4702DFA7" w14:textId="77777777" w:rsidTr="00095E25">
        <w:trPr>
          <w:trHeight w:val="18"/>
        </w:trPr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23D56C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BF7757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sz w:val="24"/>
                <w:szCs w:val="24"/>
                <w:lang w:val="en-GB"/>
              </w:rPr>
              <w:t>Genetic defects in cobalamin metabolism &amp; coagulation pathway</w:t>
            </w:r>
          </w:p>
        </w:tc>
        <w:tc>
          <w:tcPr>
            <w:tcW w:w="31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520126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sz w:val="24"/>
                <w:szCs w:val="24"/>
              </w:rPr>
              <w:t>Drugs (Ticlopidine, Clopidogrel)</w:t>
            </w:r>
          </w:p>
        </w:tc>
      </w:tr>
      <w:tr w:rsidR="00095E25" w:rsidRPr="00095E25" w14:paraId="0909AC21" w14:textId="77777777" w:rsidTr="00095E25">
        <w:trPr>
          <w:trHeight w:val="18"/>
        </w:trPr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4AE322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F8648B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sz w:val="24"/>
                <w:szCs w:val="24"/>
              </w:rPr>
              <w:t>Drugs (cyclosporine, tacrolimus, sirolimus, anti-VEGF therapy, mitomycin-C, cisplatin, quinine, vaccines)</w:t>
            </w:r>
          </w:p>
        </w:tc>
        <w:tc>
          <w:tcPr>
            <w:tcW w:w="31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36167D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sz w:val="24"/>
                <w:szCs w:val="24"/>
                <w:lang w:val="en-GB"/>
              </w:rPr>
              <w:t>Hereditary (Homozygous or compound heterozygous ADAMTS13 gene mutations)</w:t>
            </w:r>
          </w:p>
        </w:tc>
      </w:tr>
      <w:tr w:rsidR="00095E25" w:rsidRPr="00095E25" w14:paraId="7F47E4A7" w14:textId="77777777" w:rsidTr="00095E25">
        <w:trPr>
          <w:trHeight w:val="18"/>
        </w:trPr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1D250F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239DB2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sz w:val="24"/>
                <w:szCs w:val="24"/>
              </w:rPr>
              <w:t>Bone marrow transplantation</w:t>
            </w:r>
          </w:p>
        </w:tc>
        <w:tc>
          <w:tcPr>
            <w:tcW w:w="31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658910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095E25" w:rsidRPr="00095E25" w14:paraId="745E7B5D" w14:textId="77777777" w:rsidTr="00095E25">
        <w:trPr>
          <w:trHeight w:val="18"/>
        </w:trPr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1BE391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F5DFC2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sz w:val="24"/>
                <w:szCs w:val="24"/>
              </w:rPr>
              <w:t>Radiation</w:t>
            </w:r>
          </w:p>
        </w:tc>
        <w:tc>
          <w:tcPr>
            <w:tcW w:w="31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95E427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095E25" w:rsidRPr="00095E25" w14:paraId="6D730DEE" w14:textId="77777777" w:rsidTr="00095E25">
        <w:trPr>
          <w:trHeight w:val="18"/>
        </w:trPr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AF9EC3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6A81F8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sz w:val="24"/>
                <w:szCs w:val="24"/>
              </w:rPr>
              <w:t>Pregnancy &amp; post-partum</w:t>
            </w:r>
          </w:p>
        </w:tc>
        <w:tc>
          <w:tcPr>
            <w:tcW w:w="31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08ECD9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095E25" w:rsidRPr="00095E25" w14:paraId="2FBC2443" w14:textId="77777777" w:rsidTr="00095E25">
        <w:trPr>
          <w:trHeight w:val="18"/>
        </w:trPr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EA6024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772882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sz w:val="24"/>
                <w:szCs w:val="24"/>
              </w:rPr>
              <w:t>Systemic sclerosis</w:t>
            </w:r>
          </w:p>
        </w:tc>
        <w:tc>
          <w:tcPr>
            <w:tcW w:w="31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59DE90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095E25" w:rsidRPr="00095E25" w14:paraId="167153E0" w14:textId="77777777" w:rsidTr="00095E25">
        <w:trPr>
          <w:trHeight w:val="584"/>
        </w:trPr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C7F208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9D18FE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sz w:val="24"/>
                <w:szCs w:val="24"/>
              </w:rPr>
              <w:t>Autoimmune (antiphospholipid antibody syndrome, SLE, anti-factor H autoantibodies)</w:t>
            </w:r>
          </w:p>
        </w:tc>
        <w:tc>
          <w:tcPr>
            <w:tcW w:w="31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D473F4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095E25" w:rsidRPr="00095E25" w14:paraId="54E8577C" w14:textId="77777777" w:rsidTr="00095E25">
        <w:trPr>
          <w:trHeight w:val="18"/>
        </w:trPr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AB71FF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411144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sz w:val="24"/>
                <w:szCs w:val="24"/>
              </w:rPr>
              <w:t>Malignant hypertension</w:t>
            </w:r>
          </w:p>
        </w:tc>
        <w:tc>
          <w:tcPr>
            <w:tcW w:w="31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401813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095E25" w:rsidRPr="00095E25" w14:paraId="544DAFFB" w14:textId="77777777" w:rsidTr="00095E25">
        <w:trPr>
          <w:trHeight w:val="18"/>
        </w:trPr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710DEE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305427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sz w:val="24"/>
                <w:szCs w:val="24"/>
              </w:rPr>
              <w:t>Antibody-mediated rejection in transplantation</w:t>
            </w:r>
          </w:p>
        </w:tc>
        <w:tc>
          <w:tcPr>
            <w:tcW w:w="31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193D34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095E25" w:rsidRPr="00095E25" w14:paraId="171183E1" w14:textId="77777777" w:rsidTr="00095E25">
        <w:trPr>
          <w:trHeight w:val="584"/>
        </w:trPr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6523F3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20ED1B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sz w:val="24"/>
                <w:szCs w:val="24"/>
              </w:rPr>
              <w:t xml:space="preserve">Neoplasms such as adenocarcinomas (especially mucin producing) &amp;, rarely, myeloproliferative neoplasms, </w:t>
            </w:r>
            <w:proofErr w:type="spellStart"/>
            <w:r w:rsidRPr="00095E25">
              <w:rPr>
                <w:rFonts w:ascii="Arial" w:hAnsi="Arial" w:cs="Arial"/>
                <w:sz w:val="24"/>
                <w:szCs w:val="24"/>
              </w:rPr>
              <w:t>leukemia</w:t>
            </w:r>
            <w:proofErr w:type="spellEnd"/>
            <w:r w:rsidRPr="00095E25">
              <w:rPr>
                <w:rFonts w:ascii="Arial" w:hAnsi="Arial" w:cs="Arial"/>
                <w:sz w:val="24"/>
                <w:szCs w:val="24"/>
              </w:rPr>
              <w:t xml:space="preserve"> &amp; lymphoma</w:t>
            </w:r>
          </w:p>
        </w:tc>
        <w:tc>
          <w:tcPr>
            <w:tcW w:w="31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34F7C0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095E25" w:rsidRPr="00095E25" w14:paraId="021A31B4" w14:textId="77777777" w:rsidTr="00095E25">
        <w:trPr>
          <w:trHeight w:val="18"/>
        </w:trPr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FCFD6C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92D1EE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sz w:val="24"/>
                <w:szCs w:val="24"/>
              </w:rPr>
              <w:t>Idiopathic</w:t>
            </w:r>
          </w:p>
        </w:tc>
        <w:tc>
          <w:tcPr>
            <w:tcW w:w="31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8C6C0F" w14:textId="77777777" w:rsidR="00095E25" w:rsidRPr="00095E25" w:rsidRDefault="00095E25" w:rsidP="00095E2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095E2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</w:tbl>
    <w:p w14:paraId="032DDAEA" w14:textId="77777777" w:rsidR="00095E25" w:rsidRPr="00172DC8" w:rsidRDefault="00095E25" w:rsidP="00A75B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955AF8" w14:textId="77777777" w:rsidR="00095E25" w:rsidRPr="00172DC8" w:rsidRDefault="00095E25" w:rsidP="00A75B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228172" w14:textId="77777777" w:rsidR="00095E25" w:rsidRPr="00172DC8" w:rsidRDefault="00095E25" w:rsidP="00A75B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C0669F" w14:textId="6F0C94EF" w:rsidR="004A26FB" w:rsidRDefault="004A26FB" w:rsidP="004A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vertAlign w:val="superscript"/>
          <w:lang w:bidi="hi-IN"/>
        </w:rPr>
      </w:pPr>
      <w:r w:rsidRPr="004A26FB">
        <w:rPr>
          <w:rFonts w:ascii="Arial" w:hAnsi="Arial" w:cs="Arial"/>
          <w:kern w:val="0"/>
          <w:sz w:val="24"/>
          <w:szCs w:val="24"/>
          <w:lang w:bidi="hi-IN"/>
        </w:rPr>
        <w:t xml:space="preserve">Renal biopsies are not routinely performed for classical cases of </w:t>
      </w:r>
      <w:proofErr w:type="spellStart"/>
      <w:r w:rsidRPr="004A26FB">
        <w:rPr>
          <w:rFonts w:ascii="Arial" w:hAnsi="Arial" w:cs="Arial"/>
          <w:kern w:val="0"/>
          <w:sz w:val="24"/>
          <w:szCs w:val="24"/>
          <w:lang w:bidi="hi-IN"/>
        </w:rPr>
        <w:t>diarrhea</w:t>
      </w:r>
      <w:proofErr w:type="spellEnd"/>
      <w:r w:rsidRPr="004A26FB">
        <w:rPr>
          <w:rFonts w:ascii="Arial" w:hAnsi="Arial" w:cs="Arial"/>
          <w:kern w:val="0"/>
          <w:sz w:val="24"/>
          <w:szCs w:val="24"/>
          <w:lang w:bidi="hi-IN"/>
        </w:rPr>
        <w:t xml:space="preserve"> positive</w:t>
      </w:r>
      <w:r>
        <w:rPr>
          <w:rFonts w:ascii="Arial" w:hAnsi="Arial" w:cs="Arial"/>
          <w:kern w:val="0"/>
          <w:sz w:val="24"/>
          <w:szCs w:val="24"/>
          <w:lang w:bidi="hi-IN"/>
        </w:rPr>
        <w:t xml:space="preserve"> </w:t>
      </w:r>
      <w:r w:rsidRPr="004A26FB">
        <w:rPr>
          <w:rFonts w:ascii="Arial" w:hAnsi="Arial" w:cs="Arial"/>
          <w:kern w:val="0"/>
          <w:sz w:val="24"/>
          <w:szCs w:val="24"/>
          <w:lang w:bidi="hi-IN"/>
        </w:rPr>
        <w:t>(D+) HUS and TTP-</w:t>
      </w:r>
      <w:r w:rsidR="0079180B" w:rsidRPr="004A26FB">
        <w:rPr>
          <w:rFonts w:ascii="Arial" w:hAnsi="Arial" w:cs="Arial"/>
          <w:kern w:val="0"/>
          <w:sz w:val="24"/>
          <w:szCs w:val="24"/>
          <w:lang w:bidi="hi-IN"/>
        </w:rPr>
        <w:t>associated TMA</w:t>
      </w:r>
      <w:r w:rsidRPr="004A26FB">
        <w:rPr>
          <w:rFonts w:ascii="Arial" w:hAnsi="Arial" w:cs="Arial"/>
          <w:kern w:val="0"/>
          <w:sz w:val="24"/>
          <w:szCs w:val="24"/>
          <w:lang w:bidi="hi-IN"/>
        </w:rPr>
        <w:t xml:space="preserve">. Atypical presentations and secondary causes </w:t>
      </w:r>
      <w:r w:rsidR="00C610F9" w:rsidRPr="004A26FB">
        <w:rPr>
          <w:rFonts w:ascii="Arial" w:hAnsi="Arial" w:cs="Arial"/>
          <w:kern w:val="0"/>
          <w:sz w:val="24"/>
          <w:szCs w:val="24"/>
          <w:lang w:bidi="hi-IN"/>
        </w:rPr>
        <w:t>of TMA</w:t>
      </w:r>
      <w:r w:rsidRPr="004A26FB">
        <w:rPr>
          <w:rFonts w:ascii="Arial" w:hAnsi="Arial" w:cs="Arial"/>
          <w:kern w:val="0"/>
          <w:sz w:val="24"/>
          <w:szCs w:val="24"/>
          <w:lang w:bidi="hi-IN"/>
        </w:rPr>
        <w:t xml:space="preserve"> require renal biopsy for confirmation. </w:t>
      </w:r>
      <w:r w:rsidR="00C610F9" w:rsidRPr="004A26FB">
        <w:rPr>
          <w:rFonts w:ascii="Arial" w:hAnsi="Arial" w:cs="Arial"/>
          <w:kern w:val="0"/>
          <w:sz w:val="24"/>
          <w:szCs w:val="24"/>
          <w:lang w:bidi="hi-IN"/>
        </w:rPr>
        <w:t>However, at</w:t>
      </w:r>
      <w:r w:rsidRPr="004A26FB">
        <w:rPr>
          <w:rFonts w:ascii="Arial" w:hAnsi="Arial" w:cs="Arial"/>
          <w:kern w:val="0"/>
          <w:sz w:val="24"/>
          <w:szCs w:val="24"/>
          <w:lang w:bidi="hi-IN"/>
        </w:rPr>
        <w:t xml:space="preserve"> times, TMA on a renal</w:t>
      </w:r>
      <w:r>
        <w:rPr>
          <w:rFonts w:ascii="Arial" w:hAnsi="Arial" w:cs="Arial"/>
          <w:kern w:val="0"/>
          <w:sz w:val="24"/>
          <w:szCs w:val="24"/>
          <w:lang w:bidi="hi-IN"/>
        </w:rPr>
        <w:t xml:space="preserve"> </w:t>
      </w:r>
      <w:r w:rsidRPr="004A26FB">
        <w:rPr>
          <w:rFonts w:ascii="Arial" w:hAnsi="Arial" w:cs="Arial"/>
          <w:kern w:val="0"/>
          <w:sz w:val="24"/>
          <w:szCs w:val="24"/>
          <w:lang w:bidi="hi-IN"/>
        </w:rPr>
        <w:t>biopsy is identified without clinical suspicion.</w:t>
      </w:r>
      <w:r w:rsidRPr="004A26FB">
        <w:rPr>
          <w:rFonts w:ascii="Arial" w:hAnsi="Arial" w:cs="Arial"/>
          <w:kern w:val="0"/>
          <w:sz w:val="24"/>
          <w:szCs w:val="24"/>
          <w:vertAlign w:val="superscript"/>
          <w:lang w:bidi="hi-IN"/>
        </w:rPr>
        <w:t>4</w:t>
      </w:r>
    </w:p>
    <w:p w14:paraId="1C98A5C6" w14:textId="77777777" w:rsidR="004A26FB" w:rsidRPr="004A26FB" w:rsidRDefault="004A26FB" w:rsidP="004A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bidi="hi-IN"/>
        </w:rPr>
      </w:pPr>
    </w:p>
    <w:p w14:paraId="00BDFA7F" w14:textId="4D56DB60" w:rsidR="00947221" w:rsidRDefault="00383C0A" w:rsidP="00947221">
      <w:pPr>
        <w:spacing w:line="240" w:lineRule="auto"/>
        <w:jc w:val="both"/>
        <w:rPr>
          <w:rFonts w:ascii="Arial" w:hAnsi="Arial" w:cs="Arial"/>
          <w:kern w:val="0"/>
          <w:sz w:val="24"/>
          <w:szCs w:val="24"/>
          <w:lang w:bidi="hi-IN"/>
        </w:rPr>
      </w:pPr>
      <w:r w:rsidRPr="004A26FB">
        <w:rPr>
          <w:rFonts w:ascii="Arial" w:hAnsi="Arial" w:cs="Arial"/>
          <w:kern w:val="0"/>
          <w:sz w:val="24"/>
          <w:szCs w:val="24"/>
          <w:lang w:bidi="hi-IN"/>
        </w:rPr>
        <w:t xml:space="preserve">Differentiating malignant hypertension </w:t>
      </w:r>
      <w:r w:rsidR="00C610F9" w:rsidRPr="004A26FB">
        <w:rPr>
          <w:rFonts w:ascii="Arial" w:hAnsi="Arial" w:cs="Arial"/>
          <w:kern w:val="0"/>
          <w:sz w:val="24"/>
          <w:szCs w:val="24"/>
          <w:lang w:bidi="hi-IN"/>
        </w:rPr>
        <w:t>induced thrombotic</w:t>
      </w:r>
      <w:r w:rsidRPr="004A26FB">
        <w:rPr>
          <w:rFonts w:ascii="Arial" w:hAnsi="Arial" w:cs="Arial"/>
          <w:kern w:val="0"/>
          <w:sz w:val="24"/>
          <w:szCs w:val="24"/>
          <w:lang w:bidi="hi-IN"/>
        </w:rPr>
        <w:t xml:space="preserve"> microangiopathy (TMA) from thrombotic thrombocytopenic </w:t>
      </w:r>
      <w:r w:rsidR="00C610F9" w:rsidRPr="004A26FB">
        <w:rPr>
          <w:rFonts w:ascii="Arial" w:hAnsi="Arial" w:cs="Arial"/>
          <w:kern w:val="0"/>
          <w:sz w:val="24"/>
          <w:szCs w:val="24"/>
          <w:lang w:bidi="hi-IN"/>
        </w:rPr>
        <w:t>purpura (TTP) is</w:t>
      </w:r>
      <w:r w:rsidRPr="004A26FB">
        <w:rPr>
          <w:rFonts w:ascii="Arial" w:hAnsi="Arial" w:cs="Arial"/>
          <w:kern w:val="0"/>
          <w:sz w:val="24"/>
          <w:szCs w:val="24"/>
          <w:lang w:bidi="hi-IN"/>
        </w:rPr>
        <w:t xml:space="preserve"> important in </w:t>
      </w:r>
      <w:r w:rsidR="00C610F9" w:rsidRPr="004A26FB">
        <w:rPr>
          <w:rFonts w:ascii="Arial" w:hAnsi="Arial" w:cs="Arial"/>
          <w:kern w:val="0"/>
          <w:sz w:val="24"/>
          <w:szCs w:val="24"/>
          <w:lang w:bidi="hi-IN"/>
        </w:rPr>
        <w:t>the management</w:t>
      </w:r>
      <w:r w:rsidRPr="004A26FB">
        <w:rPr>
          <w:rFonts w:ascii="Arial" w:hAnsi="Arial" w:cs="Arial"/>
          <w:kern w:val="0"/>
          <w:sz w:val="24"/>
          <w:szCs w:val="24"/>
          <w:lang w:bidi="hi-IN"/>
        </w:rPr>
        <w:t xml:space="preserve"> and prognosis of </w:t>
      </w:r>
      <w:r w:rsidR="00C610F9" w:rsidRPr="004A26FB">
        <w:rPr>
          <w:rFonts w:ascii="Arial" w:hAnsi="Arial" w:cs="Arial"/>
          <w:kern w:val="0"/>
          <w:sz w:val="24"/>
          <w:szCs w:val="24"/>
          <w:lang w:bidi="hi-IN"/>
        </w:rPr>
        <w:t>TMA.</w:t>
      </w:r>
      <w:r w:rsidRPr="004A26FB">
        <w:rPr>
          <w:rFonts w:ascii="Arial" w:hAnsi="Arial" w:cs="Arial"/>
          <w:kern w:val="0"/>
          <w:sz w:val="24"/>
          <w:szCs w:val="24"/>
          <w:lang w:bidi="hi-IN"/>
        </w:rPr>
        <w:t xml:space="preserve"> Several important similarities and differences between malignant hypertension </w:t>
      </w:r>
      <w:r w:rsidR="00C610F9" w:rsidRPr="004A26FB">
        <w:rPr>
          <w:rFonts w:ascii="Arial" w:hAnsi="Arial" w:cs="Arial"/>
          <w:kern w:val="0"/>
          <w:sz w:val="24"/>
          <w:szCs w:val="24"/>
          <w:lang w:bidi="hi-IN"/>
        </w:rPr>
        <w:t>induced TMA</w:t>
      </w:r>
      <w:r w:rsidRPr="004A26FB">
        <w:rPr>
          <w:rFonts w:ascii="Arial" w:hAnsi="Arial" w:cs="Arial"/>
          <w:kern w:val="0"/>
          <w:sz w:val="24"/>
          <w:szCs w:val="24"/>
          <w:lang w:bidi="hi-IN"/>
        </w:rPr>
        <w:t xml:space="preserve"> and TTP. Both TTP and malignant hypertension-induced TMA mostly present with neurological and gastrointestinal symptoms. In malignant hypertension-induced TMA, </w:t>
      </w:r>
      <w:r w:rsidR="00C610F9" w:rsidRPr="004A26FB">
        <w:rPr>
          <w:rFonts w:ascii="Arial" w:hAnsi="Arial" w:cs="Arial"/>
          <w:kern w:val="0"/>
          <w:sz w:val="24"/>
          <w:szCs w:val="24"/>
          <w:lang w:bidi="hi-IN"/>
        </w:rPr>
        <w:t>however, patients</w:t>
      </w:r>
      <w:r w:rsidRPr="004A26FB">
        <w:rPr>
          <w:rFonts w:ascii="Arial" w:hAnsi="Arial" w:cs="Arial"/>
          <w:kern w:val="0"/>
          <w:sz w:val="24"/>
          <w:szCs w:val="24"/>
          <w:lang w:bidi="hi-IN"/>
        </w:rPr>
        <w:t xml:space="preserve"> do not have </w:t>
      </w:r>
      <w:r w:rsidRPr="004A26FB">
        <w:rPr>
          <w:rFonts w:ascii="Arial" w:hAnsi="Arial" w:cs="Arial"/>
          <w:kern w:val="0"/>
          <w:sz w:val="24"/>
          <w:szCs w:val="24"/>
          <w:lang w:bidi="hi-IN"/>
        </w:rPr>
        <w:lastRenderedPageBreak/>
        <w:t xml:space="preserve">fever. Prior history of hypertension and higher mean arterial pressure </w:t>
      </w:r>
      <w:r w:rsidR="00C610F9" w:rsidRPr="004A26FB">
        <w:rPr>
          <w:rFonts w:ascii="Arial" w:hAnsi="Arial" w:cs="Arial"/>
          <w:kern w:val="0"/>
          <w:sz w:val="24"/>
          <w:szCs w:val="24"/>
          <w:lang w:bidi="hi-IN"/>
        </w:rPr>
        <w:t>at presentation</w:t>
      </w:r>
      <w:r w:rsidRPr="004A26FB">
        <w:rPr>
          <w:rFonts w:ascii="Arial" w:hAnsi="Arial" w:cs="Arial"/>
          <w:kern w:val="0"/>
          <w:sz w:val="24"/>
          <w:szCs w:val="24"/>
          <w:lang w:bidi="hi-IN"/>
        </w:rPr>
        <w:t xml:space="preserve"> are possible clues to a diagnosis of malignant hypertension. The greater degree </w:t>
      </w:r>
      <w:r w:rsidR="00C610F9" w:rsidRPr="004A26FB">
        <w:rPr>
          <w:rFonts w:ascii="Arial" w:hAnsi="Arial" w:cs="Arial"/>
          <w:kern w:val="0"/>
          <w:sz w:val="24"/>
          <w:szCs w:val="24"/>
          <w:lang w:bidi="hi-IN"/>
        </w:rPr>
        <w:t>of renal</w:t>
      </w:r>
      <w:r w:rsidRPr="004A26FB">
        <w:rPr>
          <w:rFonts w:ascii="Arial" w:hAnsi="Arial" w:cs="Arial"/>
          <w:kern w:val="0"/>
          <w:sz w:val="24"/>
          <w:szCs w:val="24"/>
          <w:lang w:bidi="hi-IN"/>
        </w:rPr>
        <w:t xml:space="preserve"> impairment at diagnosis, relatively modest thrombocytopenia and lack of </w:t>
      </w:r>
      <w:r w:rsidR="00C610F9" w:rsidRPr="004A26FB">
        <w:rPr>
          <w:rFonts w:ascii="Arial" w:hAnsi="Arial" w:cs="Arial"/>
          <w:kern w:val="0"/>
          <w:sz w:val="24"/>
          <w:szCs w:val="24"/>
          <w:lang w:bidi="hi-IN"/>
        </w:rPr>
        <w:t>severe ADAMTS</w:t>
      </w:r>
      <w:r w:rsidRPr="004A26FB">
        <w:rPr>
          <w:rFonts w:ascii="Arial" w:hAnsi="Arial" w:cs="Arial"/>
          <w:kern w:val="0"/>
          <w:sz w:val="24"/>
          <w:szCs w:val="24"/>
          <w:lang w:bidi="hi-IN"/>
        </w:rPr>
        <w:t xml:space="preserve">-13 deficiency (activity &lt;10%) </w:t>
      </w:r>
      <w:r w:rsidR="00C610F9" w:rsidRPr="004A26FB">
        <w:rPr>
          <w:rFonts w:ascii="Arial" w:hAnsi="Arial" w:cs="Arial"/>
          <w:kern w:val="0"/>
          <w:sz w:val="24"/>
          <w:szCs w:val="24"/>
          <w:lang w:bidi="hi-IN"/>
        </w:rPr>
        <w:t>can further</w:t>
      </w:r>
      <w:r w:rsidRPr="004A26FB">
        <w:rPr>
          <w:rFonts w:ascii="Arial" w:hAnsi="Arial" w:cs="Arial"/>
          <w:kern w:val="0"/>
          <w:sz w:val="24"/>
          <w:szCs w:val="24"/>
          <w:lang w:bidi="hi-IN"/>
        </w:rPr>
        <w:t xml:space="preserve"> differentiate malignant hypertension </w:t>
      </w:r>
      <w:r w:rsidR="00C610F9" w:rsidRPr="004A26FB">
        <w:rPr>
          <w:rFonts w:ascii="Arial" w:hAnsi="Arial" w:cs="Arial"/>
          <w:kern w:val="0"/>
          <w:sz w:val="24"/>
          <w:szCs w:val="24"/>
          <w:lang w:bidi="hi-IN"/>
        </w:rPr>
        <w:t>from TTP</w:t>
      </w:r>
      <w:r w:rsidRPr="004A26FB">
        <w:rPr>
          <w:rFonts w:ascii="Arial" w:hAnsi="Arial" w:cs="Arial"/>
          <w:kern w:val="0"/>
          <w:sz w:val="24"/>
          <w:szCs w:val="24"/>
          <w:lang w:bidi="hi-IN"/>
        </w:rPr>
        <w:t xml:space="preserve">. unlike TTP, </w:t>
      </w:r>
      <w:r w:rsidR="00C610F9" w:rsidRPr="004A26FB">
        <w:rPr>
          <w:rFonts w:ascii="Arial" w:hAnsi="Arial" w:cs="Arial"/>
          <w:kern w:val="0"/>
          <w:sz w:val="24"/>
          <w:szCs w:val="24"/>
          <w:lang w:bidi="hi-IN"/>
        </w:rPr>
        <w:t>patients with</w:t>
      </w:r>
      <w:r w:rsidRPr="004A26FB">
        <w:rPr>
          <w:rFonts w:ascii="Arial" w:hAnsi="Arial" w:cs="Arial"/>
          <w:kern w:val="0"/>
          <w:sz w:val="24"/>
          <w:szCs w:val="24"/>
          <w:lang w:bidi="hi-IN"/>
        </w:rPr>
        <w:t xml:space="preserve"> malignant hypertension respond well to  antihypertensive agents</w:t>
      </w:r>
      <w:r w:rsidR="00C610F9">
        <w:rPr>
          <w:rFonts w:ascii="Arial" w:hAnsi="Arial" w:cs="Arial"/>
          <w:kern w:val="0"/>
          <w:sz w:val="24"/>
          <w:szCs w:val="24"/>
          <w:lang w:bidi="hi-IN"/>
        </w:rPr>
        <w:t xml:space="preserve"> and</w:t>
      </w:r>
      <w:r w:rsidRPr="004A26FB">
        <w:rPr>
          <w:rFonts w:ascii="Arial" w:hAnsi="Arial" w:cs="Arial"/>
          <w:kern w:val="0"/>
          <w:sz w:val="24"/>
          <w:szCs w:val="24"/>
          <w:lang w:bidi="hi-IN"/>
        </w:rPr>
        <w:t xml:space="preserve"> do not require plasma  exchange</w:t>
      </w:r>
      <w:r w:rsidR="00947221">
        <w:rPr>
          <w:rFonts w:ascii="Arial" w:hAnsi="Arial" w:cs="Arial"/>
          <w:kern w:val="0"/>
          <w:sz w:val="24"/>
          <w:szCs w:val="24"/>
          <w:lang w:bidi="hi-IN"/>
        </w:rPr>
        <w:t xml:space="preserve">. </w:t>
      </w:r>
    </w:p>
    <w:p w14:paraId="61CF4DA6" w14:textId="6C292003" w:rsidR="004A26FB" w:rsidRPr="004A26FB" w:rsidRDefault="00947221" w:rsidP="00947221">
      <w:pPr>
        <w:spacing w:line="240" w:lineRule="auto"/>
        <w:jc w:val="both"/>
        <w:rPr>
          <w:rFonts w:ascii="Arial" w:hAnsi="Arial" w:cs="Arial"/>
          <w:kern w:val="0"/>
          <w:sz w:val="24"/>
          <w:szCs w:val="24"/>
          <w:lang w:bidi="hi-IN"/>
        </w:rPr>
      </w:pPr>
      <w:r w:rsidRPr="00947221">
        <w:rPr>
          <w:rFonts w:ascii="Arial" w:hAnsi="Arial" w:cs="Arial"/>
          <w:kern w:val="0"/>
          <w:sz w:val="24"/>
          <w:szCs w:val="24"/>
          <w:lang w:bidi="hi-IN"/>
        </w:rPr>
        <w:t>Severe hypertension (</w:t>
      </w:r>
      <w:proofErr w:type="spellStart"/>
      <w:r w:rsidRPr="00947221">
        <w:rPr>
          <w:rFonts w:ascii="Arial" w:hAnsi="Arial" w:cs="Arial"/>
          <w:kern w:val="0"/>
          <w:sz w:val="24"/>
          <w:szCs w:val="24"/>
          <w:lang w:bidi="hi-IN"/>
        </w:rPr>
        <w:t>eg</w:t>
      </w:r>
      <w:proofErr w:type="spellEnd"/>
      <w:r w:rsidRPr="00947221">
        <w:rPr>
          <w:rFonts w:ascii="Arial" w:hAnsi="Arial" w:cs="Arial"/>
          <w:kern w:val="0"/>
          <w:sz w:val="24"/>
          <w:szCs w:val="24"/>
          <w:lang w:bidi="hi-IN"/>
        </w:rPr>
        <w:t>, systolic blood pressure &gt;220 mm</w:t>
      </w:r>
      <w:r>
        <w:rPr>
          <w:rFonts w:ascii="Arial" w:hAnsi="Arial" w:cs="Arial"/>
          <w:kern w:val="0"/>
          <w:sz w:val="24"/>
          <w:szCs w:val="24"/>
          <w:lang w:bidi="hi-IN"/>
        </w:rPr>
        <w:t xml:space="preserve"> </w:t>
      </w:r>
      <w:r w:rsidRPr="00947221">
        <w:rPr>
          <w:rFonts w:ascii="Arial" w:hAnsi="Arial" w:cs="Arial"/>
          <w:kern w:val="0"/>
          <w:sz w:val="24"/>
          <w:szCs w:val="24"/>
          <w:lang w:bidi="hi-IN"/>
        </w:rPr>
        <w:t>Hg; diastolic blood pressure &gt;100 mm Hg) can cause MAHA and thrombocytopenia.</w:t>
      </w:r>
      <w:r>
        <w:rPr>
          <w:rFonts w:ascii="Arial" w:hAnsi="Arial" w:cs="Arial"/>
          <w:kern w:val="0"/>
          <w:sz w:val="24"/>
          <w:szCs w:val="24"/>
          <w:lang w:bidi="hi-IN"/>
        </w:rPr>
        <w:t xml:space="preserve"> </w:t>
      </w:r>
      <w:r w:rsidRPr="00947221">
        <w:rPr>
          <w:rFonts w:ascii="Arial" w:hAnsi="Arial" w:cs="Arial"/>
          <w:kern w:val="0"/>
          <w:sz w:val="24"/>
          <w:szCs w:val="24"/>
          <w:lang w:bidi="hi-IN"/>
        </w:rPr>
        <w:t>Kidney injury may be present, but sometimes kidney dysfunction is modest or</w:t>
      </w:r>
      <w:r>
        <w:rPr>
          <w:rFonts w:ascii="Arial" w:hAnsi="Arial" w:cs="Arial"/>
          <w:kern w:val="0"/>
          <w:sz w:val="24"/>
          <w:szCs w:val="24"/>
          <w:lang w:bidi="hi-IN"/>
        </w:rPr>
        <w:t xml:space="preserve"> </w:t>
      </w:r>
      <w:r w:rsidRPr="00947221">
        <w:rPr>
          <w:rFonts w:ascii="Arial" w:hAnsi="Arial" w:cs="Arial"/>
          <w:kern w:val="0"/>
          <w:sz w:val="24"/>
          <w:szCs w:val="24"/>
          <w:lang w:bidi="hi-IN"/>
        </w:rPr>
        <w:t>absent. In patients with severe hypertension, control of the blood pressure is the</w:t>
      </w:r>
      <w:r>
        <w:rPr>
          <w:rFonts w:ascii="Arial" w:hAnsi="Arial" w:cs="Arial"/>
          <w:kern w:val="0"/>
          <w:sz w:val="24"/>
          <w:szCs w:val="24"/>
          <w:lang w:bidi="hi-IN"/>
        </w:rPr>
        <w:t xml:space="preserve"> </w:t>
      </w:r>
      <w:r w:rsidRPr="00947221">
        <w:rPr>
          <w:rFonts w:ascii="Arial" w:hAnsi="Arial" w:cs="Arial"/>
          <w:kern w:val="0"/>
          <w:sz w:val="24"/>
          <w:szCs w:val="24"/>
          <w:lang w:val="en-GB" w:bidi="hi-IN"/>
        </w:rPr>
        <w:t xml:space="preserve">most critical initial management and may be the only management </w:t>
      </w:r>
      <w:proofErr w:type="gramStart"/>
      <w:r w:rsidRPr="00947221">
        <w:rPr>
          <w:rFonts w:ascii="Arial" w:hAnsi="Arial" w:cs="Arial"/>
          <w:kern w:val="0"/>
          <w:sz w:val="24"/>
          <w:szCs w:val="24"/>
          <w:lang w:val="en-GB" w:bidi="hi-IN"/>
        </w:rPr>
        <w:t xml:space="preserve">required </w:t>
      </w:r>
      <w:r>
        <w:rPr>
          <w:rFonts w:ascii="Arial" w:hAnsi="Arial" w:cs="Arial"/>
          <w:kern w:val="0"/>
          <w:sz w:val="24"/>
          <w:szCs w:val="24"/>
          <w:lang w:val="en-GB" w:bidi="hi-IN"/>
        </w:rPr>
        <w:t xml:space="preserve"> </w:t>
      </w:r>
      <w:r w:rsidR="004A26FB" w:rsidRPr="004A26FB">
        <w:rPr>
          <w:rFonts w:ascii="Arial" w:hAnsi="Arial" w:cs="Arial"/>
          <w:kern w:val="0"/>
          <w:sz w:val="24"/>
          <w:szCs w:val="24"/>
          <w:lang w:val="en-GB" w:bidi="hi-IN"/>
        </w:rPr>
        <w:t>If</w:t>
      </w:r>
      <w:proofErr w:type="gramEnd"/>
      <w:r w:rsidR="004A26FB" w:rsidRPr="004A26FB">
        <w:rPr>
          <w:rFonts w:ascii="Arial" w:hAnsi="Arial" w:cs="Arial"/>
          <w:kern w:val="0"/>
          <w:sz w:val="24"/>
          <w:szCs w:val="24"/>
          <w:lang w:val="en-GB" w:bidi="hi-IN"/>
        </w:rPr>
        <w:t xml:space="preserve"> possible, it is important to clarify the temporal relationship between the hematologic abnormalities and the hypertension. However, patients with severe kidney dysfunction rarely have TTP, so the urgency of plasma exchange in this</w:t>
      </w:r>
      <w:r w:rsidR="004A26FB">
        <w:rPr>
          <w:rFonts w:ascii="Arial" w:hAnsi="Arial" w:cs="Arial"/>
          <w:kern w:val="0"/>
          <w:sz w:val="24"/>
          <w:szCs w:val="24"/>
          <w:lang w:val="en-GB" w:bidi="hi-IN"/>
        </w:rPr>
        <w:t xml:space="preserve"> </w:t>
      </w:r>
      <w:r w:rsidR="004A26FB" w:rsidRPr="004A26FB">
        <w:rPr>
          <w:rFonts w:ascii="Arial" w:hAnsi="Arial" w:cs="Arial"/>
          <w:kern w:val="0"/>
          <w:sz w:val="24"/>
          <w:szCs w:val="24"/>
          <w:lang w:bidi="hi-IN"/>
        </w:rPr>
        <w:t>setting is less critical.</w:t>
      </w:r>
      <w:r w:rsidR="004A26FB" w:rsidRPr="004A26FB">
        <w:rPr>
          <w:rFonts w:ascii="Arial" w:hAnsi="Arial" w:cs="Arial"/>
          <w:kern w:val="0"/>
          <w:sz w:val="24"/>
          <w:szCs w:val="24"/>
          <w:vertAlign w:val="superscript"/>
          <w:lang w:bidi="hi-IN"/>
        </w:rPr>
        <w:t xml:space="preserve"> 5</w:t>
      </w:r>
    </w:p>
    <w:p w14:paraId="48E12794" w14:textId="68E2B744" w:rsidR="00095E25" w:rsidRDefault="00095E25" w:rsidP="004A26FB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bidi="hi-IN"/>
        </w:rPr>
      </w:pPr>
    </w:p>
    <w:p w14:paraId="525F5272" w14:textId="77777777" w:rsidR="004A26FB" w:rsidRDefault="004A26FB" w:rsidP="004A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bidi="hi-IN"/>
        </w:rPr>
      </w:pPr>
    </w:p>
    <w:p w14:paraId="247DB9FF" w14:textId="77777777" w:rsidR="004A26FB" w:rsidRDefault="004A26FB" w:rsidP="004A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bidi="hi-IN"/>
        </w:rPr>
      </w:pPr>
    </w:p>
    <w:p w14:paraId="0F8B142D" w14:textId="1C2CE319" w:rsidR="004A26FB" w:rsidRPr="00172DC8" w:rsidRDefault="004A26FB" w:rsidP="004A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  <w:lang w:bidi="hi-IN"/>
        </w:rPr>
        <w:t xml:space="preserve">References: </w:t>
      </w:r>
    </w:p>
    <w:p w14:paraId="3318D166" w14:textId="77777777" w:rsidR="00095E25" w:rsidRPr="00172DC8" w:rsidRDefault="00095E25" w:rsidP="00A75B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DDF124" w14:textId="2356A7AE" w:rsidR="00095E25" w:rsidRDefault="00095E25" w:rsidP="004A26F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2DC8">
        <w:rPr>
          <w:rFonts w:ascii="Arial" w:hAnsi="Arial" w:cs="Arial"/>
          <w:sz w:val="24"/>
          <w:szCs w:val="24"/>
        </w:rPr>
        <w:t>George JN, Nester CM. Syndromes of thrombotic microangiopathy. N Engl J Med 2014;371:654</w:t>
      </w:r>
      <w:r w:rsidR="00C81A12">
        <w:rPr>
          <w:rFonts w:ascii="Arial" w:hAnsi="Arial" w:cs="Arial"/>
          <w:sz w:val="24"/>
          <w:szCs w:val="24"/>
        </w:rPr>
        <w:t>-66</w:t>
      </w:r>
    </w:p>
    <w:p w14:paraId="6DBE1940" w14:textId="1E300E24" w:rsidR="00172DC8" w:rsidRPr="004A26FB" w:rsidRDefault="00172DC8" w:rsidP="004A26F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6FB">
        <w:rPr>
          <w:rFonts w:ascii="Arial" w:hAnsi="Arial" w:cs="Arial"/>
          <w:sz w:val="24"/>
          <w:szCs w:val="24"/>
        </w:rPr>
        <w:t xml:space="preserve">Kim YJ. A new pathological perspective on thrombotic microangiopathy. Kidney Res </w:t>
      </w:r>
      <w:proofErr w:type="spellStart"/>
      <w:r w:rsidRPr="004A26FB">
        <w:rPr>
          <w:rFonts w:ascii="Arial" w:hAnsi="Arial" w:cs="Arial"/>
          <w:sz w:val="24"/>
          <w:szCs w:val="24"/>
        </w:rPr>
        <w:t>Clin</w:t>
      </w:r>
      <w:proofErr w:type="spellEnd"/>
      <w:r w:rsidRPr="004A2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6FB">
        <w:rPr>
          <w:rFonts w:ascii="Arial" w:hAnsi="Arial" w:cs="Arial"/>
          <w:sz w:val="24"/>
          <w:szCs w:val="24"/>
        </w:rPr>
        <w:t>Pract</w:t>
      </w:r>
      <w:proofErr w:type="spellEnd"/>
      <w:r w:rsidRPr="004A26FB">
        <w:rPr>
          <w:rFonts w:ascii="Arial" w:hAnsi="Arial" w:cs="Arial"/>
          <w:sz w:val="24"/>
          <w:szCs w:val="24"/>
        </w:rPr>
        <w:t xml:space="preserve"> 2022;41:524</w:t>
      </w:r>
      <w:r w:rsidR="00C81A12">
        <w:rPr>
          <w:rFonts w:ascii="Arial" w:hAnsi="Arial" w:cs="Arial"/>
          <w:sz w:val="24"/>
          <w:szCs w:val="24"/>
        </w:rPr>
        <w:t>-</w:t>
      </w:r>
      <w:r w:rsidRPr="004A26FB">
        <w:rPr>
          <w:rFonts w:ascii="Arial" w:hAnsi="Arial" w:cs="Arial"/>
          <w:sz w:val="24"/>
          <w:szCs w:val="24"/>
        </w:rPr>
        <w:t>32</w:t>
      </w:r>
    </w:p>
    <w:p w14:paraId="07DAA724" w14:textId="0DB4F95E" w:rsidR="004A26FB" w:rsidRPr="004A26FB" w:rsidRDefault="004A26FB" w:rsidP="004A26F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6FB">
        <w:rPr>
          <w:rFonts w:ascii="Arial" w:hAnsi="Arial" w:cs="Arial"/>
          <w:sz w:val="24"/>
          <w:szCs w:val="24"/>
        </w:rPr>
        <w:t xml:space="preserve">Kant S. Kidney Biopsy of the Month: Thrombotic Microangiopathy [Internet]. Renal Fellow Network. 2020 [cited 2023 Mar 20]. Available from: </w:t>
      </w:r>
      <w:r w:rsidR="00947221" w:rsidRPr="00947221">
        <w:t xml:space="preserve"> </w:t>
      </w:r>
      <w:r w:rsidR="00947221" w:rsidRPr="00947221">
        <w:rPr>
          <w:rFonts w:ascii="Arial" w:hAnsi="Arial" w:cs="Arial"/>
          <w:sz w:val="24"/>
          <w:szCs w:val="24"/>
        </w:rPr>
        <w:t>https://www.renalfellow.org/2020/10/02/kidney-biopsy-of-the-month-thrombotic-microngiopathy/</w:t>
      </w:r>
    </w:p>
    <w:p w14:paraId="43429E42" w14:textId="74455196" w:rsidR="00172DC8" w:rsidRPr="00172DC8" w:rsidRDefault="00172DC8" w:rsidP="004A26F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6FB">
        <w:rPr>
          <w:rFonts w:ascii="Arial" w:hAnsi="Arial" w:cs="Arial"/>
          <w:sz w:val="24"/>
          <w:szCs w:val="24"/>
        </w:rPr>
        <w:t xml:space="preserve">Manickam N, Agrawal V, Prasad P, Jain M, Prasad N. </w:t>
      </w:r>
      <w:proofErr w:type="spellStart"/>
      <w:r w:rsidRPr="004A26FB">
        <w:rPr>
          <w:rFonts w:ascii="Arial" w:hAnsi="Arial" w:cs="Arial"/>
          <w:sz w:val="24"/>
          <w:szCs w:val="24"/>
        </w:rPr>
        <w:t>Clinico</w:t>
      </w:r>
      <w:proofErr w:type="spellEnd"/>
      <w:r w:rsidRPr="004A26FB">
        <w:rPr>
          <w:rFonts w:ascii="Arial" w:hAnsi="Arial" w:cs="Arial"/>
          <w:sz w:val="24"/>
          <w:szCs w:val="24"/>
        </w:rPr>
        <w:t xml:space="preserve">-Histological Features of Thrombotic Microangiopathy in Renal Biopsies: A Retrospective Study. Turk </w:t>
      </w:r>
      <w:proofErr w:type="spellStart"/>
      <w:r w:rsidRPr="004A26FB">
        <w:rPr>
          <w:rFonts w:ascii="Arial" w:hAnsi="Arial" w:cs="Arial"/>
          <w:sz w:val="24"/>
          <w:szCs w:val="24"/>
        </w:rPr>
        <w:t>Patoloji</w:t>
      </w:r>
      <w:proofErr w:type="spellEnd"/>
      <w:r w:rsidRPr="004A2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6FB">
        <w:rPr>
          <w:rFonts w:ascii="Arial" w:hAnsi="Arial" w:cs="Arial"/>
          <w:sz w:val="24"/>
          <w:szCs w:val="24"/>
        </w:rPr>
        <w:t>Derg</w:t>
      </w:r>
      <w:proofErr w:type="spellEnd"/>
      <w:r w:rsidRPr="004A26FB">
        <w:rPr>
          <w:rFonts w:ascii="Arial" w:hAnsi="Arial" w:cs="Arial"/>
          <w:sz w:val="24"/>
          <w:szCs w:val="24"/>
        </w:rPr>
        <w:t>. 2022;38:1</w:t>
      </w:r>
      <w:r w:rsidR="00C81A12">
        <w:rPr>
          <w:rFonts w:ascii="Arial" w:hAnsi="Arial" w:cs="Arial"/>
          <w:sz w:val="24"/>
          <w:szCs w:val="24"/>
        </w:rPr>
        <w:t>-</w:t>
      </w:r>
      <w:r w:rsidRPr="004A26FB">
        <w:rPr>
          <w:rFonts w:ascii="Arial" w:hAnsi="Arial" w:cs="Arial"/>
          <w:sz w:val="24"/>
          <w:szCs w:val="24"/>
        </w:rPr>
        <w:t>8</w:t>
      </w:r>
    </w:p>
    <w:p w14:paraId="2A3827D8" w14:textId="794C604F" w:rsidR="00D05EEB" w:rsidRPr="00D05EEB" w:rsidRDefault="00D05EEB" w:rsidP="00D05EEB">
      <w:pPr>
        <w:spacing w:after="0" w:line="216" w:lineRule="auto"/>
        <w:ind w:left="360"/>
        <w:rPr>
          <w:rFonts w:ascii="Times New Roman" w:eastAsia="Times New Roman" w:hAnsi="Times New Roman" w:cs="Times New Roman"/>
          <w:kern w:val="0"/>
          <w:sz w:val="56"/>
          <w:szCs w:val="24"/>
          <w:lang w:eastAsia="en-IN"/>
          <w14:ligatures w14:val="none"/>
        </w:rPr>
      </w:pPr>
      <w:proofErr w:type="gramStart"/>
      <w:r w:rsidRPr="00D05EEB">
        <w:rPr>
          <w:rFonts w:ascii="Arial" w:hAnsi="Arial" w:cs="Arial"/>
          <w:sz w:val="24"/>
          <w:szCs w:val="24"/>
        </w:rPr>
        <w:t>5.</w:t>
      </w:r>
      <w:r w:rsidR="00095E25" w:rsidRPr="00D05EEB">
        <w:rPr>
          <w:rFonts w:ascii="Arial" w:hAnsi="Arial" w:cs="Arial"/>
          <w:sz w:val="24"/>
          <w:szCs w:val="24"/>
        </w:rPr>
        <w:t>Khanal</w:t>
      </w:r>
      <w:proofErr w:type="gramEnd"/>
      <w:r w:rsidR="00383C0A" w:rsidRPr="00D05EEB">
        <w:rPr>
          <w:rFonts w:ascii="Arial" w:hAnsi="Arial" w:cs="Arial"/>
          <w:sz w:val="24"/>
          <w:szCs w:val="24"/>
        </w:rPr>
        <w:t xml:space="preserve"> N</w:t>
      </w:r>
      <w:r w:rsidR="00095E25" w:rsidRPr="00D05EE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95E25" w:rsidRPr="00D05EEB">
        <w:rPr>
          <w:rFonts w:ascii="Arial" w:hAnsi="Arial" w:cs="Arial"/>
          <w:sz w:val="24"/>
          <w:szCs w:val="24"/>
        </w:rPr>
        <w:t>Dahal</w:t>
      </w:r>
      <w:proofErr w:type="spellEnd"/>
      <w:r w:rsidR="00383C0A" w:rsidRPr="00D05EEB">
        <w:rPr>
          <w:rFonts w:ascii="Arial" w:hAnsi="Arial" w:cs="Arial"/>
          <w:sz w:val="24"/>
          <w:szCs w:val="24"/>
        </w:rPr>
        <w:t xml:space="preserve"> S</w:t>
      </w:r>
      <w:r w:rsidR="00095E25" w:rsidRPr="00D05EEB">
        <w:rPr>
          <w:rFonts w:ascii="Arial" w:hAnsi="Arial" w:cs="Arial"/>
          <w:sz w:val="24"/>
          <w:szCs w:val="24"/>
        </w:rPr>
        <w:t>, Upadhyay</w:t>
      </w:r>
      <w:r w:rsidR="00383C0A" w:rsidRPr="00D05EEB">
        <w:rPr>
          <w:rFonts w:ascii="Arial" w:hAnsi="Arial" w:cs="Arial"/>
          <w:sz w:val="24"/>
          <w:szCs w:val="24"/>
        </w:rPr>
        <w:t xml:space="preserve"> S</w:t>
      </w:r>
      <w:r w:rsidR="00095E25" w:rsidRPr="00D05EEB">
        <w:rPr>
          <w:rFonts w:ascii="Arial" w:hAnsi="Arial" w:cs="Arial"/>
          <w:sz w:val="24"/>
          <w:szCs w:val="24"/>
        </w:rPr>
        <w:t>, Bhatt</w:t>
      </w:r>
      <w:r w:rsidR="00383C0A" w:rsidRPr="00D05EEB">
        <w:rPr>
          <w:rFonts w:ascii="Arial" w:hAnsi="Arial" w:cs="Arial"/>
          <w:sz w:val="24"/>
          <w:szCs w:val="24"/>
        </w:rPr>
        <w:t xml:space="preserve"> VR</w:t>
      </w:r>
      <w:r w:rsidR="00095E25" w:rsidRPr="00D05EEB">
        <w:rPr>
          <w:rFonts w:ascii="Arial" w:hAnsi="Arial" w:cs="Arial"/>
          <w:sz w:val="24"/>
          <w:szCs w:val="24"/>
        </w:rPr>
        <w:t xml:space="preserve"> and Bierman</w:t>
      </w:r>
      <w:r w:rsidR="00383C0A" w:rsidRPr="00D05EEB">
        <w:rPr>
          <w:rFonts w:ascii="Arial" w:hAnsi="Arial" w:cs="Arial"/>
          <w:sz w:val="24"/>
          <w:szCs w:val="24"/>
        </w:rPr>
        <w:t xml:space="preserve"> PJ. </w:t>
      </w:r>
      <w:r w:rsidR="00095E25" w:rsidRPr="00D05EEB">
        <w:rPr>
          <w:rFonts w:ascii="Arial" w:hAnsi="Arial" w:cs="Arial"/>
          <w:sz w:val="24"/>
          <w:szCs w:val="24"/>
        </w:rPr>
        <w:t xml:space="preserve"> Differentiating </w:t>
      </w:r>
      <w:r>
        <w:rPr>
          <w:rFonts w:ascii="Arial" w:hAnsi="Arial" w:cs="Arial"/>
          <w:sz w:val="24"/>
          <w:szCs w:val="24"/>
        </w:rPr>
        <w:t xml:space="preserve">    </w:t>
      </w:r>
      <w:r w:rsidR="00095E25" w:rsidRPr="00D05EEB">
        <w:rPr>
          <w:rFonts w:ascii="Arial" w:hAnsi="Arial" w:cs="Arial"/>
          <w:sz w:val="24"/>
          <w:szCs w:val="24"/>
        </w:rPr>
        <w:t>malignant hypertension</w:t>
      </w:r>
      <w:r w:rsidR="00383C0A" w:rsidRPr="00D05EEB">
        <w:rPr>
          <w:rFonts w:ascii="Arial" w:hAnsi="Arial" w:cs="Arial"/>
          <w:sz w:val="24"/>
          <w:szCs w:val="24"/>
        </w:rPr>
        <w:t xml:space="preserve"> </w:t>
      </w:r>
      <w:r w:rsidR="00095E25" w:rsidRPr="00D05EEB">
        <w:rPr>
          <w:rFonts w:ascii="Arial" w:hAnsi="Arial" w:cs="Arial"/>
          <w:sz w:val="24"/>
          <w:szCs w:val="24"/>
        </w:rPr>
        <w:t xml:space="preserve">induced thrombotic </w:t>
      </w:r>
      <w:proofErr w:type="spellStart"/>
      <w:r w:rsidRPr="00D05EEB">
        <w:rPr>
          <w:rFonts w:ascii="Arial" w:hAnsi="Arial" w:cs="Arial"/>
          <w:sz w:val="24"/>
          <w:szCs w:val="24"/>
        </w:rPr>
        <w:t>microangiopathy</w:t>
      </w:r>
      <w:proofErr w:type="spellEnd"/>
      <w:r w:rsidRPr="00D05EEB">
        <w:rPr>
          <w:rFonts w:ascii="Arial" w:hAnsi="Arial" w:cs="Arial"/>
          <w:sz w:val="24"/>
          <w:szCs w:val="24"/>
        </w:rPr>
        <w:t xml:space="preserve"> from thrombotic</w:t>
      </w:r>
    </w:p>
    <w:p w14:paraId="37AC5A50" w14:textId="4A1165EA" w:rsidR="00095E25" w:rsidRDefault="00095E25" w:rsidP="00D05EEB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72DC8">
        <w:rPr>
          <w:rFonts w:ascii="Arial" w:hAnsi="Arial" w:cs="Arial"/>
          <w:sz w:val="24"/>
          <w:szCs w:val="24"/>
        </w:rPr>
        <w:t>thrombocytopenic</w:t>
      </w:r>
      <w:proofErr w:type="gramEnd"/>
      <w:r w:rsidRPr="00172DC8">
        <w:rPr>
          <w:rFonts w:ascii="Arial" w:hAnsi="Arial" w:cs="Arial"/>
          <w:sz w:val="24"/>
          <w:szCs w:val="24"/>
        </w:rPr>
        <w:t xml:space="preserve"> purpura. </w:t>
      </w:r>
      <w:proofErr w:type="spellStart"/>
      <w:r w:rsidRPr="00172DC8">
        <w:rPr>
          <w:rFonts w:ascii="Arial" w:hAnsi="Arial" w:cs="Arial"/>
          <w:sz w:val="24"/>
          <w:szCs w:val="24"/>
        </w:rPr>
        <w:t>Ther</w:t>
      </w:r>
      <w:proofErr w:type="spellEnd"/>
      <w:r w:rsidRPr="00172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DC8">
        <w:rPr>
          <w:rFonts w:ascii="Arial" w:hAnsi="Arial" w:cs="Arial"/>
          <w:sz w:val="24"/>
          <w:szCs w:val="24"/>
        </w:rPr>
        <w:t>Adv</w:t>
      </w:r>
      <w:proofErr w:type="spellEnd"/>
      <w:r w:rsidRPr="00172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DC8">
        <w:rPr>
          <w:rFonts w:ascii="Arial" w:hAnsi="Arial" w:cs="Arial"/>
          <w:sz w:val="24"/>
          <w:szCs w:val="24"/>
        </w:rPr>
        <w:t>Hematol</w:t>
      </w:r>
      <w:proofErr w:type="spellEnd"/>
      <w:r w:rsidR="00383C0A" w:rsidRPr="00172DC8">
        <w:rPr>
          <w:rFonts w:ascii="Arial" w:hAnsi="Arial" w:cs="Arial"/>
          <w:sz w:val="24"/>
          <w:szCs w:val="24"/>
        </w:rPr>
        <w:t xml:space="preserve"> </w:t>
      </w:r>
      <w:r w:rsidRPr="00172DC8">
        <w:rPr>
          <w:rFonts w:ascii="Arial" w:hAnsi="Arial" w:cs="Arial"/>
          <w:sz w:val="24"/>
          <w:szCs w:val="24"/>
        </w:rPr>
        <w:t>2015</w:t>
      </w:r>
      <w:proofErr w:type="gramStart"/>
      <w:r w:rsidRPr="00172DC8">
        <w:rPr>
          <w:rFonts w:ascii="Arial" w:hAnsi="Arial" w:cs="Arial"/>
          <w:sz w:val="24"/>
          <w:szCs w:val="24"/>
        </w:rPr>
        <w:t>,6:97</w:t>
      </w:r>
      <w:proofErr w:type="gramEnd"/>
      <w:r w:rsidR="00C81A12">
        <w:rPr>
          <w:rFonts w:ascii="Arial" w:hAnsi="Arial" w:cs="Arial"/>
          <w:sz w:val="24"/>
          <w:szCs w:val="24"/>
        </w:rPr>
        <w:t>-1</w:t>
      </w:r>
      <w:r w:rsidRPr="00172DC8">
        <w:rPr>
          <w:rFonts w:ascii="Arial" w:hAnsi="Arial" w:cs="Arial"/>
          <w:sz w:val="24"/>
          <w:szCs w:val="24"/>
        </w:rPr>
        <w:t>02</w:t>
      </w:r>
    </w:p>
    <w:p w14:paraId="67485EC1" w14:textId="77777777" w:rsidR="00D05EEB" w:rsidRDefault="00D05EEB" w:rsidP="00D05EEB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680E1E" w14:textId="77777777" w:rsidR="00D05EEB" w:rsidRDefault="00D05EEB" w:rsidP="00D05EEB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F28657" w14:textId="7428DB2B" w:rsidR="00D05EEB" w:rsidRPr="00D12F88" w:rsidRDefault="00D12F88" w:rsidP="00D05EEB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D12F88">
        <w:rPr>
          <w:rFonts w:ascii="Arial" w:hAnsi="Arial" w:cs="Arial"/>
          <w:b/>
          <w:sz w:val="24"/>
          <w:szCs w:val="24"/>
        </w:rPr>
        <w:t xml:space="preserve">Answers to Questions: </w:t>
      </w:r>
    </w:p>
    <w:bookmarkEnd w:id="0"/>
    <w:p w14:paraId="6B189198" w14:textId="77777777" w:rsidR="00D05EEB" w:rsidRDefault="00D05EEB" w:rsidP="00D05EEB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C8BA68" w14:textId="0406B12E" w:rsidR="00000000" w:rsidRPr="00D05EEB" w:rsidRDefault="00D12F88" w:rsidP="00D05EEB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5EEB">
        <w:rPr>
          <w:rFonts w:ascii="Arial" w:hAnsi="Arial" w:cs="Arial"/>
          <w:b/>
          <w:sz w:val="24"/>
          <w:szCs w:val="24"/>
          <w:lang w:val="en-GB"/>
        </w:rPr>
        <w:t>Diagnosis?</w:t>
      </w:r>
      <w:r w:rsidR="00D05EEB">
        <w:rPr>
          <w:rFonts w:ascii="Arial" w:hAnsi="Arial" w:cs="Arial"/>
          <w:sz w:val="24"/>
          <w:szCs w:val="24"/>
          <w:lang w:val="en-GB"/>
        </w:rPr>
        <w:t>: : TMA</w:t>
      </w:r>
    </w:p>
    <w:p w14:paraId="31A405BE" w14:textId="1DAD6660" w:rsidR="00000000" w:rsidRPr="00D05EEB" w:rsidRDefault="00D12F88" w:rsidP="00D05EEB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5EEB">
        <w:rPr>
          <w:rFonts w:ascii="Arial" w:hAnsi="Arial" w:cs="Arial"/>
          <w:b/>
          <w:sz w:val="24"/>
          <w:szCs w:val="24"/>
          <w:lang w:val="en-GB"/>
        </w:rPr>
        <w:t>Probabl</w:t>
      </w:r>
      <w:r w:rsidRPr="00D05EEB">
        <w:rPr>
          <w:rFonts w:ascii="Arial" w:hAnsi="Arial" w:cs="Arial"/>
          <w:b/>
          <w:sz w:val="24"/>
          <w:szCs w:val="24"/>
          <w:lang w:val="en-GB"/>
        </w:rPr>
        <w:t>e aetiology ?</w:t>
      </w:r>
      <w:r w:rsidR="00D05EEB" w:rsidRPr="00D05EEB">
        <w:rPr>
          <w:rFonts w:ascii="Arial" w:hAnsi="Arial" w:cs="Arial"/>
          <w:b/>
          <w:sz w:val="24"/>
          <w:szCs w:val="24"/>
          <w:lang w:val="en-GB"/>
        </w:rPr>
        <w:t>:</w:t>
      </w:r>
      <w:r w:rsidR="00D05EE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05EEB">
        <w:rPr>
          <w:rFonts w:ascii="Arial" w:hAnsi="Arial" w:cs="Arial"/>
          <w:sz w:val="24"/>
          <w:szCs w:val="24"/>
          <w:lang w:val="en-GB"/>
        </w:rPr>
        <w:t>Accelaerated</w:t>
      </w:r>
      <w:proofErr w:type="spellEnd"/>
      <w:r w:rsidR="00D05EEB">
        <w:rPr>
          <w:rFonts w:ascii="Arial" w:hAnsi="Arial" w:cs="Arial"/>
          <w:sz w:val="24"/>
          <w:szCs w:val="24"/>
          <w:lang w:val="en-GB"/>
        </w:rPr>
        <w:t xml:space="preserve"> Hypertension induced TMA</w:t>
      </w:r>
    </w:p>
    <w:p w14:paraId="7C7D1B78" w14:textId="6769EB4D" w:rsidR="00000000" w:rsidRPr="00D05EEB" w:rsidRDefault="00D12F88" w:rsidP="00D05EEB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5EEB">
        <w:rPr>
          <w:rFonts w:ascii="Arial" w:hAnsi="Arial" w:cs="Arial"/>
          <w:b/>
          <w:sz w:val="24"/>
          <w:szCs w:val="24"/>
          <w:lang w:val="en-GB"/>
        </w:rPr>
        <w:t>Further diagnostic workup</w:t>
      </w:r>
      <w:proofErr w:type="gramStart"/>
      <w:r w:rsidRPr="00D05EEB">
        <w:rPr>
          <w:rFonts w:ascii="Arial" w:hAnsi="Arial" w:cs="Arial"/>
          <w:b/>
          <w:sz w:val="24"/>
          <w:szCs w:val="24"/>
          <w:lang w:val="en-GB"/>
        </w:rPr>
        <w:t>?</w:t>
      </w:r>
      <w:r w:rsidR="00D05EEB" w:rsidRPr="00D05EEB">
        <w:rPr>
          <w:rFonts w:ascii="Arial" w:hAnsi="Arial" w:cs="Arial"/>
          <w:b/>
          <w:sz w:val="24"/>
          <w:szCs w:val="24"/>
          <w:lang w:val="en-GB"/>
        </w:rPr>
        <w:t>:</w:t>
      </w:r>
      <w:proofErr w:type="gramEnd"/>
      <w:r w:rsidR="00D05EEB">
        <w:rPr>
          <w:rFonts w:ascii="Arial" w:hAnsi="Arial" w:cs="Arial"/>
          <w:sz w:val="24"/>
          <w:szCs w:val="24"/>
          <w:lang w:val="en-GB"/>
        </w:rPr>
        <w:t xml:space="preserve"> As mentioned in above . Aim of further work-up would be rule out other possible causes – atypical HUS &amp; TTP as there are management implications. </w:t>
      </w:r>
    </w:p>
    <w:p w14:paraId="289653D4" w14:textId="792AE836" w:rsidR="00D05EEB" w:rsidRPr="00D05EEB" w:rsidRDefault="00D12F88" w:rsidP="00D05EE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05EEB">
        <w:rPr>
          <w:rFonts w:ascii="Arial" w:hAnsi="Arial" w:cs="Arial"/>
          <w:b/>
          <w:sz w:val="24"/>
          <w:szCs w:val="24"/>
          <w:lang w:val="en-GB"/>
        </w:rPr>
        <w:t>Management ?</w:t>
      </w:r>
      <w:proofErr w:type="gramEnd"/>
      <w:r w:rsidRPr="00D05EEB">
        <w:rPr>
          <w:rFonts w:ascii="Arial" w:hAnsi="Arial" w:cs="Arial"/>
          <w:sz w:val="24"/>
          <w:szCs w:val="24"/>
          <w:lang w:val="en-GB"/>
        </w:rPr>
        <w:t xml:space="preserve"> </w:t>
      </w:r>
      <w:r w:rsidR="00D05EEB" w:rsidRPr="00D05EEB">
        <w:rPr>
          <w:rFonts w:ascii="Arial" w:hAnsi="Arial" w:cs="Arial"/>
          <w:sz w:val="24"/>
          <w:szCs w:val="24"/>
          <w:lang w:val="en-GB"/>
        </w:rPr>
        <w:t xml:space="preserve">: In this case control of HT is important and as emphasized may be the only management required with no requirement for plasma exchange {PLEX]. In contrast in other TMA situations, PLEX is performed as it removes </w:t>
      </w:r>
      <w:proofErr w:type="spellStart"/>
      <w:r w:rsidR="00D05EEB" w:rsidRPr="00D05EEB">
        <w:rPr>
          <w:rFonts w:ascii="Arial" w:hAnsi="Arial" w:cs="Arial"/>
          <w:sz w:val="24"/>
          <w:szCs w:val="24"/>
          <w:lang w:val="en-GB"/>
        </w:rPr>
        <w:t>thrombogenic</w:t>
      </w:r>
      <w:proofErr w:type="spellEnd"/>
      <w:r w:rsidR="00D05EEB" w:rsidRPr="00D05EEB">
        <w:rPr>
          <w:rFonts w:ascii="Arial" w:hAnsi="Arial" w:cs="Arial"/>
          <w:sz w:val="24"/>
          <w:szCs w:val="24"/>
          <w:lang w:val="en-GB"/>
        </w:rPr>
        <w:t xml:space="preserve"> substances that have triggered the TMA &amp; provid</w:t>
      </w:r>
      <w:r w:rsidR="00D05EEB">
        <w:rPr>
          <w:rFonts w:ascii="Arial" w:hAnsi="Arial" w:cs="Arial"/>
          <w:sz w:val="24"/>
          <w:szCs w:val="24"/>
          <w:lang w:val="en-GB"/>
        </w:rPr>
        <w:t xml:space="preserve">es the anti-coagulants &amp; </w:t>
      </w:r>
      <w:proofErr w:type="spellStart"/>
      <w:r w:rsidR="00D05EEB">
        <w:rPr>
          <w:rFonts w:ascii="Arial" w:hAnsi="Arial" w:cs="Arial"/>
          <w:sz w:val="24"/>
          <w:szCs w:val="24"/>
          <w:lang w:val="en-GB"/>
        </w:rPr>
        <w:t>fibrin</w:t>
      </w:r>
      <w:r w:rsidR="00D05EEB" w:rsidRPr="00D05EEB">
        <w:rPr>
          <w:rFonts w:ascii="Arial" w:hAnsi="Arial" w:cs="Arial"/>
          <w:sz w:val="24"/>
          <w:szCs w:val="24"/>
          <w:lang w:val="en-GB"/>
        </w:rPr>
        <w:t>olytics</w:t>
      </w:r>
      <w:proofErr w:type="spellEnd"/>
      <w:r w:rsidR="00D05EEB" w:rsidRPr="00D05EEB">
        <w:rPr>
          <w:rFonts w:ascii="Arial" w:hAnsi="Arial" w:cs="Arial"/>
          <w:sz w:val="24"/>
          <w:szCs w:val="24"/>
          <w:lang w:val="en-GB"/>
        </w:rPr>
        <w:t xml:space="preserve"> to achieve </w:t>
      </w:r>
      <w:proofErr w:type="spellStart"/>
      <w:r w:rsidR="00D05EEB" w:rsidRPr="00D05EEB">
        <w:rPr>
          <w:rFonts w:ascii="Arial" w:hAnsi="Arial" w:cs="Arial"/>
          <w:sz w:val="24"/>
          <w:szCs w:val="24"/>
          <w:lang w:val="en-GB"/>
        </w:rPr>
        <w:t>hemostatic</w:t>
      </w:r>
      <w:proofErr w:type="spellEnd"/>
      <w:r w:rsidR="00D05EEB" w:rsidRPr="00D05EEB">
        <w:rPr>
          <w:rFonts w:ascii="Arial" w:hAnsi="Arial" w:cs="Arial"/>
          <w:sz w:val="24"/>
          <w:szCs w:val="24"/>
          <w:lang w:val="en-GB"/>
        </w:rPr>
        <w:t xml:space="preserve"> balance</w:t>
      </w:r>
      <w:r w:rsidR="00D05EEB">
        <w:rPr>
          <w:rFonts w:ascii="Arial" w:hAnsi="Arial" w:cs="Arial"/>
          <w:sz w:val="24"/>
          <w:szCs w:val="24"/>
          <w:lang w:val="en-GB"/>
        </w:rPr>
        <w:t>.</w:t>
      </w:r>
      <w:r w:rsidR="00D05EEB" w:rsidRPr="00D05EEB">
        <w:rPr>
          <w:rFonts w:ascii="Arial" w:hAnsi="Arial" w:cs="Arial"/>
          <w:sz w:val="24"/>
          <w:szCs w:val="24"/>
          <w:lang w:val="en-GB"/>
        </w:rPr>
        <w:t xml:space="preserve"> </w:t>
      </w:r>
    </w:p>
    <w:sectPr w:rsidR="00D05EEB" w:rsidRPr="00D05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1806"/>
    <w:multiLevelType w:val="hybridMultilevel"/>
    <w:tmpl w:val="97308068"/>
    <w:lvl w:ilvl="0" w:tplc="BA82A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01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60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C03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ED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625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D2F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4F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28C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9673B7"/>
    <w:multiLevelType w:val="hybridMultilevel"/>
    <w:tmpl w:val="2EAA8D72"/>
    <w:lvl w:ilvl="0" w:tplc="BBF2C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60E4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D4A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E0E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9C7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8F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4F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A6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481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FE68B2"/>
    <w:multiLevelType w:val="hybridMultilevel"/>
    <w:tmpl w:val="88361D6A"/>
    <w:lvl w:ilvl="0" w:tplc="E3446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041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28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40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29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4C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4A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B47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A1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163BA0"/>
    <w:multiLevelType w:val="hybridMultilevel"/>
    <w:tmpl w:val="56DA6B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238EB"/>
    <w:multiLevelType w:val="hybridMultilevel"/>
    <w:tmpl w:val="17824D9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2009C1"/>
    <w:multiLevelType w:val="hybridMultilevel"/>
    <w:tmpl w:val="CF0ED1F4"/>
    <w:lvl w:ilvl="0" w:tplc="F4A87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F42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F21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D0A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305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6A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60D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69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83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DCC2C1E"/>
    <w:multiLevelType w:val="hybridMultilevel"/>
    <w:tmpl w:val="6E74EDAE"/>
    <w:lvl w:ilvl="0" w:tplc="D2721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80D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E6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0D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4AC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E3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409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6A4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EAF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7B11C0E"/>
    <w:multiLevelType w:val="hybridMultilevel"/>
    <w:tmpl w:val="F9A4D59C"/>
    <w:lvl w:ilvl="0" w:tplc="60064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84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C28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9A6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8E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EB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81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A4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B2E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90B51E5"/>
    <w:multiLevelType w:val="hybridMultilevel"/>
    <w:tmpl w:val="2ABCB278"/>
    <w:lvl w:ilvl="0" w:tplc="5A60A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34B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41E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943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A67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2C0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16E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C41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E89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BBE2667"/>
    <w:multiLevelType w:val="hybridMultilevel"/>
    <w:tmpl w:val="F328D568"/>
    <w:lvl w:ilvl="0" w:tplc="A4529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E6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82F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841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6B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E5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54C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49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28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4DE475E"/>
    <w:multiLevelType w:val="hybridMultilevel"/>
    <w:tmpl w:val="49EEA7B2"/>
    <w:lvl w:ilvl="0" w:tplc="0B6CA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0F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04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AA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C2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ED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42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960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A6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07"/>
    <w:rsid w:val="00095E25"/>
    <w:rsid w:val="00111A56"/>
    <w:rsid w:val="00172DC8"/>
    <w:rsid w:val="00383C0A"/>
    <w:rsid w:val="00444006"/>
    <w:rsid w:val="004A26FB"/>
    <w:rsid w:val="00500107"/>
    <w:rsid w:val="00657BE9"/>
    <w:rsid w:val="0079180B"/>
    <w:rsid w:val="008B5443"/>
    <w:rsid w:val="00947221"/>
    <w:rsid w:val="00A75B26"/>
    <w:rsid w:val="00AF1DA4"/>
    <w:rsid w:val="00C610F9"/>
    <w:rsid w:val="00C81A12"/>
    <w:rsid w:val="00D05EEB"/>
    <w:rsid w:val="00D1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2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B26"/>
    <w:pPr>
      <w:ind w:left="720"/>
      <w:contextualSpacing/>
    </w:pPr>
  </w:style>
  <w:style w:type="paragraph" w:customStyle="1" w:styleId="Default">
    <w:name w:val="Default"/>
    <w:rsid w:val="00095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bidi="hi-IN"/>
    </w:rPr>
  </w:style>
  <w:style w:type="paragraph" w:styleId="Bibliography">
    <w:name w:val="Bibliography"/>
    <w:basedOn w:val="Normal"/>
    <w:next w:val="Normal"/>
    <w:uiPriority w:val="37"/>
    <w:unhideWhenUsed/>
    <w:rsid w:val="00172DC8"/>
  </w:style>
  <w:style w:type="paragraph" w:styleId="NormalWeb">
    <w:name w:val="Normal (Web)"/>
    <w:basedOn w:val="Normal"/>
    <w:uiPriority w:val="99"/>
    <w:semiHidden/>
    <w:unhideWhenUsed/>
    <w:rsid w:val="00C6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B26"/>
    <w:pPr>
      <w:ind w:left="720"/>
      <w:contextualSpacing/>
    </w:pPr>
  </w:style>
  <w:style w:type="paragraph" w:customStyle="1" w:styleId="Default">
    <w:name w:val="Default"/>
    <w:rsid w:val="00095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bidi="hi-IN"/>
    </w:rPr>
  </w:style>
  <w:style w:type="paragraph" w:styleId="Bibliography">
    <w:name w:val="Bibliography"/>
    <w:basedOn w:val="Normal"/>
    <w:next w:val="Normal"/>
    <w:uiPriority w:val="37"/>
    <w:unhideWhenUsed/>
    <w:rsid w:val="00172DC8"/>
  </w:style>
  <w:style w:type="paragraph" w:styleId="NormalWeb">
    <w:name w:val="Normal (Web)"/>
    <w:basedOn w:val="Normal"/>
    <w:uiPriority w:val="99"/>
    <w:semiHidden/>
    <w:unhideWhenUsed/>
    <w:rsid w:val="00C6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4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9140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23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406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1988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203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3632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3699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691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485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4927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871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944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4015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139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6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83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6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8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25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52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25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86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90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53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6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Jain</dc:creator>
  <cp:lastModifiedBy>Dr. Chitra Madivale</cp:lastModifiedBy>
  <cp:revision>4</cp:revision>
  <dcterms:created xsi:type="dcterms:W3CDTF">2023-06-09T03:24:00Z</dcterms:created>
  <dcterms:modified xsi:type="dcterms:W3CDTF">2023-06-09T04:06:00Z</dcterms:modified>
</cp:coreProperties>
</file>