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41" w:rsidRDefault="00970441" w:rsidP="00970441">
      <w:pPr>
        <w:tabs>
          <w:tab w:val="left" w:pos="3260"/>
        </w:tabs>
        <w:spacing w:before="80" w:after="0" w:line="240" w:lineRule="auto"/>
        <w:ind w:left="100" w:right="194"/>
        <w:rPr>
          <w:rFonts w:ascii="Courier New" w:eastAsia="Courier New" w:hAnsi="Courier New" w:cs="Courier New"/>
          <w:b/>
          <w:sz w:val="24"/>
          <w:szCs w:val="24"/>
        </w:rPr>
      </w:pPr>
      <w:r w:rsidRPr="0040364E">
        <w:rPr>
          <w:rFonts w:ascii="Courier New" w:eastAsia="Courier New" w:hAnsi="Courier New" w:cs="Courier New"/>
          <w:b/>
          <w:sz w:val="24"/>
          <w:szCs w:val="24"/>
        </w:rPr>
        <w:t xml:space="preserve">DIAGNOSIS: AUGUST </w:t>
      </w:r>
      <w:proofErr w:type="gramStart"/>
      <w:r w:rsidRPr="0040364E">
        <w:rPr>
          <w:rFonts w:ascii="Courier New" w:eastAsia="Courier New" w:hAnsi="Courier New" w:cs="Courier New"/>
          <w:b/>
          <w:sz w:val="24"/>
          <w:szCs w:val="24"/>
        </w:rPr>
        <w:t>2023 :</w:t>
      </w:r>
      <w:proofErr w:type="gramEnd"/>
      <w:r w:rsidRPr="0040364E">
        <w:rPr>
          <w:rFonts w:ascii="Courier New" w:eastAsia="Courier New" w:hAnsi="Courier New" w:cs="Courier New"/>
          <w:b/>
          <w:sz w:val="24"/>
          <w:szCs w:val="24"/>
        </w:rPr>
        <w:t xml:space="preserve"> CASE OF THE MONTH</w:t>
      </w:r>
    </w:p>
    <w:p w:rsidR="00970441" w:rsidRPr="0040364E" w:rsidRDefault="00970441" w:rsidP="00970441">
      <w:pPr>
        <w:tabs>
          <w:tab w:val="left" w:pos="3260"/>
        </w:tabs>
        <w:spacing w:before="80" w:after="0" w:line="240" w:lineRule="auto"/>
        <w:ind w:left="100" w:right="194"/>
        <w:rPr>
          <w:rFonts w:ascii="Courier New" w:eastAsia="Courier New" w:hAnsi="Courier New" w:cs="Courier New"/>
          <w:b/>
          <w:sz w:val="24"/>
          <w:szCs w:val="24"/>
        </w:rPr>
      </w:pPr>
    </w:p>
    <w:p w:rsidR="00970441" w:rsidRPr="0040364E" w:rsidRDefault="00970441" w:rsidP="00970441">
      <w:pPr>
        <w:tabs>
          <w:tab w:val="left" w:pos="3260"/>
        </w:tabs>
        <w:spacing w:before="80" w:after="0" w:line="240" w:lineRule="auto"/>
        <w:ind w:left="100" w:right="194"/>
        <w:rPr>
          <w:rFonts w:ascii="Courier New" w:eastAsia="Courier New" w:hAnsi="Courier New" w:cs="Courier New"/>
          <w:b/>
          <w:sz w:val="24"/>
          <w:szCs w:val="24"/>
        </w:rPr>
      </w:pPr>
      <w:r w:rsidRPr="0040364E">
        <w:rPr>
          <w:rFonts w:ascii="Courier New" w:eastAsia="Courier New" w:hAnsi="Courier New" w:cs="Courier New"/>
          <w:b/>
          <w:sz w:val="24"/>
          <w:szCs w:val="24"/>
        </w:rPr>
        <w:t>HYDROXYCHLOROQUINE INDUCED PHOSPHOLIPIDOSIS IN A CASE OF SLE</w:t>
      </w:r>
    </w:p>
    <w:p w:rsidR="00970441" w:rsidRDefault="00970441" w:rsidP="00970441">
      <w:pPr>
        <w:tabs>
          <w:tab w:val="left" w:pos="3260"/>
        </w:tabs>
        <w:spacing w:before="80" w:after="0" w:line="240" w:lineRule="auto"/>
        <w:ind w:left="100" w:right="194"/>
        <w:rPr>
          <w:rFonts w:ascii="Courier New" w:eastAsia="Courier New" w:hAnsi="Courier New" w:cs="Courier New"/>
          <w:sz w:val="24"/>
          <w:szCs w:val="24"/>
        </w:rPr>
      </w:pPr>
    </w:p>
    <w:p w:rsidR="00970441" w:rsidRDefault="00970441" w:rsidP="00970441">
      <w:pPr>
        <w:tabs>
          <w:tab w:val="left" w:pos="3260"/>
        </w:tabs>
        <w:spacing w:before="80" w:after="0" w:line="240" w:lineRule="auto"/>
        <w:ind w:left="100" w:right="19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Systemic lupus erythematosus, (SLE) the archetypical systemic disease having a proclivity to evolve over time frequently manifests with Lupus nephritis. These patients receive steroids, immunosuppressive agents, anti-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hypertensives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and anti-malarial medications (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chloroquine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and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hydroxychloroquine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).</w:t>
      </w:r>
      <w:r>
        <w:rPr>
          <w:rFonts w:ascii="Courier New" w:eastAsia="Courier New" w:hAnsi="Courier New" w:cs="Courier New"/>
          <w:sz w:val="24"/>
          <w:szCs w:val="24"/>
        </w:rPr>
        <w:tab/>
        <w:t>The latter has been used for treatment</w:t>
      </w:r>
    </w:p>
    <w:p w:rsidR="00970441" w:rsidRDefault="00970441" w:rsidP="00970441">
      <w:pPr>
        <w:tabs>
          <w:tab w:val="left" w:pos="1680"/>
          <w:tab w:val="left" w:pos="2980"/>
          <w:tab w:val="left" w:pos="5700"/>
        </w:tabs>
        <w:spacing w:after="0" w:line="240" w:lineRule="auto"/>
        <w:ind w:left="100" w:right="50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of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SLE since 1630.</w:t>
      </w:r>
      <w:r>
        <w:rPr>
          <w:rFonts w:ascii="Courier New" w:eastAsia="Courier New" w:hAnsi="Courier New" w:cs="Courier New"/>
          <w:sz w:val="24"/>
          <w:szCs w:val="24"/>
        </w:rPr>
        <w:tab/>
        <w:t>They are known to improve disease control, reduce accrual damage and produce a beneficial effect on survival.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SLE also has other rather protean manifestations which may overlap with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Fabry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disease.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The latter is a well characterized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phospholipidosis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with renal phenotype, having an X-linked inheritance occurring due to inactivation of the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lysosomal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enzyme alpha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galactosidase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.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Rarely both diseases have been known to coexist and infrequently SLE patients (on treatment) can masquerade as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Fabry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disease.</w:t>
      </w:r>
    </w:p>
    <w:p w:rsidR="00970441" w:rsidRDefault="00970441" w:rsidP="00970441">
      <w:pPr>
        <w:spacing w:before="12" w:after="0" w:line="260" w:lineRule="exact"/>
        <w:rPr>
          <w:sz w:val="26"/>
          <w:szCs w:val="26"/>
        </w:rPr>
      </w:pPr>
    </w:p>
    <w:p w:rsidR="00970441" w:rsidRDefault="00970441" w:rsidP="00970441">
      <w:pPr>
        <w:spacing w:after="0" w:line="258" w:lineRule="auto"/>
        <w:ind w:left="100" w:right="5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The electron dense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multilamellated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myelin like figures (Zebra like bodies) resulting as an accumulation of phospholipid material are the hall mark of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Fabry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disease. </w:t>
      </w:r>
      <w:r>
        <w:rPr>
          <w:rFonts w:ascii="Courier New" w:eastAsia="Courier New" w:hAnsi="Courier New" w:cs="Courier New"/>
          <w:color w:val="403737"/>
          <w:sz w:val="24"/>
          <w:szCs w:val="24"/>
        </w:rPr>
        <w:t xml:space="preserve">Renal involvement of </w:t>
      </w:r>
      <w:proofErr w:type="spellStart"/>
      <w:r>
        <w:rPr>
          <w:rFonts w:ascii="Courier New" w:eastAsia="Courier New" w:hAnsi="Courier New" w:cs="Courier New"/>
          <w:color w:val="403737"/>
          <w:sz w:val="24"/>
          <w:szCs w:val="24"/>
        </w:rPr>
        <w:t>Fabry</w:t>
      </w:r>
      <w:proofErr w:type="spellEnd"/>
      <w:r>
        <w:rPr>
          <w:rFonts w:ascii="Courier New" w:eastAsia="Courier New" w:hAnsi="Courier New" w:cs="Courier New"/>
          <w:color w:val="403737"/>
          <w:sz w:val="24"/>
          <w:szCs w:val="24"/>
        </w:rPr>
        <w:t xml:space="preserve"> disease is characterized by glycolipid deposits</w:t>
      </w:r>
    </w:p>
    <w:p w:rsidR="00970441" w:rsidRDefault="00970441" w:rsidP="00970441">
      <w:pPr>
        <w:tabs>
          <w:tab w:val="left" w:pos="1680"/>
          <w:tab w:val="left" w:pos="2260"/>
          <w:tab w:val="left" w:pos="3260"/>
          <w:tab w:val="left" w:pos="3840"/>
          <w:tab w:val="left" w:pos="8440"/>
        </w:tabs>
        <w:spacing w:after="0" w:line="258" w:lineRule="auto"/>
        <w:ind w:left="100" w:right="50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color w:val="403737"/>
          <w:sz w:val="24"/>
          <w:szCs w:val="24"/>
        </w:rPr>
        <w:t>mainly</w:t>
      </w:r>
      <w:proofErr w:type="gramEnd"/>
      <w:r>
        <w:rPr>
          <w:rFonts w:ascii="Courier New" w:eastAsia="Courier New" w:hAnsi="Courier New" w:cs="Courier New"/>
          <w:color w:val="403737"/>
          <w:sz w:val="24"/>
          <w:szCs w:val="24"/>
        </w:rPr>
        <w:t xml:space="preserve"> in </w:t>
      </w:r>
      <w:proofErr w:type="spellStart"/>
      <w:r>
        <w:rPr>
          <w:rFonts w:ascii="Courier New" w:eastAsia="Courier New" w:hAnsi="Courier New" w:cs="Courier New"/>
          <w:color w:val="403737"/>
          <w:sz w:val="24"/>
          <w:szCs w:val="24"/>
        </w:rPr>
        <w:t>podocytes</w:t>
      </w:r>
      <w:proofErr w:type="spellEnd"/>
      <w:r>
        <w:rPr>
          <w:rFonts w:ascii="Courier New" w:eastAsia="Courier New" w:hAnsi="Courier New" w:cs="Courier New"/>
          <w:color w:val="403737"/>
          <w:sz w:val="24"/>
          <w:szCs w:val="24"/>
        </w:rPr>
        <w:t>.</w:t>
      </w:r>
      <w:r>
        <w:rPr>
          <w:rFonts w:ascii="Courier New" w:eastAsia="Courier New" w:hAnsi="Courier New" w:cs="Courier New"/>
          <w:color w:val="403737"/>
          <w:sz w:val="24"/>
          <w:szCs w:val="24"/>
        </w:rPr>
        <w:tab/>
        <w:t xml:space="preserve">They are also seen in </w:t>
      </w:r>
      <w:proofErr w:type="spellStart"/>
      <w:r>
        <w:rPr>
          <w:rFonts w:ascii="Courier New" w:eastAsia="Courier New" w:hAnsi="Courier New" w:cs="Courier New"/>
          <w:color w:val="403737"/>
          <w:sz w:val="24"/>
          <w:szCs w:val="24"/>
        </w:rPr>
        <w:t>mesangial</w:t>
      </w:r>
      <w:proofErr w:type="spellEnd"/>
      <w:r>
        <w:rPr>
          <w:rFonts w:ascii="Courier New" w:eastAsia="Courier New" w:hAnsi="Courier New" w:cs="Courier New"/>
          <w:color w:val="403737"/>
          <w:sz w:val="24"/>
          <w:szCs w:val="24"/>
        </w:rPr>
        <w:t>, endothelial, tubular epithelial cells, vascular endothelial cells of capillaries, veins, arteries and vascular smooth muscle cells.</w:t>
      </w:r>
      <w:r>
        <w:rPr>
          <w:rFonts w:ascii="Courier New" w:eastAsia="Courier New" w:hAnsi="Courier New" w:cs="Courier New"/>
          <w:color w:val="403737"/>
          <w:sz w:val="24"/>
          <w:szCs w:val="24"/>
        </w:rPr>
        <w:tab/>
        <w:t xml:space="preserve">No increase in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cellularity or immune deposit is observed.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All other primary renal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lipidoses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have different morphologic appearances.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Very rarely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Niemann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-Pick disease may show whorled myelin like figures restricted mainly to the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podocytes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. Almost identical zebra bodies have been observed in association with drugs commonly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chloroquine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,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amiodarone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, aminoglycosides, laxatives and silicon albeit the former two are the commonest. Though the deposits are almost identical, a subtle difference exits between the two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phopholipidosis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>.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The classic zebra bodies are uniformly numerous in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Fabry’s</w:t>
      </w:r>
      <w:proofErr w:type="spellEnd"/>
    </w:p>
    <w:p w:rsidR="00970441" w:rsidRDefault="00970441" w:rsidP="00970441">
      <w:pPr>
        <w:tabs>
          <w:tab w:val="left" w:pos="1540"/>
          <w:tab w:val="left" w:pos="2400"/>
          <w:tab w:val="left" w:pos="2820"/>
          <w:tab w:val="left" w:pos="4260"/>
        </w:tabs>
        <w:spacing w:after="0" w:line="258" w:lineRule="auto"/>
        <w:ind w:left="100" w:right="50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disease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>.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Iatrogenic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chloroquine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phopholipidosis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may reveal additional small round homogenous dense granular inclusions in the endothelial,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mesangial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and tubular cell mitochondria. Few reports also describe the presence of curvilinear bodies like those seen in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ceroid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lipofuscinosis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and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histiocytic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inclusions within the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podocytes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and endothelial cells in this condition. These latter two were however not seen in the case associated with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phopholipidosis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induced due to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hydroxychloroquine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.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Chloroquine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is a weak base that becomes concentrated within lysosomes and then inhibits key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lysosomal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enzymes including alpha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galactosidase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,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cathepsin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, acid hydroxylase and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phopholipases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.</w:t>
      </w:r>
      <w:r>
        <w:rPr>
          <w:rFonts w:ascii="Courier New" w:eastAsia="Courier New" w:hAnsi="Courier New" w:cs="Courier New"/>
          <w:sz w:val="24"/>
          <w:szCs w:val="24"/>
        </w:rPr>
        <w:tab/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Chloroquine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and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Hydroxychloroquine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have very similar chemical structure.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It is hence possible that both have analogous modes of action resulting in almost identical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phopholipidosis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.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The adverse effects of hydroxyl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chloroquine</w:t>
      </w:r>
      <w:proofErr w:type="spellEnd"/>
    </w:p>
    <w:p w:rsidR="00970441" w:rsidRDefault="00970441" w:rsidP="00970441">
      <w:pPr>
        <w:spacing w:after="0"/>
        <w:sectPr w:rsidR="00970441">
          <w:pgSz w:w="11900" w:h="16820"/>
          <w:pgMar w:top="1360" w:right="1420" w:bottom="280" w:left="1340" w:header="720" w:footer="720" w:gutter="0"/>
          <w:cols w:space="720"/>
        </w:sectPr>
      </w:pPr>
    </w:p>
    <w:p w:rsidR="00970441" w:rsidRDefault="00970441" w:rsidP="00970441">
      <w:pPr>
        <w:tabs>
          <w:tab w:val="left" w:pos="1680"/>
          <w:tab w:val="left" w:pos="5140"/>
        </w:tabs>
        <w:spacing w:before="80" w:after="0" w:line="258" w:lineRule="auto"/>
        <w:ind w:left="100" w:right="194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lastRenderedPageBreak/>
        <w:t>occur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mainly in patients receiving high doses of the drug or those who have renal impairment.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It is probably for this reason that values of the alpha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galactosidase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enzyme levels may be altered resulting in the mistaken diagnosis of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Fabry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disease.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It is therefore important to confirm the diagnosis of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Fabry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disease only after enzyme studies and mutational analysis of alpha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galactosidase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A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gene. Genetic analysis also helps to detect female carriers who have normal enzyme activity due to unequal X chromosome activation.</w:t>
      </w:r>
    </w:p>
    <w:p w:rsidR="00970441" w:rsidRDefault="00970441" w:rsidP="00970441">
      <w:pPr>
        <w:spacing w:after="0" w:line="200" w:lineRule="exact"/>
        <w:rPr>
          <w:sz w:val="20"/>
          <w:szCs w:val="20"/>
        </w:rPr>
      </w:pPr>
    </w:p>
    <w:p w:rsidR="00970441" w:rsidRDefault="00970441" w:rsidP="00970441">
      <w:pPr>
        <w:spacing w:before="12" w:after="0" w:line="220" w:lineRule="exact"/>
      </w:pPr>
    </w:p>
    <w:p w:rsidR="00970441" w:rsidRDefault="00970441" w:rsidP="00970441">
      <w:pPr>
        <w:spacing w:after="0" w:line="240" w:lineRule="auto"/>
        <w:ind w:left="100" w:right="19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This case confirms that scrupulous clinical evaluation, routine investigations and appropriate follow up do help to piece the jigsaw puzzle in most cases and affect correct care to the patients.</w:t>
      </w:r>
    </w:p>
    <w:p w:rsidR="00970441" w:rsidRDefault="00970441" w:rsidP="00970441">
      <w:pPr>
        <w:spacing w:before="12" w:after="0" w:line="260" w:lineRule="exact"/>
        <w:rPr>
          <w:sz w:val="26"/>
          <w:szCs w:val="26"/>
        </w:rPr>
      </w:pPr>
    </w:p>
    <w:p w:rsidR="00970441" w:rsidRDefault="00970441" w:rsidP="00970441">
      <w:pPr>
        <w:spacing w:after="0" w:line="240" w:lineRule="auto"/>
        <w:ind w:left="100" w:right="33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It also warns us against various “dangerous mimics” and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favours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diagnostic frugality of Occam's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Razor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over Hickman’s dictum.</w:t>
      </w:r>
    </w:p>
    <w:p w:rsidR="00970441" w:rsidRDefault="00970441" w:rsidP="00970441">
      <w:pPr>
        <w:spacing w:after="0" w:line="200" w:lineRule="exact"/>
        <w:rPr>
          <w:sz w:val="20"/>
          <w:szCs w:val="20"/>
        </w:rPr>
      </w:pPr>
    </w:p>
    <w:p w:rsidR="00970441" w:rsidRDefault="00970441" w:rsidP="00970441">
      <w:pPr>
        <w:spacing w:after="0" w:line="200" w:lineRule="exact"/>
        <w:rPr>
          <w:sz w:val="20"/>
          <w:szCs w:val="20"/>
        </w:rPr>
      </w:pPr>
    </w:p>
    <w:p w:rsidR="00970441" w:rsidRDefault="00970441" w:rsidP="00970441">
      <w:pPr>
        <w:spacing w:after="0" w:line="200" w:lineRule="exact"/>
        <w:rPr>
          <w:sz w:val="20"/>
          <w:szCs w:val="20"/>
        </w:rPr>
      </w:pPr>
    </w:p>
    <w:p w:rsidR="00970441" w:rsidRDefault="00970441" w:rsidP="00970441">
      <w:pPr>
        <w:spacing w:before="16" w:after="0" w:line="200" w:lineRule="exact"/>
        <w:rPr>
          <w:sz w:val="20"/>
          <w:szCs w:val="20"/>
        </w:rPr>
      </w:pPr>
    </w:p>
    <w:p w:rsidR="00094974" w:rsidRDefault="00094974">
      <w:bookmarkStart w:id="0" w:name="_GoBack"/>
      <w:bookmarkEnd w:id="0"/>
    </w:p>
    <w:sectPr w:rsidR="00094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2C"/>
    <w:rsid w:val="00094974"/>
    <w:rsid w:val="0052132C"/>
    <w:rsid w:val="0097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54F2A-D345-4333-A591-3E0B8501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441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2023-07-30T06:01:00Z</dcterms:created>
  <dcterms:modified xsi:type="dcterms:W3CDTF">2023-07-30T06:02:00Z</dcterms:modified>
</cp:coreProperties>
</file>