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Crescent Community School Alliance dba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Red Barn Schoolhouse (RBS)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Governing Board (GB) Meeting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March 4, 2026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Minutes of the general meeting of the Red Barn Schoolhouse Governing Board on March 4, 2026 called to order by Oamek at 4:00 PM.  In attendance: Oamek, Shea, Larson, Spiehs, and Messerschmidt.</w:t>
        <w:tab/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Motion to approve agenda made by Shea and seconded by Spiehs.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  <w:t xml:space="preserve">Motion to approve minutes made by Larson and seconded by Spiehs.</w:t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00" w:line="276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DISCUSSION- Teach Iowa posting issues since February 2, 2206 and discussed with State DE.  To date, 12 Principal applications and have 4 people to be contacted for first interviews.  Schedule for interview weeks discussed.  Next round of postings for teachers and Administrative Assistant in April.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DISCUSSION - Construction financing options with Banks, national lenders and bond option. </w:t>
      </w:r>
    </w:p>
    <w:p w:rsidR="00000000" w:rsidDel="00000000" w:rsidP="00000000" w:rsidRDefault="00000000" w:rsidRPr="00000000" w14:paraId="0000000D">
      <w:pPr>
        <w:spacing w:before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DISCUSSION - Fox Creek Fundraising and team approach.  Funding pathways issued.  </w:t>
      </w:r>
    </w:p>
    <w:p w:rsidR="00000000" w:rsidDel="00000000" w:rsidP="00000000" w:rsidRDefault="00000000" w:rsidRPr="00000000" w14:paraId="0000000E">
      <w:pPr>
        <w:spacing w:before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No public comments.</w:t>
      </w:r>
    </w:p>
    <w:p w:rsidR="00000000" w:rsidDel="00000000" w:rsidP="00000000" w:rsidRDefault="00000000" w:rsidRPr="00000000" w14:paraId="0000000F">
      <w:pPr>
        <w:spacing w:before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ADJOURNMENT - Motion by Shea, seconded by Oamek.  Motion carried.  Meeting adjourned at 5:30 pm.</w:t>
      </w:r>
    </w:p>
    <w:p w:rsidR="00000000" w:rsidDel="00000000" w:rsidP="00000000" w:rsidRDefault="00000000" w:rsidRPr="00000000" w14:paraId="00000010">
      <w:pPr>
        <w:spacing w:before="20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Q8jLBLki8TBtmGupiyvkBzdJQ==">CgMxLjA4AHIhMUpvamZuYVZDbkhYMDRialdFMFdnYnc2Z1F5aXpRUTIt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