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1.0 -->
  <w:body>
    <w:p w:rsidR="0026000D" w:rsidRPr="008A7E71" w:rsidP="00670C2F">
      <w:pPr>
        <w:pStyle w:val="MainTitle"/>
        <w:tabs>
          <w:tab w:val="left" w:pos="3969"/>
        </w:tabs>
        <w:spacing w:line="204" w:lineRule="auto"/>
        <w:ind w:right="274"/>
      </w:pPr>
      <w:r w:rsidR="00670C2F">
        <w:drawing>
          <wp:anchor simplePos="0" relativeHeight="251658240" behindDoc="0" locked="1" layoutInCell="1" allowOverlap="1">
            <wp:simplePos x="0" y="0"/>
            <wp:positionH relativeFrom="margin">
              <wp:posOffset>5080000</wp:posOffset>
            </wp:positionH>
            <wp:positionV relativeFrom="margin">
              <wp:posOffset>5969000</wp:posOffset>
            </wp:positionV>
            <wp:extent cx="1645923" cy="1120142"/>
            <wp:wrapNone/>
            <wp:docPr id="100037" name="" descr="Brok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45923" cy="1120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ge">
                  <wp:posOffset>5911215</wp:posOffset>
                </wp:positionV>
                <wp:extent cx="3331845" cy="367030"/>
                <wp:effectExtent l="0" t="0" r="1905" b="0"/>
                <wp:wrapNone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331845" cy="367030"/>
                          <a:chOff x="0" y="0"/>
                          <a:chExt cx="3331845" cy="367030"/>
                        </a:xfrm>
                      </wpg:grpSpPr>
                      <pic:pic xmlns:pic="http://schemas.openxmlformats.org/drawingml/2006/picture">
                        <pic:nvPicPr>
                          <pic:cNvPr id="40" name="Picture 40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1845" cy="367030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41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23290" y="20549"/>
                            <a:ext cx="2413000" cy="329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75D9" w:rsidRPr="00A8186B" w:rsidP="00E375D9">
                              <w:pPr>
                                <w:pStyle w:val="SubHeader"/>
                                <w:rPr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32"/>
                                  <w:szCs w:val="32"/>
                                </w:rPr>
                                <w:t>Important Dates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2" o:spid="_x0000_s1025" style="width:262.35pt;height:28.9pt;margin-top:465.45pt;margin-left:348pt;mso-position-vertical-relative:page;position:absolute;z-index:251670528" coordsize="33318,36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26" type="#_x0000_t75" style="width:33318;height:3670;mso-wrap-style:square;position:absolute;visibility:visible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" o:spid="_x0000_s1027" type="#_x0000_t202" style="width:24130;height:3296;left:1232;mso-wrap-style:square;position:absolute;top:205;v-text-anchor:top;visibility:visible" filled="f" stroked="f">
                  <v:textbox>
                    <w:txbxContent>
                      <w:p w:rsidR="00E375D9" w:rsidRPr="00A8186B" w:rsidP="00E375D9">
                        <w:pPr>
                          <w:pStyle w:val="SubHeader"/>
                          <w:rPr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color w:val="FFFFFF" w:themeColor="background1"/>
                            <w:sz w:val="32"/>
                            <w:szCs w:val="32"/>
                          </w:rPr>
                          <w:t>Important Dates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9007E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4423025</wp:posOffset>
                </wp:positionH>
                <wp:positionV relativeFrom="page">
                  <wp:posOffset>2506345</wp:posOffset>
                </wp:positionV>
                <wp:extent cx="3331845" cy="367030"/>
                <wp:effectExtent l="0" t="0" r="1905" b="0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331845" cy="367030"/>
                          <a:chOff x="0" y="0"/>
                          <a:chExt cx="3331845" cy="367030"/>
                        </a:xfrm>
                      </wpg:grpSpPr>
                      <pic:pic xmlns:pic="http://schemas.openxmlformats.org/drawingml/2006/picture">
                        <pic:nvPicPr>
                          <pic:cNvPr id="37" name="Picture 37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1845" cy="367030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290" y="20549"/>
                            <a:ext cx="2413000" cy="329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75D9" w:rsidRPr="00A8186B" w:rsidP="00E375D9">
                              <w:pPr>
                                <w:pStyle w:val="SubHeader"/>
                                <w:rPr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32"/>
                                  <w:szCs w:val="32"/>
                                </w:rPr>
                                <w:t>Highlights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9" o:spid="_x0000_s1028" style="width:262.35pt;height:28.9pt;margin-top:197.35pt;margin-left:348.25pt;mso-position-vertical-relative:page;position:absolute;z-index:251668480" coordsize="33318,3670">
                <v:shape id="Picture 37" o:spid="_x0000_s1029" type="#_x0000_t75" style="width:33318;height:3670;mso-wrap-style:square;position:absolute;visibility:visible">
                  <v:imagedata r:id="rId5" o:title=""/>
                </v:shape>
                <v:shape id="_x0000_s1030" type="#_x0000_t202" style="width:24130;height:3296;left:1232;mso-wrap-style:square;position:absolute;top:205;v-text-anchor:top;visibility:visible" filled="f" stroked="f">
                  <v:textbox>
                    <w:txbxContent>
                      <w:p w:rsidR="00E375D9" w:rsidRPr="00A8186B" w:rsidP="00E375D9">
                        <w:pPr>
                          <w:pStyle w:val="SubHeader"/>
                          <w:rPr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color w:val="FFFFFF" w:themeColor="background1"/>
                            <w:sz w:val="32"/>
                            <w:szCs w:val="32"/>
                          </w:rPr>
                          <w:t>Highlights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4208C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4561367</wp:posOffset>
                </wp:positionH>
                <wp:positionV relativeFrom="page">
                  <wp:posOffset>2870791</wp:posOffset>
                </wp:positionV>
                <wp:extent cx="2413000" cy="3051175"/>
                <wp:effectExtent l="0" t="0" r="0" b="0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3051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C2F" w:rsidP="00670C2F">
                            <w:pPr>
                              <w:pStyle w:val="BulletListText"/>
                              <w:spacing w:after="120"/>
                              <w:ind w:left="360"/>
                            </w:pPr>
                            <w:r>
                              <w:t>Each year, the IRS announces inflation-adjusted limits for HSAs and HDHPs.</w:t>
                            </w:r>
                          </w:p>
                          <w:p w:rsidR="00670C2F" w:rsidP="00670C2F">
                            <w:pPr>
                              <w:pStyle w:val="BulletListText"/>
                              <w:spacing w:after="120"/>
                              <w:ind w:left="360"/>
                            </w:pPr>
                            <w:r>
                              <w:t xml:space="preserve">By law, the IRS is required to announce these limits </w:t>
                            </w:r>
                            <w:r w:rsidR="00B135AD">
                              <w:t>by</w:t>
                            </w:r>
                            <w:r>
                              <w:t xml:space="preserve"> June 1 of each year.</w:t>
                            </w:r>
                          </w:p>
                          <w:p w:rsidR="00670C2F" w:rsidP="00670C2F">
                            <w:pPr>
                              <w:pStyle w:val="BulletListText"/>
                              <w:spacing w:after="120"/>
                              <w:ind w:left="360"/>
                            </w:pPr>
                            <w:r>
                              <w:t>The adjusted contribution limits for HSAs take effect as of Jan. 1, 202</w:t>
                            </w:r>
                            <w:r w:rsidR="00236B02">
                              <w:t>3</w:t>
                            </w:r>
                            <w:r>
                              <w:t>.</w:t>
                            </w:r>
                          </w:p>
                          <w:p w:rsidR="00110963" w:rsidP="00C87C31">
                            <w:pPr>
                              <w:pStyle w:val="BulletListText"/>
                              <w:spacing w:after="120"/>
                              <w:ind w:left="360"/>
                            </w:pPr>
                            <w:r>
                              <w:t>The adjusted HDHP cost-sharing limits take effect for the plan year beginning on or after Jan. 1, 202</w:t>
                            </w:r>
                            <w:r w:rsidR="00236B02">
                              <w:t>3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width:190pt;height:240.25pt;margin-top:226.05pt;margin-left:359.16pt;mso-height-percent:0;mso-height-relative:margin;mso-position-vertical-relative:page;mso-width-percent:0;mso-width-relative:margin;mso-wrap-distance-bottom:3.6pt;mso-wrap-distance-left:9pt;mso-wrap-distance-right:9pt;mso-wrap-distance-top:3.6pt;position:absolute;v-text-anchor:top;z-index:251659264" filled="f" fillcolor="this" stroked="f" strokeweight="0.75pt">
                <v:textbox>
                  <w:txbxContent>
                    <w:p w:rsidR="00670C2F" w:rsidP="00670C2F">
                      <w:pPr>
                        <w:pStyle w:val="BulletListText"/>
                        <w:spacing w:after="120"/>
                        <w:ind w:left="360"/>
                      </w:pPr>
                      <w:r>
                        <w:t>Each year, the IRS announces inflation-adjusted limits for HSAs and HDHPs.</w:t>
                      </w:r>
                    </w:p>
                    <w:p w:rsidR="00670C2F" w:rsidP="00670C2F">
                      <w:pPr>
                        <w:pStyle w:val="BulletListText"/>
                        <w:spacing w:after="120"/>
                        <w:ind w:left="360"/>
                      </w:pPr>
                      <w:r>
                        <w:t xml:space="preserve">By law, the IRS is required to announce these limits </w:t>
                      </w:r>
                      <w:r w:rsidR="00B135AD">
                        <w:t>by</w:t>
                      </w:r>
                      <w:r>
                        <w:t xml:space="preserve"> June 1 of each year.</w:t>
                      </w:r>
                    </w:p>
                    <w:p w:rsidR="00670C2F" w:rsidP="00670C2F">
                      <w:pPr>
                        <w:pStyle w:val="BulletListText"/>
                        <w:spacing w:after="120"/>
                        <w:ind w:left="360"/>
                      </w:pPr>
                      <w:r>
                        <w:t>The adjusted contribution limits for HSAs take effect as of Jan. 1, 202</w:t>
                      </w:r>
                      <w:r w:rsidR="00236B02">
                        <w:t>3</w:t>
                      </w:r>
                      <w:r>
                        <w:t>.</w:t>
                      </w:r>
                    </w:p>
                    <w:p w:rsidR="00110963" w:rsidP="00C87C31">
                      <w:pPr>
                        <w:pStyle w:val="BulletListText"/>
                        <w:spacing w:after="120"/>
                        <w:ind w:left="360"/>
                      </w:pPr>
                      <w:r>
                        <w:t>The adjusted HDHP cost-sharing limits take effect for the plan year beginning on or after Jan. 1, 202</w:t>
                      </w:r>
                      <w:r w:rsidR="00236B02">
                        <w:t>3</w:t>
                      </w:r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0C2F">
        <w:t>HSA/</w:t>
      </w:r>
      <w:r w:rsidRPr="00670C2F" w:rsidR="00670C2F">
        <w:t>HDHP</w:t>
      </w:r>
      <w:r w:rsidR="00670C2F">
        <w:t xml:space="preserve"> Limit</w:t>
      </w:r>
      <w:r w:rsidRPr="008A7E71" w:rsidR="0098636D">
        <w:t>s</w:t>
      </w:r>
      <w:r w:rsidR="00670C2F">
        <w:t xml:space="preserve"> Increase for 202</w:t>
      </w:r>
      <w:r w:rsidR="00236B02">
        <w:t>3</w:t>
      </w:r>
    </w:p>
    <w:p w:rsidR="008B62E3" w:rsidP="00670C2F">
      <w:pPr>
        <w:pStyle w:val="BodyText"/>
        <w:spacing w:after="120"/>
        <w:ind w:right="270"/>
      </w:pPr>
      <w:r>
        <w:t xml:space="preserve">On </w:t>
      </w:r>
      <w:r w:rsidR="00236B02">
        <w:t>April</w:t>
      </w:r>
      <w:r>
        <w:t xml:space="preserve"> </w:t>
      </w:r>
      <w:r w:rsidR="00236B02">
        <w:t>29</w:t>
      </w:r>
      <w:r>
        <w:t xml:space="preserve">, </w:t>
      </w:r>
      <w:bookmarkStart w:id="0" w:name="_GoBack"/>
      <w:r>
        <w:t>202</w:t>
      </w:r>
      <w:r w:rsidR="00236B02">
        <w:t>2</w:t>
      </w:r>
      <w:bookmarkEnd w:id="0"/>
      <w:r>
        <w:t xml:space="preserve">, the IRS released </w:t>
      </w:r>
      <w:hyperlink r:id="rId6" w:history="1">
        <w:r w:rsidRPr="00B135AD" w:rsidR="00C87C31">
          <w:rPr>
            <w:rStyle w:val="Hyperlink"/>
          </w:rPr>
          <w:t>Revenue Procedure 202</w:t>
        </w:r>
        <w:r w:rsidR="00236B02">
          <w:rPr>
            <w:rStyle w:val="Hyperlink"/>
          </w:rPr>
          <w:t>2</w:t>
        </w:r>
        <w:r w:rsidRPr="00B135AD" w:rsidR="00C87C31">
          <w:rPr>
            <w:rStyle w:val="Hyperlink"/>
          </w:rPr>
          <w:t>-</w:t>
        </w:r>
        <w:r w:rsidR="00C87C31">
          <w:rPr>
            <w:rStyle w:val="Hyperlink"/>
          </w:rPr>
          <w:t>2</w:t>
        </w:r>
        <w:r w:rsidR="00236B02">
          <w:rPr>
            <w:rStyle w:val="Hyperlink"/>
          </w:rPr>
          <w:t>4</w:t>
        </w:r>
      </w:hyperlink>
      <w:r>
        <w:t xml:space="preserve"> to </w:t>
      </w:r>
      <w:r w:rsidR="00B135AD">
        <w:t>provide</w:t>
      </w:r>
      <w:r>
        <w:t xml:space="preserve"> the inflation-adjusted limits for health savings accounts (HSAs) and high deductible health plans (HDHPs) for 202</w:t>
      </w:r>
      <w:r w:rsidR="00236B02">
        <w:t>3</w:t>
      </w:r>
      <w:r>
        <w:t xml:space="preserve">. </w:t>
      </w:r>
      <w:r>
        <w:t>The IRS is required to publish these limits by June 1 of each year.</w:t>
      </w:r>
    </w:p>
    <w:p w:rsidR="00670C2F" w:rsidP="00670C2F">
      <w:pPr>
        <w:pStyle w:val="BodyText"/>
        <w:spacing w:after="120"/>
        <w:ind w:right="270"/>
      </w:pPr>
      <w:r>
        <w:t>These limits include:</w:t>
      </w:r>
    </w:p>
    <w:p w:rsidR="00670C2F" w:rsidP="00670C2F">
      <w:pPr>
        <w:pStyle w:val="BulletListText"/>
        <w:spacing w:after="120"/>
      </w:pPr>
      <w:r>
        <w:t>The maximum HSA contribution limit;</w:t>
      </w:r>
    </w:p>
    <w:p w:rsidR="00670C2F" w:rsidP="00670C2F">
      <w:pPr>
        <w:pStyle w:val="BulletListText"/>
        <w:spacing w:after="120"/>
      </w:pPr>
      <w:r>
        <w:t>The minimum deductible amount for HDHPs; and</w:t>
      </w:r>
    </w:p>
    <w:p w:rsidR="00670C2F" w:rsidP="00670C2F">
      <w:pPr>
        <w:pStyle w:val="BulletListText"/>
        <w:spacing w:after="120"/>
      </w:pPr>
      <w:r>
        <w:t>The maximum out-of-pocket expense limit for HDHPs.</w:t>
      </w:r>
    </w:p>
    <w:p w:rsidR="00670C2F" w:rsidP="00271335">
      <w:pPr>
        <w:pStyle w:val="BodyText"/>
        <w:spacing w:after="120"/>
        <w:ind w:right="274"/>
      </w:pPr>
      <w:r>
        <w:t>These limits vary based on whether an individual has self-only or family coverage under an HDHP.</w:t>
      </w:r>
    </w:p>
    <w:p w:rsidR="008B62E3" w:rsidP="00271335">
      <w:pPr>
        <w:pStyle w:val="BodyText"/>
        <w:spacing w:after="120"/>
        <w:ind w:right="270"/>
      </w:pPr>
      <w:r>
        <w:t xml:space="preserve">Eligible individuals with self-only HDHP coverage will be able to contribute </w:t>
      </w:r>
      <w:r w:rsidRPr="00701752">
        <w:rPr>
          <w:b/>
        </w:rPr>
        <w:t>$3,</w:t>
      </w:r>
      <w:r w:rsidR="00236B02">
        <w:rPr>
          <w:b/>
        </w:rPr>
        <w:t>8</w:t>
      </w:r>
      <w:r w:rsidR="00C87C31">
        <w:rPr>
          <w:b/>
        </w:rPr>
        <w:t>5</w:t>
      </w:r>
      <w:r w:rsidRPr="00701752" w:rsidR="00B135AD">
        <w:rPr>
          <w:b/>
        </w:rPr>
        <w:t>0</w:t>
      </w:r>
      <w:r>
        <w:t xml:space="preserve"> </w:t>
      </w:r>
      <w:r w:rsidR="00B135AD">
        <w:t>to their HSAs</w:t>
      </w:r>
      <w:r w:rsidR="00330A90">
        <w:t xml:space="preserve"> </w:t>
      </w:r>
      <w:r>
        <w:t>for 202</w:t>
      </w:r>
      <w:r w:rsidR="00236B02">
        <w:t>3</w:t>
      </w:r>
      <w:r w:rsidR="00330A90">
        <w:t>, up from $3,</w:t>
      </w:r>
      <w:r w:rsidR="00C87C31">
        <w:t>6</w:t>
      </w:r>
      <w:r w:rsidR="00236B02">
        <w:t>5</w:t>
      </w:r>
      <w:r w:rsidR="00330A90">
        <w:t>0 for 202</w:t>
      </w:r>
      <w:r w:rsidR="00236B02">
        <w:t>2</w:t>
      </w:r>
      <w:r w:rsidR="00330A90">
        <w:t>.</w:t>
      </w:r>
      <w:r w:rsidR="00B135AD">
        <w:t xml:space="preserve"> E</w:t>
      </w:r>
      <w:r>
        <w:t xml:space="preserve">ligible individuals with family HDHP coverage will be able to contribute </w:t>
      </w:r>
      <w:r w:rsidRPr="00701752">
        <w:rPr>
          <w:b/>
        </w:rPr>
        <w:t>$7,</w:t>
      </w:r>
      <w:r w:rsidR="00236B02">
        <w:rPr>
          <w:b/>
        </w:rPr>
        <w:t>75</w:t>
      </w:r>
      <w:r w:rsidRPr="00701752">
        <w:rPr>
          <w:b/>
        </w:rPr>
        <w:t>0</w:t>
      </w:r>
      <w:r>
        <w:t xml:space="preserve"> </w:t>
      </w:r>
      <w:r w:rsidR="00B135AD">
        <w:t xml:space="preserve">to their HSAs </w:t>
      </w:r>
      <w:r>
        <w:t>for 202</w:t>
      </w:r>
      <w:r w:rsidR="00236B02">
        <w:t>3</w:t>
      </w:r>
      <w:r w:rsidR="00330A90">
        <w:t>, up from $7,</w:t>
      </w:r>
      <w:r w:rsidR="00236B02">
        <w:t>3</w:t>
      </w:r>
      <w:r w:rsidR="00330A90">
        <w:t>00 for 202</w:t>
      </w:r>
      <w:r w:rsidR="00236B02">
        <w:t>2</w:t>
      </w:r>
      <w:r w:rsidR="00330A90">
        <w:t>.</w:t>
      </w:r>
      <w:r>
        <w:t xml:space="preserve"> </w:t>
      </w:r>
      <w:r w:rsidRPr="008B62E3">
        <w:t>Individuals age 55 or older</w:t>
      </w:r>
      <w:r w:rsidR="00382563">
        <w:t xml:space="preserve"> </w:t>
      </w:r>
      <w:r w:rsidR="00271335">
        <w:t>may</w:t>
      </w:r>
      <w:r w:rsidRPr="008B62E3">
        <w:t xml:space="preserve"> make </w:t>
      </w:r>
      <w:r w:rsidR="00330A90">
        <w:t xml:space="preserve">an </w:t>
      </w:r>
      <w:r w:rsidRPr="008B62E3">
        <w:t xml:space="preserve">additional </w:t>
      </w:r>
      <w:r w:rsidR="00330A90">
        <w:t>$1,000 “catch-up” c</w:t>
      </w:r>
      <w:r w:rsidRPr="008B62E3">
        <w:t>ontribution</w:t>
      </w:r>
      <w:r w:rsidR="00330A90">
        <w:t xml:space="preserve"> to their HSAs.</w:t>
      </w:r>
    </w:p>
    <w:p w:rsidR="00670C2F" w:rsidP="008078C7">
      <w:pPr>
        <w:pStyle w:val="BodyText"/>
        <w:spacing w:after="0"/>
        <w:ind w:right="274"/>
      </w:pPr>
      <w:r>
        <w:t xml:space="preserve">The </w:t>
      </w:r>
      <w:r w:rsidR="00B135AD">
        <w:t xml:space="preserve">minimum deductible amount for </w:t>
      </w:r>
      <w:r>
        <w:t>HDHP</w:t>
      </w:r>
      <w:r w:rsidR="00B135AD">
        <w:t xml:space="preserve">s </w:t>
      </w:r>
      <w:r w:rsidR="00236B02">
        <w:t>increases</w:t>
      </w:r>
      <w:r w:rsidR="00B135AD">
        <w:t xml:space="preserve"> </w:t>
      </w:r>
      <w:r w:rsidR="00236B02">
        <w:t xml:space="preserve">to </w:t>
      </w:r>
      <w:r w:rsidRPr="00236B02" w:rsidR="00236B02">
        <w:rPr>
          <w:b/>
        </w:rPr>
        <w:t>$1,500</w:t>
      </w:r>
      <w:r w:rsidR="00236B02">
        <w:t xml:space="preserve"> for self-only coverage and </w:t>
      </w:r>
      <w:r w:rsidRPr="00236B02" w:rsidR="00236B02">
        <w:rPr>
          <w:b/>
        </w:rPr>
        <w:t>$3,000</w:t>
      </w:r>
      <w:r w:rsidR="00236B02">
        <w:t xml:space="preserve"> for family coverage </w:t>
      </w:r>
      <w:r w:rsidR="00236B02">
        <w:t>for 202</w:t>
      </w:r>
      <w:r w:rsidR="00236B02">
        <w:t>3</w:t>
      </w:r>
      <w:r w:rsidR="00236B02">
        <w:t xml:space="preserve"> </w:t>
      </w:r>
      <w:r w:rsidR="00701752">
        <w:t>(</w:t>
      </w:r>
      <w:r w:rsidR="00236B02">
        <w:t xml:space="preserve">up from </w:t>
      </w:r>
      <w:r w:rsidR="00701752">
        <w:t>$1,400 for self-only coverage and $2,800 for family coverage</w:t>
      </w:r>
      <w:r w:rsidR="00236B02">
        <w:t xml:space="preserve"> for 2022</w:t>
      </w:r>
      <w:r w:rsidR="00701752">
        <w:t>)</w:t>
      </w:r>
      <w:r w:rsidR="00B135AD">
        <w:t xml:space="preserve">. </w:t>
      </w:r>
      <w:r w:rsidR="00236B02">
        <w:t>T</w:t>
      </w:r>
      <w:r w:rsidR="00B135AD">
        <w:t xml:space="preserve">he HDHP maximum out-of-pocket </w:t>
      </w:r>
      <w:r w:rsidR="00330A90">
        <w:t xml:space="preserve">expense </w:t>
      </w:r>
      <w:r w:rsidR="00B135AD">
        <w:t>limit increases</w:t>
      </w:r>
      <w:r w:rsidR="00701752">
        <w:t xml:space="preserve"> to </w:t>
      </w:r>
      <w:r w:rsidRPr="00236B02" w:rsidR="00236B02">
        <w:rPr>
          <w:b/>
        </w:rPr>
        <w:t>$7,500</w:t>
      </w:r>
      <w:r w:rsidR="00236B02">
        <w:t xml:space="preserve"> for self-only coverage and </w:t>
      </w:r>
      <w:r w:rsidRPr="00236B02" w:rsidR="00236B02">
        <w:rPr>
          <w:b/>
        </w:rPr>
        <w:t>$15,000</w:t>
      </w:r>
      <w:r w:rsidR="00236B02">
        <w:t xml:space="preserve"> for family coverage for 2023 (up from </w:t>
      </w:r>
      <w:r w:rsidR="00701752">
        <w:t>$7,0</w:t>
      </w:r>
      <w:r w:rsidR="00C87C31">
        <w:t>5</w:t>
      </w:r>
      <w:r w:rsidR="00701752">
        <w:t>0 for self-only coverage and $14,</w:t>
      </w:r>
      <w:r w:rsidR="00C87C31">
        <w:t>1</w:t>
      </w:r>
      <w:r w:rsidR="00701752">
        <w:t>00 for family coverage</w:t>
      </w:r>
      <w:r w:rsidR="00236B02">
        <w:t xml:space="preserve"> for 2022)</w:t>
      </w:r>
      <w:r w:rsidR="00701752">
        <w:t>.</w:t>
      </w:r>
    </w:p>
    <w:p w:rsidR="005A1F47" w:rsidP="008078C7">
      <w:pPr>
        <w:pStyle w:val="BodyText"/>
        <w:spacing w:after="0"/>
        <w:ind w:right="274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ge">
                  <wp:posOffset>6296025</wp:posOffset>
                </wp:positionV>
                <wp:extent cx="2413000" cy="1922780"/>
                <wp:effectExtent l="0" t="0" r="0" b="1270"/>
                <wp:wrapSquare wrapText="bothSides"/>
                <wp:docPr id="1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1922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963" w:rsidP="00110963">
                            <w:pPr>
                              <w:pStyle w:val="SubHeader"/>
                            </w:pPr>
                            <w:r>
                              <w:t>January 1, 202</w:t>
                            </w:r>
                            <w:r w:rsidR="00271335">
                              <w:t>3</w:t>
                            </w:r>
                          </w:p>
                          <w:p w:rsidR="00110963" w:rsidRPr="00D2167C" w:rsidP="00110963">
                            <w:pPr>
                              <w:pStyle w:val="BodyText"/>
                            </w:pPr>
                            <w:r>
                              <w:t>The new contribution limits for HSAs become effective.</w:t>
                            </w:r>
                          </w:p>
                          <w:p w:rsidR="00110963" w:rsidP="00110963">
                            <w:pPr>
                              <w:pStyle w:val="SubHeader"/>
                            </w:pPr>
                            <w:r>
                              <w:t>202</w:t>
                            </w:r>
                            <w:r w:rsidR="00271335">
                              <w:t>3</w:t>
                            </w:r>
                            <w:r w:rsidR="00C87C31">
                              <w:t xml:space="preserve"> </w:t>
                            </w:r>
                            <w:r>
                              <w:t>Plan Years</w:t>
                            </w:r>
                          </w:p>
                          <w:p w:rsidR="00441851" w:rsidP="00844896">
                            <w:pPr>
                              <w:pStyle w:val="BodyText"/>
                            </w:pPr>
                            <w:r>
                              <w:t>The HDHP cost-sharing limits for 202</w:t>
                            </w:r>
                            <w:r w:rsidR="00271335">
                              <w:t>3</w:t>
                            </w:r>
                            <w:r>
                              <w:t xml:space="preserve"> apply for plan years beginning on or after Jan. 1, 202</w:t>
                            </w:r>
                            <w:r w:rsidR="00271335">
                              <w:t>3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width:190pt;height:151.4pt;margin-top:495.75pt;margin-left:359.25pt;mso-height-percent:0;mso-height-relative:margin;mso-position-vertical-relative:page;mso-width-percent:0;mso-width-relative:margin;mso-wrap-distance-bottom:3.6pt;mso-wrap-distance-left:9pt;mso-wrap-distance-right:9pt;mso-wrap-distance-top:3.6pt;mso-wrap-style:square;position:absolute;v-text-anchor:top;visibility:visible;z-index:251662336" filled="f" stroked="f">
                <v:textbox>
                  <w:txbxContent>
                    <w:p w:rsidR="00110963" w:rsidP="00110963">
                      <w:pPr>
                        <w:pStyle w:val="SubHeader"/>
                      </w:pPr>
                      <w:r>
                        <w:t>January 1, 202</w:t>
                      </w:r>
                      <w:r w:rsidR="00271335">
                        <w:t>3</w:t>
                      </w:r>
                    </w:p>
                    <w:p w:rsidR="00110963" w:rsidRPr="00D2167C" w:rsidP="00110963">
                      <w:pPr>
                        <w:pStyle w:val="BodyText"/>
                      </w:pPr>
                      <w:r>
                        <w:t>The new contribution limits for HSAs become effective.</w:t>
                      </w:r>
                    </w:p>
                    <w:p w:rsidR="00110963" w:rsidP="00110963">
                      <w:pPr>
                        <w:pStyle w:val="SubHeader"/>
                      </w:pPr>
                      <w:r>
                        <w:t>202</w:t>
                      </w:r>
                      <w:r w:rsidR="00271335">
                        <w:t>3</w:t>
                      </w:r>
                      <w:r w:rsidR="00C87C31">
                        <w:t xml:space="preserve"> </w:t>
                      </w:r>
                      <w:r>
                        <w:t>Plan Years</w:t>
                      </w:r>
                    </w:p>
                    <w:p w:rsidR="00441851" w:rsidP="00844896">
                      <w:pPr>
                        <w:pStyle w:val="BodyText"/>
                      </w:pPr>
                      <w:r>
                        <w:t>The HDHP cost-sharing limits for 202</w:t>
                      </w:r>
                      <w:r w:rsidR="00271335">
                        <w:t>3</w:t>
                      </w:r>
                      <w:r>
                        <w:t xml:space="preserve"> apply for plan years beginning on or after Jan. 1, 202</w:t>
                      </w:r>
                      <w:r w:rsidR="00271335">
                        <w:t>3</w:t>
                      </w:r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A1F47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-448945</wp:posOffset>
                </wp:positionH>
                <wp:positionV relativeFrom="paragraph">
                  <wp:posOffset>125857</wp:posOffset>
                </wp:positionV>
                <wp:extent cx="3331845" cy="367030"/>
                <wp:effectExtent l="0" t="0" r="1905" b="0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331845" cy="367030"/>
                          <a:chOff x="11430" y="-19522"/>
                          <a:chExt cx="3332014" cy="367502"/>
                        </a:xfrm>
                      </wpg:grpSpPr>
                      <pic:pic xmlns:pic="http://schemas.openxmlformats.org/drawingml/2006/picture">
                        <pic:nvPicPr>
                          <pic:cNvPr id="33" name="Picture 33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430" y="-19522"/>
                            <a:ext cx="3332014" cy="367502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3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377190" y="0"/>
                            <a:ext cx="2413000" cy="329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3699" w:rsidRPr="00A8186B" w:rsidP="008B3699">
                              <w:pPr>
                                <w:pStyle w:val="SubHeader"/>
                                <w:rPr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32"/>
                                  <w:szCs w:val="32"/>
                                </w:rPr>
                                <w:t>Action Steps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6" o:spid="_x0000_s1033" style="width:262.35pt;height:28.9pt;margin-top:9.9pt;margin-left:-35.35pt;mso-height-relative:margin;mso-width-relative:margin;position:absolute;z-index:251666432" coordorigin="114,-195" coordsize="33320,3675">
                <v:shape id="Picture 33" o:spid="_x0000_s1034" type="#_x0000_t75" style="width:33320;height:3674;left:114;mso-wrap-style:square;position:absolute;top:-195;visibility:visible">
                  <v:imagedata r:id="rId5" o:title=""/>
                </v:shape>
                <v:shape id="Text Box 35" o:spid="_x0000_s1035" type="#_x0000_t202" style="width:24130;height:3295;left:3771;mso-wrap-style:square;position:absolute;v-text-anchor:top;visibility:visible" filled="f" stroked="f">
                  <v:textbox>
                    <w:txbxContent>
                      <w:p w:rsidR="008B3699" w:rsidRPr="00A8186B" w:rsidP="008B3699">
                        <w:pPr>
                          <w:pStyle w:val="SubHeader"/>
                          <w:rPr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color w:val="FFFFFF" w:themeColor="background1"/>
                            <w:sz w:val="32"/>
                            <w:szCs w:val="32"/>
                          </w:rPr>
                          <w:t>Action Steps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B200A" w:rsidP="00150559">
      <w:pPr>
        <w:pStyle w:val="Xbox"/>
        <w:numPr>
          <w:ilvl w:val="0"/>
          <w:numId w:val="0"/>
        </w:numPr>
        <w:ind w:right="270"/>
      </w:pPr>
    </w:p>
    <w:p w:rsidR="00D046CF" w:rsidP="00E52110">
      <w:pPr>
        <w:pStyle w:val="Xbox"/>
        <w:numPr>
          <w:ilvl w:val="0"/>
          <w:numId w:val="0"/>
        </w:numPr>
        <w:ind w:left="540" w:right="270"/>
      </w:pPr>
    </w:p>
    <w:p w:rsidR="00A357CD" w:rsidRPr="00C84C66" w:rsidP="00271335">
      <w:pPr>
        <w:pStyle w:val="BodyText"/>
        <w:spacing w:after="0"/>
        <w:ind w:right="274"/>
        <w:rPr>
          <w:b/>
          <w:color w:val="FFFFFF" w:themeColor="background1"/>
        </w:rPr>
        <w:sectPr w:rsidSect="008A7E71">
          <w:headerReference w:type="default" r:id="rId7"/>
          <w:footerReference w:type="default" r:id="rId8"/>
          <w:pgSz w:w="12240" w:h="15840"/>
          <w:pgMar w:top="3946" w:right="4680" w:bottom="1440" w:left="720" w:header="720" w:footer="720" w:gutter="0"/>
          <w:cols w:space="720"/>
          <w:docGrid w:linePitch="360"/>
        </w:sectPr>
      </w:pPr>
      <w:r>
        <w:t>E</w:t>
      </w:r>
      <w:r w:rsidRPr="00670C2F" w:rsidR="00670C2F">
        <w:t xml:space="preserve">mployers that sponsor </w:t>
      </w:r>
      <w:r>
        <w:t xml:space="preserve">HDHPs should </w:t>
      </w:r>
      <w:r w:rsidR="00D7561A">
        <w:t>review their plan’s cost-sharing limits (minimum deductibles and maximum out-of-pocket expense</w:t>
      </w:r>
      <w:r w:rsidR="00F3730B">
        <w:t xml:space="preserve"> limit</w:t>
      </w:r>
      <w:r w:rsidR="00D7561A">
        <w:t>) when preparing for the plan year beginning in 202</w:t>
      </w:r>
      <w:r w:rsidR="00271335">
        <w:t>3</w:t>
      </w:r>
      <w:r w:rsidR="00D7561A">
        <w:t>. Al</w:t>
      </w:r>
      <w:r w:rsidRPr="00670C2F" w:rsidR="00670C2F">
        <w:t xml:space="preserve">so, employers that allow employees to make pre-tax HSA contributions should </w:t>
      </w:r>
      <w:r w:rsidR="00721550">
        <w:t>update their plan communications for the increased contribution limits</w:t>
      </w:r>
      <w:r w:rsidRPr="00670C2F" w:rsidR="00670C2F">
        <w:t>.</w:t>
      </w:r>
      <w:r w:rsidR="00E6115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-85725</wp:posOffset>
                </wp:positionH>
                <wp:positionV relativeFrom="bottomMargin">
                  <wp:align>top</wp:align>
                </wp:positionV>
                <wp:extent cx="4344670" cy="59499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344670" cy="594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6115F" w:rsidRPr="00A9581B" w:rsidP="00E6115F">
                            <w:pPr>
                              <w:pStyle w:val="Header"/>
                              <w:rPr>
                                <w:sz w:val="20"/>
                                <w:szCs w:val="20"/>
                              </w:rPr>
                            </w:pPr>
                            <w:r w:rsidRPr="00A9581B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Provided to you by </w:t>
                            </w:r>
                            <w:r w:rsidRPr="00A9581B">
                              <w:rPr>
                                <w:b/>
                                <w:color w:val="5083C9"/>
                                <w:sz w:val="20"/>
                                <w:szCs w:val="20"/>
                              </w:rPr>
                              <w:t>ENV Insurance Agency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6" type="#_x0000_t202" style="width:342.1pt;height:46.85pt;margin-top:0;margin-left:-6.75pt;mso-height-percent:0;mso-height-relative:margin;mso-position-horizontal-relative:margin;mso-position-vertical:top;mso-position-vertical-relative:bottom-margin-area;mso-width-percent:0;mso-width-relative:margin;mso-wrap-distance-bottom:0;mso-wrap-distance-left:9pt;mso-wrap-distance-right:9pt;mso-wrap-distance-top:0;position:absolute;v-text-anchor:top;z-index:251663360" filled="f" fillcolor="this" stroked="f" strokeweight="0.5pt">
                <v:textbox>
                  <w:txbxContent>
                    <w:p w:rsidR="00E6115F" w:rsidRPr="00A9581B" w:rsidP="00E6115F">
                      <w:pPr>
                        <w:pStyle w:val="Header"/>
                        <w:rPr>
                          <w:sz w:val="20"/>
                          <w:szCs w:val="20"/>
                        </w:rPr>
                      </w:pPr>
                      <w:r w:rsidRPr="00A9581B">
                        <w:rPr>
                          <w:color w:val="595959" w:themeColor="text1" w:themeTint="A6"/>
                          <w:sz w:val="20"/>
                          <w:szCs w:val="20"/>
                        </w:rPr>
                        <w:t xml:space="preserve">Provided to you by </w:t>
                      </w:r>
                      <w:r w:rsidRPr="00A9581B">
                        <w:rPr>
                          <w:b/>
                          <w:color w:val="5083C9"/>
                          <w:sz w:val="20"/>
                          <w:szCs w:val="20"/>
                        </w:rPr>
                        <w:t>ENV Insurance Agency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84C66" w:rsidR="008A7E71">
        <w:rPr>
          <w:b/>
          <w:color w:val="FFFFFF" w:themeColor="background1"/>
        </w:rPr>
        <w:t xml:space="preserve"> are enforced.</w:t>
      </w:r>
      <w:r w:rsidRPr="00C84C66">
        <w:rPr>
          <w:b/>
          <w:noProof/>
          <w:color w:val="FFFFFF" w:themeColor="background1"/>
        </w:rPr>
        <w:t xml:space="preserve"> </w:t>
      </w:r>
    </w:p>
    <w:p w:rsidR="00C84C66" w:rsidP="00670C2F">
      <w:pPr>
        <w:pStyle w:val="SubHeader"/>
      </w:pPr>
      <w:r>
        <w:t>HSA/HDHP Limits</w:t>
      </w:r>
    </w:p>
    <w:p w:rsidR="00670C2F" w:rsidP="00670C2F">
      <w:pPr>
        <w:pStyle w:val="BodyText"/>
      </w:pPr>
      <w:r w:rsidRPr="00670C2F">
        <w:t>The following chart shows the HSA and HDHP limits for 202</w:t>
      </w:r>
      <w:r w:rsidR="00271335">
        <w:t>3</w:t>
      </w:r>
      <w:r w:rsidRPr="00670C2F">
        <w:t xml:space="preserve"> as compared to 20</w:t>
      </w:r>
      <w:r w:rsidR="00F3730B">
        <w:t>2</w:t>
      </w:r>
      <w:r w:rsidR="00271335">
        <w:t>2</w:t>
      </w:r>
      <w:r w:rsidRPr="00670C2F">
        <w:t>. It also includes the catch-up contribution limit that applies to HSA-eligible individuals who are age 55 or older, which is not adjusted for inflation and stays the same from year to year.</w:t>
      </w:r>
    </w:p>
    <w:tbl>
      <w:tblPr>
        <w:tblW w:w="0" w:type="auto"/>
        <w:jc w:val="center"/>
        <w:tblBorders>
          <w:insideH w:val="single" w:sz="18" w:space="0" w:color="FFFFFF"/>
          <w:insideV w:val="single" w:sz="18" w:space="0" w:color="FFFFFF"/>
        </w:tblBorders>
        <w:tblLook w:val="04A0"/>
      </w:tblPr>
      <w:tblGrid>
        <w:gridCol w:w="3271"/>
        <w:gridCol w:w="1782"/>
        <w:gridCol w:w="1911"/>
        <w:gridCol w:w="1911"/>
        <w:gridCol w:w="1738"/>
      </w:tblGrid>
      <w:tr w:rsidTr="00670C2F">
        <w:tblPrEx>
          <w:tblW w:w="0" w:type="auto"/>
          <w:jc w:val="center"/>
          <w:tblBorders>
            <w:insideH w:val="single" w:sz="18" w:space="0" w:color="FFFFFF"/>
            <w:insideV w:val="single" w:sz="18" w:space="0" w:color="FFFFFF"/>
          </w:tblBorders>
          <w:tblLook w:val="04A0"/>
        </w:tblPrEx>
        <w:trPr>
          <w:jc w:val="center"/>
        </w:trPr>
        <w:tc>
          <w:tcPr>
            <w:tcW w:w="5053" w:type="dxa"/>
            <w:gridSpan w:val="2"/>
            <w:shd w:val="clear" w:color="auto" w:fill="5083C9"/>
            <w:vAlign w:val="center"/>
          </w:tcPr>
          <w:p w:rsidR="00670C2F" w:rsidRPr="008470EA" w:rsidP="00955629">
            <w:pPr>
              <w:pStyle w:val="BodyText"/>
              <w:spacing w:before="160"/>
              <w:jc w:val="center"/>
              <w:rPr>
                <w:b/>
                <w:color w:val="FFFFFF"/>
              </w:rPr>
            </w:pPr>
            <w:r w:rsidRPr="008470EA">
              <w:rPr>
                <w:b/>
                <w:color w:val="FFFFFF"/>
              </w:rPr>
              <w:t>Type of Limit</w:t>
            </w:r>
          </w:p>
        </w:tc>
        <w:tc>
          <w:tcPr>
            <w:tcW w:w="1911" w:type="dxa"/>
            <w:shd w:val="clear" w:color="auto" w:fill="5083C9"/>
            <w:vAlign w:val="center"/>
          </w:tcPr>
          <w:p w:rsidR="00670C2F" w:rsidRPr="008470EA" w:rsidP="00955629">
            <w:pPr>
              <w:pStyle w:val="BodyText"/>
              <w:spacing w:before="16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202</w:t>
            </w:r>
            <w:r w:rsidR="00271335">
              <w:rPr>
                <w:b/>
                <w:color w:val="FFFFFF"/>
              </w:rPr>
              <w:t>2</w:t>
            </w:r>
          </w:p>
        </w:tc>
        <w:tc>
          <w:tcPr>
            <w:tcW w:w="1911" w:type="dxa"/>
            <w:shd w:val="clear" w:color="auto" w:fill="5083C9"/>
            <w:vAlign w:val="center"/>
          </w:tcPr>
          <w:p w:rsidR="00670C2F" w:rsidRPr="008470EA" w:rsidP="00955629">
            <w:pPr>
              <w:pStyle w:val="BodyText"/>
              <w:spacing w:before="16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202</w:t>
            </w:r>
            <w:r w:rsidR="00271335">
              <w:rPr>
                <w:b/>
                <w:color w:val="FFFFFF"/>
              </w:rPr>
              <w:t>3</w:t>
            </w:r>
          </w:p>
        </w:tc>
        <w:tc>
          <w:tcPr>
            <w:tcW w:w="1738" w:type="dxa"/>
            <w:shd w:val="clear" w:color="auto" w:fill="5083C9"/>
            <w:vAlign w:val="center"/>
          </w:tcPr>
          <w:p w:rsidR="00670C2F" w:rsidRPr="008470EA" w:rsidP="00955629">
            <w:pPr>
              <w:pStyle w:val="BodyText"/>
              <w:spacing w:before="160"/>
              <w:jc w:val="center"/>
              <w:rPr>
                <w:b/>
                <w:color w:val="FFFFFF"/>
              </w:rPr>
            </w:pPr>
            <w:r w:rsidRPr="008470EA">
              <w:rPr>
                <w:b/>
                <w:color w:val="FFFFFF"/>
              </w:rPr>
              <w:t>Change</w:t>
            </w:r>
          </w:p>
        </w:tc>
      </w:tr>
      <w:tr w:rsidTr="00670C2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271" w:type="dxa"/>
            <w:vMerge w:val="restart"/>
            <w:shd w:val="clear" w:color="auto" w:fill="E8EFF8"/>
            <w:vAlign w:val="center"/>
          </w:tcPr>
          <w:p w:rsidR="00C87C31" w:rsidRPr="00FF0B8B" w:rsidP="00C87C31">
            <w:pPr>
              <w:pStyle w:val="BodyText"/>
              <w:spacing w:before="160"/>
              <w:jc w:val="center"/>
              <w:rPr>
                <w:b/>
              </w:rPr>
            </w:pPr>
            <w:r w:rsidRPr="00FF0B8B">
              <w:rPr>
                <w:b/>
              </w:rPr>
              <w:t>HSA Contribution Limit</w:t>
            </w:r>
          </w:p>
        </w:tc>
        <w:tc>
          <w:tcPr>
            <w:tcW w:w="1782" w:type="dxa"/>
            <w:shd w:val="clear" w:color="auto" w:fill="E8EFF8"/>
            <w:vAlign w:val="center"/>
          </w:tcPr>
          <w:p w:rsidR="00C87C31" w:rsidRPr="00FF0B8B" w:rsidP="00C87C31">
            <w:pPr>
              <w:pStyle w:val="BodyText"/>
              <w:spacing w:before="160"/>
              <w:jc w:val="center"/>
            </w:pPr>
            <w:r w:rsidRPr="00FF0B8B">
              <w:t>Self-only</w:t>
            </w:r>
          </w:p>
        </w:tc>
        <w:tc>
          <w:tcPr>
            <w:tcW w:w="1911" w:type="dxa"/>
            <w:shd w:val="clear" w:color="auto" w:fill="E8EFF8"/>
            <w:vAlign w:val="center"/>
          </w:tcPr>
          <w:p w:rsidR="00C87C31" w:rsidRPr="00FF0B8B" w:rsidP="00C87C31">
            <w:pPr>
              <w:pStyle w:val="BodyText"/>
              <w:spacing w:before="160"/>
              <w:jc w:val="center"/>
              <w:rPr>
                <w:szCs w:val="18"/>
              </w:rPr>
            </w:pPr>
            <w:r>
              <w:rPr>
                <w:szCs w:val="18"/>
              </w:rPr>
              <w:t>$3,650</w:t>
            </w:r>
          </w:p>
        </w:tc>
        <w:tc>
          <w:tcPr>
            <w:tcW w:w="1911" w:type="dxa"/>
            <w:shd w:val="clear" w:color="auto" w:fill="E8EFF8"/>
            <w:vAlign w:val="center"/>
          </w:tcPr>
          <w:p w:rsidR="00C87C31" w:rsidRPr="00FF0B8B" w:rsidP="00C87C31">
            <w:pPr>
              <w:pStyle w:val="BodyText"/>
              <w:spacing w:before="160"/>
              <w:jc w:val="center"/>
              <w:rPr>
                <w:szCs w:val="18"/>
              </w:rPr>
            </w:pPr>
            <w:r>
              <w:rPr>
                <w:szCs w:val="18"/>
              </w:rPr>
              <w:t>$3,</w:t>
            </w:r>
            <w:r w:rsidR="00271335">
              <w:rPr>
                <w:szCs w:val="18"/>
              </w:rPr>
              <w:t>8</w:t>
            </w:r>
            <w:r>
              <w:rPr>
                <w:szCs w:val="18"/>
              </w:rPr>
              <w:t>50</w:t>
            </w:r>
          </w:p>
        </w:tc>
        <w:tc>
          <w:tcPr>
            <w:tcW w:w="1738" w:type="dxa"/>
            <w:shd w:val="clear" w:color="auto" w:fill="E8EFF8"/>
            <w:vAlign w:val="center"/>
          </w:tcPr>
          <w:p w:rsidR="00C87C31" w:rsidRPr="00FF0B8B" w:rsidP="00C87C31">
            <w:pPr>
              <w:pStyle w:val="BodyText"/>
              <w:spacing w:before="160"/>
              <w:jc w:val="center"/>
              <w:rPr>
                <w:b/>
              </w:rPr>
            </w:pPr>
            <w:r w:rsidRPr="00FF0B8B">
              <w:rPr>
                <w:b/>
              </w:rPr>
              <w:t>Up $</w:t>
            </w:r>
            <w:r w:rsidR="00271335">
              <w:rPr>
                <w:b/>
              </w:rPr>
              <w:t>20</w:t>
            </w:r>
            <w:r w:rsidRPr="00FF0B8B">
              <w:rPr>
                <w:b/>
              </w:rPr>
              <w:t>0</w:t>
            </w:r>
          </w:p>
        </w:tc>
      </w:tr>
      <w:tr w:rsidTr="00670C2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271" w:type="dxa"/>
            <w:vMerge/>
            <w:shd w:val="clear" w:color="auto" w:fill="E8EFF8"/>
            <w:vAlign w:val="center"/>
          </w:tcPr>
          <w:p w:rsidR="00271335" w:rsidRPr="00FF0B8B" w:rsidP="00271335">
            <w:pPr>
              <w:pStyle w:val="BodyText"/>
              <w:spacing w:before="160"/>
              <w:jc w:val="center"/>
            </w:pPr>
          </w:p>
        </w:tc>
        <w:tc>
          <w:tcPr>
            <w:tcW w:w="1782" w:type="dxa"/>
            <w:shd w:val="clear" w:color="auto" w:fill="E8EFF8"/>
            <w:vAlign w:val="center"/>
          </w:tcPr>
          <w:p w:rsidR="00271335" w:rsidRPr="00FF0B8B" w:rsidP="00271335">
            <w:pPr>
              <w:pStyle w:val="BodyText"/>
              <w:spacing w:before="160"/>
              <w:jc w:val="center"/>
            </w:pPr>
            <w:r w:rsidRPr="00FF0B8B">
              <w:t>Family</w:t>
            </w:r>
          </w:p>
        </w:tc>
        <w:tc>
          <w:tcPr>
            <w:tcW w:w="1911" w:type="dxa"/>
            <w:shd w:val="clear" w:color="auto" w:fill="E8EFF8"/>
            <w:vAlign w:val="center"/>
          </w:tcPr>
          <w:p w:rsidR="00271335" w:rsidRPr="00FF0B8B" w:rsidP="00271335">
            <w:pPr>
              <w:pStyle w:val="BodyText"/>
              <w:spacing w:before="160"/>
              <w:jc w:val="center"/>
              <w:rPr>
                <w:szCs w:val="18"/>
              </w:rPr>
            </w:pPr>
            <w:r>
              <w:rPr>
                <w:szCs w:val="18"/>
              </w:rPr>
              <w:t>$7,300</w:t>
            </w:r>
          </w:p>
        </w:tc>
        <w:tc>
          <w:tcPr>
            <w:tcW w:w="1911" w:type="dxa"/>
            <w:shd w:val="clear" w:color="auto" w:fill="E8EFF8"/>
            <w:vAlign w:val="center"/>
          </w:tcPr>
          <w:p w:rsidR="00271335" w:rsidRPr="00FF0B8B" w:rsidP="00271335">
            <w:pPr>
              <w:pStyle w:val="BodyText"/>
              <w:spacing w:before="160"/>
              <w:jc w:val="center"/>
              <w:rPr>
                <w:szCs w:val="18"/>
              </w:rPr>
            </w:pPr>
            <w:r>
              <w:rPr>
                <w:szCs w:val="18"/>
              </w:rPr>
              <w:t>$7,750</w:t>
            </w:r>
          </w:p>
        </w:tc>
        <w:tc>
          <w:tcPr>
            <w:tcW w:w="1738" w:type="dxa"/>
            <w:shd w:val="clear" w:color="auto" w:fill="E8EFF8"/>
            <w:vAlign w:val="center"/>
          </w:tcPr>
          <w:p w:rsidR="00271335" w:rsidRPr="00FF0B8B" w:rsidP="00271335">
            <w:pPr>
              <w:pStyle w:val="BodyText"/>
              <w:spacing w:before="160"/>
              <w:jc w:val="center"/>
              <w:rPr>
                <w:b/>
              </w:rPr>
            </w:pPr>
            <w:r>
              <w:rPr>
                <w:b/>
              </w:rPr>
              <w:t>Up $45</w:t>
            </w:r>
            <w:r w:rsidRPr="00FF0B8B">
              <w:rPr>
                <w:b/>
              </w:rPr>
              <w:t>0</w:t>
            </w:r>
          </w:p>
        </w:tc>
      </w:tr>
      <w:tr w:rsidTr="00670C2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271" w:type="dxa"/>
            <w:shd w:val="clear" w:color="auto" w:fill="E8EFF8"/>
            <w:vAlign w:val="center"/>
          </w:tcPr>
          <w:p w:rsidR="00271335" w:rsidRPr="00FF0B8B" w:rsidP="00271335">
            <w:pPr>
              <w:pStyle w:val="BodyText"/>
              <w:spacing w:before="160"/>
              <w:jc w:val="center"/>
              <w:rPr>
                <w:szCs w:val="18"/>
              </w:rPr>
            </w:pPr>
            <w:r w:rsidRPr="00FF0B8B">
              <w:rPr>
                <w:b/>
                <w:szCs w:val="18"/>
              </w:rPr>
              <w:t>HSA Catch-up Contributions</w:t>
            </w:r>
            <w:r w:rsidRPr="00FF0B8B">
              <w:rPr>
                <w:szCs w:val="18"/>
              </w:rPr>
              <w:t xml:space="preserve"> </w:t>
            </w:r>
            <w:r w:rsidRPr="00FF0B8B">
              <w:rPr>
                <w:i/>
                <w:szCs w:val="18"/>
              </w:rPr>
              <w:t>(not subject to adjustment for inflation)</w:t>
            </w:r>
          </w:p>
        </w:tc>
        <w:tc>
          <w:tcPr>
            <w:tcW w:w="1782" w:type="dxa"/>
            <w:shd w:val="clear" w:color="auto" w:fill="E8EFF8"/>
            <w:vAlign w:val="center"/>
          </w:tcPr>
          <w:p w:rsidR="00271335" w:rsidRPr="00FF0B8B" w:rsidP="00271335">
            <w:pPr>
              <w:pStyle w:val="BodyText"/>
              <w:spacing w:before="160"/>
              <w:jc w:val="center"/>
            </w:pPr>
            <w:r w:rsidRPr="00FF0B8B">
              <w:t>Age 55 or older</w:t>
            </w:r>
          </w:p>
        </w:tc>
        <w:tc>
          <w:tcPr>
            <w:tcW w:w="1911" w:type="dxa"/>
            <w:shd w:val="clear" w:color="auto" w:fill="E8EFF8"/>
            <w:vAlign w:val="center"/>
          </w:tcPr>
          <w:p w:rsidR="00271335" w:rsidRPr="00FF0B8B" w:rsidP="00271335">
            <w:pPr>
              <w:pStyle w:val="BodyText"/>
              <w:spacing w:before="160"/>
              <w:jc w:val="center"/>
              <w:rPr>
                <w:szCs w:val="18"/>
              </w:rPr>
            </w:pPr>
            <w:r>
              <w:rPr>
                <w:szCs w:val="18"/>
              </w:rPr>
              <w:t>$1,000</w:t>
            </w:r>
          </w:p>
        </w:tc>
        <w:tc>
          <w:tcPr>
            <w:tcW w:w="1911" w:type="dxa"/>
            <w:shd w:val="clear" w:color="auto" w:fill="E8EFF8"/>
            <w:vAlign w:val="center"/>
          </w:tcPr>
          <w:p w:rsidR="00271335" w:rsidRPr="00FF0B8B" w:rsidP="00271335">
            <w:pPr>
              <w:pStyle w:val="BodyText"/>
              <w:spacing w:before="160"/>
              <w:jc w:val="center"/>
              <w:rPr>
                <w:szCs w:val="18"/>
              </w:rPr>
            </w:pPr>
            <w:r>
              <w:rPr>
                <w:szCs w:val="18"/>
              </w:rPr>
              <w:t>$1,000</w:t>
            </w:r>
          </w:p>
        </w:tc>
        <w:tc>
          <w:tcPr>
            <w:tcW w:w="1738" w:type="dxa"/>
            <w:shd w:val="clear" w:color="auto" w:fill="E8EFF8"/>
            <w:vAlign w:val="center"/>
          </w:tcPr>
          <w:p w:rsidR="00271335" w:rsidRPr="00FF0B8B" w:rsidP="00271335">
            <w:pPr>
              <w:pStyle w:val="BodyText"/>
              <w:spacing w:before="160"/>
              <w:jc w:val="center"/>
            </w:pPr>
            <w:r w:rsidRPr="00FF0B8B">
              <w:t>No change</w:t>
            </w:r>
          </w:p>
        </w:tc>
      </w:tr>
      <w:tr w:rsidTr="00670C2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271" w:type="dxa"/>
            <w:vMerge w:val="restart"/>
            <w:shd w:val="clear" w:color="auto" w:fill="E8EFF8"/>
            <w:vAlign w:val="center"/>
          </w:tcPr>
          <w:p w:rsidR="00271335" w:rsidRPr="00FF0B8B" w:rsidP="00271335">
            <w:pPr>
              <w:pStyle w:val="BodyText"/>
              <w:spacing w:before="160"/>
              <w:jc w:val="center"/>
              <w:rPr>
                <w:b/>
                <w:szCs w:val="18"/>
              </w:rPr>
            </w:pPr>
            <w:r w:rsidRPr="00FF0B8B">
              <w:rPr>
                <w:b/>
                <w:szCs w:val="18"/>
              </w:rPr>
              <w:t>HDHP Minimum Deductible</w:t>
            </w:r>
          </w:p>
        </w:tc>
        <w:tc>
          <w:tcPr>
            <w:tcW w:w="1782" w:type="dxa"/>
            <w:shd w:val="clear" w:color="auto" w:fill="E8EFF8"/>
            <w:vAlign w:val="center"/>
          </w:tcPr>
          <w:p w:rsidR="00271335" w:rsidRPr="00FF0B8B" w:rsidP="00271335">
            <w:pPr>
              <w:pStyle w:val="BodyText"/>
              <w:spacing w:before="160"/>
              <w:jc w:val="center"/>
            </w:pPr>
            <w:r w:rsidRPr="00FF0B8B">
              <w:t>Self-only</w:t>
            </w:r>
          </w:p>
        </w:tc>
        <w:tc>
          <w:tcPr>
            <w:tcW w:w="1911" w:type="dxa"/>
            <w:shd w:val="clear" w:color="auto" w:fill="E8EFF8"/>
            <w:vAlign w:val="center"/>
          </w:tcPr>
          <w:p w:rsidR="00271335" w:rsidRPr="00FF0B8B" w:rsidP="00271335">
            <w:pPr>
              <w:pStyle w:val="BodyText"/>
              <w:spacing w:before="160"/>
              <w:jc w:val="center"/>
              <w:rPr>
                <w:szCs w:val="18"/>
              </w:rPr>
            </w:pPr>
            <w:r>
              <w:rPr>
                <w:szCs w:val="18"/>
              </w:rPr>
              <w:t>$1,400</w:t>
            </w:r>
          </w:p>
        </w:tc>
        <w:tc>
          <w:tcPr>
            <w:tcW w:w="1911" w:type="dxa"/>
            <w:shd w:val="clear" w:color="auto" w:fill="E8EFF8"/>
            <w:vAlign w:val="center"/>
          </w:tcPr>
          <w:p w:rsidR="00271335" w:rsidRPr="00FF0B8B" w:rsidP="00271335">
            <w:pPr>
              <w:pStyle w:val="BodyText"/>
              <w:spacing w:before="160"/>
              <w:jc w:val="center"/>
              <w:rPr>
                <w:szCs w:val="18"/>
              </w:rPr>
            </w:pPr>
            <w:r>
              <w:rPr>
                <w:szCs w:val="18"/>
              </w:rPr>
              <w:t>$1,500</w:t>
            </w:r>
          </w:p>
        </w:tc>
        <w:tc>
          <w:tcPr>
            <w:tcW w:w="1738" w:type="dxa"/>
            <w:shd w:val="clear" w:color="auto" w:fill="E8EFF8"/>
            <w:vAlign w:val="center"/>
          </w:tcPr>
          <w:p w:rsidR="00271335" w:rsidRPr="00FF0B8B" w:rsidP="00271335">
            <w:pPr>
              <w:pStyle w:val="BodyText"/>
              <w:spacing w:before="160"/>
              <w:jc w:val="center"/>
            </w:pPr>
            <w:r>
              <w:rPr>
                <w:b/>
              </w:rPr>
              <w:t>Up $10</w:t>
            </w:r>
            <w:r w:rsidRPr="00FF0B8B">
              <w:rPr>
                <w:b/>
              </w:rPr>
              <w:t>0</w:t>
            </w:r>
          </w:p>
        </w:tc>
      </w:tr>
      <w:tr w:rsidTr="00670C2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271" w:type="dxa"/>
            <w:vMerge/>
            <w:shd w:val="clear" w:color="auto" w:fill="E8EFF8"/>
            <w:vAlign w:val="center"/>
          </w:tcPr>
          <w:p w:rsidR="00271335" w:rsidRPr="00FF0B8B" w:rsidP="00271335">
            <w:pPr>
              <w:pStyle w:val="BodyText"/>
              <w:spacing w:before="160"/>
              <w:jc w:val="center"/>
              <w:rPr>
                <w:szCs w:val="18"/>
              </w:rPr>
            </w:pPr>
          </w:p>
        </w:tc>
        <w:tc>
          <w:tcPr>
            <w:tcW w:w="1782" w:type="dxa"/>
            <w:shd w:val="clear" w:color="auto" w:fill="E8EFF8"/>
            <w:vAlign w:val="center"/>
          </w:tcPr>
          <w:p w:rsidR="00271335" w:rsidRPr="00FF0B8B" w:rsidP="00271335">
            <w:pPr>
              <w:pStyle w:val="BodyText"/>
              <w:spacing w:before="160"/>
              <w:jc w:val="center"/>
            </w:pPr>
            <w:r w:rsidRPr="00FF0B8B">
              <w:t>Family</w:t>
            </w:r>
          </w:p>
        </w:tc>
        <w:tc>
          <w:tcPr>
            <w:tcW w:w="1911" w:type="dxa"/>
            <w:shd w:val="clear" w:color="auto" w:fill="E8EFF8"/>
            <w:vAlign w:val="center"/>
          </w:tcPr>
          <w:p w:rsidR="00271335" w:rsidRPr="00FF0B8B" w:rsidP="00271335">
            <w:pPr>
              <w:pStyle w:val="BodyText"/>
              <w:spacing w:before="160"/>
              <w:jc w:val="center"/>
              <w:rPr>
                <w:szCs w:val="18"/>
              </w:rPr>
            </w:pPr>
            <w:r>
              <w:rPr>
                <w:szCs w:val="18"/>
              </w:rPr>
              <w:t>$2,800</w:t>
            </w:r>
          </w:p>
        </w:tc>
        <w:tc>
          <w:tcPr>
            <w:tcW w:w="1911" w:type="dxa"/>
            <w:shd w:val="clear" w:color="auto" w:fill="E8EFF8"/>
            <w:vAlign w:val="center"/>
          </w:tcPr>
          <w:p w:rsidR="00271335" w:rsidRPr="00FF0B8B" w:rsidP="00271335">
            <w:pPr>
              <w:pStyle w:val="BodyText"/>
              <w:spacing w:before="160"/>
              <w:jc w:val="center"/>
              <w:rPr>
                <w:szCs w:val="18"/>
              </w:rPr>
            </w:pPr>
            <w:r>
              <w:rPr>
                <w:szCs w:val="18"/>
              </w:rPr>
              <w:t>$3,000</w:t>
            </w:r>
          </w:p>
        </w:tc>
        <w:tc>
          <w:tcPr>
            <w:tcW w:w="1738" w:type="dxa"/>
            <w:shd w:val="clear" w:color="auto" w:fill="E8EFF8"/>
            <w:vAlign w:val="center"/>
          </w:tcPr>
          <w:p w:rsidR="00271335" w:rsidRPr="00FF0B8B" w:rsidP="00271335">
            <w:pPr>
              <w:pStyle w:val="BodyText"/>
              <w:spacing w:before="160"/>
              <w:jc w:val="center"/>
            </w:pPr>
            <w:r>
              <w:rPr>
                <w:b/>
              </w:rPr>
              <w:t>Up $</w:t>
            </w:r>
            <w:r>
              <w:rPr>
                <w:b/>
              </w:rPr>
              <w:t>2</w:t>
            </w:r>
            <w:r>
              <w:rPr>
                <w:b/>
              </w:rPr>
              <w:t>0</w:t>
            </w:r>
            <w:r w:rsidRPr="00FF0B8B">
              <w:rPr>
                <w:b/>
              </w:rPr>
              <w:t>0</w:t>
            </w:r>
          </w:p>
        </w:tc>
      </w:tr>
      <w:tr w:rsidTr="00670C2F">
        <w:tblPrEx>
          <w:tblW w:w="0" w:type="auto"/>
          <w:jc w:val="center"/>
          <w:tblLook w:val="04A0"/>
        </w:tblPrEx>
        <w:trPr>
          <w:trHeight w:val="597"/>
          <w:jc w:val="center"/>
        </w:trPr>
        <w:tc>
          <w:tcPr>
            <w:tcW w:w="3271" w:type="dxa"/>
            <w:vMerge w:val="restart"/>
            <w:shd w:val="clear" w:color="auto" w:fill="E8EFF8"/>
            <w:vAlign w:val="center"/>
          </w:tcPr>
          <w:p w:rsidR="00271335" w:rsidRPr="00FF0B8B" w:rsidP="00271335">
            <w:pPr>
              <w:pStyle w:val="BodyText"/>
              <w:spacing w:before="160"/>
              <w:jc w:val="center"/>
              <w:rPr>
                <w:szCs w:val="18"/>
              </w:rPr>
            </w:pPr>
            <w:r w:rsidRPr="00FF0B8B">
              <w:rPr>
                <w:b/>
                <w:szCs w:val="18"/>
              </w:rPr>
              <w:t>HDHP Maximum Out-of-pocket Expense Limit</w:t>
            </w:r>
            <w:r w:rsidRPr="00FF0B8B">
              <w:rPr>
                <w:szCs w:val="18"/>
              </w:rPr>
              <w:t xml:space="preserve"> </w:t>
            </w:r>
            <w:r w:rsidRPr="00FF0B8B">
              <w:rPr>
                <w:i/>
                <w:szCs w:val="18"/>
              </w:rPr>
              <w:t>(deductibles, copayments and other amounts, but not premiums)</w:t>
            </w:r>
          </w:p>
        </w:tc>
        <w:tc>
          <w:tcPr>
            <w:tcW w:w="1782" w:type="dxa"/>
            <w:shd w:val="clear" w:color="auto" w:fill="E8EFF8"/>
            <w:vAlign w:val="center"/>
          </w:tcPr>
          <w:p w:rsidR="00271335" w:rsidRPr="00FF0B8B" w:rsidP="00271335">
            <w:pPr>
              <w:pStyle w:val="BodyText"/>
              <w:spacing w:before="160"/>
              <w:jc w:val="center"/>
            </w:pPr>
            <w:r w:rsidRPr="00FF0B8B">
              <w:t>Self-only</w:t>
            </w:r>
          </w:p>
        </w:tc>
        <w:tc>
          <w:tcPr>
            <w:tcW w:w="1911" w:type="dxa"/>
            <w:shd w:val="clear" w:color="auto" w:fill="E8EFF8"/>
            <w:vAlign w:val="center"/>
          </w:tcPr>
          <w:p w:rsidR="00271335" w:rsidRPr="00FF0B8B" w:rsidP="00271335">
            <w:pPr>
              <w:pStyle w:val="BodyText"/>
              <w:spacing w:before="160"/>
              <w:jc w:val="center"/>
              <w:rPr>
                <w:szCs w:val="18"/>
              </w:rPr>
            </w:pPr>
            <w:r>
              <w:rPr>
                <w:szCs w:val="18"/>
              </w:rPr>
              <w:t>$7,050</w:t>
            </w:r>
          </w:p>
        </w:tc>
        <w:tc>
          <w:tcPr>
            <w:tcW w:w="1911" w:type="dxa"/>
            <w:shd w:val="clear" w:color="auto" w:fill="E8EFF8"/>
            <w:vAlign w:val="center"/>
          </w:tcPr>
          <w:p w:rsidR="00271335" w:rsidRPr="00FF0B8B" w:rsidP="00271335">
            <w:pPr>
              <w:pStyle w:val="BodyText"/>
              <w:spacing w:before="160"/>
              <w:jc w:val="center"/>
              <w:rPr>
                <w:szCs w:val="18"/>
              </w:rPr>
            </w:pPr>
            <w:r>
              <w:rPr>
                <w:szCs w:val="18"/>
              </w:rPr>
              <w:t>$7,500</w:t>
            </w:r>
          </w:p>
        </w:tc>
        <w:tc>
          <w:tcPr>
            <w:tcW w:w="1738" w:type="dxa"/>
            <w:shd w:val="clear" w:color="auto" w:fill="E8EFF8"/>
            <w:vAlign w:val="center"/>
          </w:tcPr>
          <w:p w:rsidR="00271335" w:rsidRPr="00FF0B8B" w:rsidP="00271335">
            <w:pPr>
              <w:pStyle w:val="BodyText"/>
              <w:spacing w:before="160"/>
              <w:jc w:val="center"/>
              <w:rPr>
                <w:b/>
              </w:rPr>
            </w:pPr>
            <w:r>
              <w:rPr>
                <w:b/>
              </w:rPr>
              <w:t>Up $450</w:t>
            </w:r>
          </w:p>
        </w:tc>
      </w:tr>
      <w:tr w:rsidTr="00670C2F">
        <w:tblPrEx>
          <w:tblW w:w="0" w:type="auto"/>
          <w:jc w:val="center"/>
          <w:tblLook w:val="04A0"/>
        </w:tblPrEx>
        <w:trPr>
          <w:trHeight w:val="598"/>
          <w:jc w:val="center"/>
        </w:trPr>
        <w:tc>
          <w:tcPr>
            <w:tcW w:w="3271" w:type="dxa"/>
            <w:vMerge/>
            <w:shd w:val="clear" w:color="auto" w:fill="E8EFF8"/>
            <w:vAlign w:val="center"/>
          </w:tcPr>
          <w:p w:rsidR="00271335" w:rsidRPr="00FF0B8B" w:rsidP="00271335">
            <w:pPr>
              <w:pStyle w:val="BodyText"/>
              <w:spacing w:before="160"/>
              <w:jc w:val="center"/>
              <w:rPr>
                <w:szCs w:val="18"/>
              </w:rPr>
            </w:pPr>
          </w:p>
        </w:tc>
        <w:tc>
          <w:tcPr>
            <w:tcW w:w="1782" w:type="dxa"/>
            <w:shd w:val="clear" w:color="auto" w:fill="E8EFF8"/>
            <w:vAlign w:val="center"/>
          </w:tcPr>
          <w:p w:rsidR="00271335" w:rsidRPr="00FF0B8B" w:rsidP="00271335">
            <w:pPr>
              <w:pStyle w:val="BodyText"/>
              <w:spacing w:before="160"/>
              <w:jc w:val="center"/>
            </w:pPr>
            <w:r w:rsidRPr="00FF0B8B">
              <w:t>Family</w:t>
            </w:r>
          </w:p>
        </w:tc>
        <w:tc>
          <w:tcPr>
            <w:tcW w:w="1911" w:type="dxa"/>
            <w:shd w:val="clear" w:color="auto" w:fill="E8EFF8"/>
            <w:vAlign w:val="center"/>
          </w:tcPr>
          <w:p w:rsidR="00271335" w:rsidRPr="00FF0B8B" w:rsidP="00271335">
            <w:pPr>
              <w:pStyle w:val="BodyText"/>
              <w:spacing w:before="160"/>
              <w:jc w:val="center"/>
              <w:rPr>
                <w:szCs w:val="18"/>
              </w:rPr>
            </w:pPr>
            <w:r>
              <w:rPr>
                <w:szCs w:val="18"/>
              </w:rPr>
              <w:t>$14,100</w:t>
            </w:r>
          </w:p>
        </w:tc>
        <w:tc>
          <w:tcPr>
            <w:tcW w:w="1911" w:type="dxa"/>
            <w:shd w:val="clear" w:color="auto" w:fill="E8EFF8"/>
            <w:vAlign w:val="center"/>
          </w:tcPr>
          <w:p w:rsidR="00271335" w:rsidRPr="00FF0B8B" w:rsidP="00271335">
            <w:pPr>
              <w:pStyle w:val="BodyText"/>
              <w:spacing w:before="160"/>
              <w:jc w:val="center"/>
              <w:rPr>
                <w:szCs w:val="18"/>
              </w:rPr>
            </w:pPr>
            <w:r>
              <w:rPr>
                <w:szCs w:val="18"/>
              </w:rPr>
              <w:t>$15,000</w:t>
            </w:r>
          </w:p>
        </w:tc>
        <w:tc>
          <w:tcPr>
            <w:tcW w:w="1738" w:type="dxa"/>
            <w:shd w:val="clear" w:color="auto" w:fill="E8EFF8"/>
            <w:vAlign w:val="center"/>
          </w:tcPr>
          <w:p w:rsidR="00271335" w:rsidRPr="00FF0B8B" w:rsidP="00271335">
            <w:pPr>
              <w:pStyle w:val="BodyText"/>
              <w:spacing w:before="160"/>
              <w:jc w:val="center"/>
              <w:rPr>
                <w:b/>
              </w:rPr>
            </w:pPr>
            <w:r>
              <w:rPr>
                <w:b/>
              </w:rPr>
              <w:t>Up $9</w:t>
            </w:r>
            <w:r w:rsidRPr="00FF0B8B">
              <w:rPr>
                <w:b/>
              </w:rPr>
              <w:t>00</w:t>
            </w:r>
          </w:p>
        </w:tc>
      </w:tr>
    </w:tbl>
    <w:p w:rsidR="00670C2F" w:rsidP="00670C2F">
      <w:pPr>
        <w:pStyle w:val="BodyText"/>
      </w:pPr>
    </w:p>
    <w:sectPr w:rsidSect="00C84C66">
      <w:headerReference w:type="default" r:id="rId9"/>
      <w:footerReference w:type="default" r:id="rId10"/>
      <w:pgSz w:w="12240" w:h="15840"/>
      <w:pgMar w:top="1800" w:right="720" w:bottom="180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636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0</wp:posOffset>
              </wp:positionH>
              <wp:positionV relativeFrom="margin">
                <wp:align>bottom</wp:align>
              </wp:positionV>
              <wp:extent cx="4126230" cy="0"/>
              <wp:effectExtent l="19050" t="19050" r="762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 flipH="1" flipV="1">
                        <a:off x="0" y="0"/>
                        <a:ext cx="4126230" cy="0"/>
                      </a:xfrm>
                      <a:prstGeom prst="line">
                        <a:avLst/>
                      </a:prstGeom>
                      <a:ln w="44450">
                        <a:solidFill>
                          <a:schemeClr val="accent1">
                            <a:alpha val="75000"/>
                          </a:schemeClr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5" o:spid="_x0000_s2049" style="flip:x y;mso-height-percent:0;mso-height-relative:margin;mso-position-horizontal-relative:margin;mso-position-vertical:bottom;mso-position-vertical-relative:margin;mso-width-percent:0;mso-width-relative:margin;mso-wrap-distance-bottom:0;mso-wrap-distance-left:9pt;mso-wrap-distance-right:9pt;mso-wrap-distance-top:0;mso-wrap-style:square;position:absolute;visibility:visible;z-index:251662336" from="0,0" to="324.9pt,0" strokecolor="#4472c4" strokeweight="3.5pt">
              <v:stroke joinstyle="miter" opacity="49087f"/>
              <w10:wrap anchorx="margin" anchory="margin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1492575</wp:posOffset>
          </wp:positionV>
          <wp:extent cx="7772400" cy="630936"/>
          <wp:effectExtent l="0" t="0" r="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legal_fold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6309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750810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5483">
        <w:pPr>
          <w:pStyle w:val="Footer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-55245</wp:posOffset>
                  </wp:positionH>
                  <wp:positionV relativeFrom="paragraph">
                    <wp:posOffset>-101888</wp:posOffset>
                  </wp:positionV>
                  <wp:extent cx="5950527" cy="556260"/>
                  <wp:effectExtent l="0" t="0" r="0" b="0"/>
                  <wp:wrapNone/>
                  <wp:docPr id="20" name="Text Box 20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 txBox="1"/>
                        <wps:spPr>
                          <a:xfrm>
                            <a:off x="0" y="0"/>
                            <a:ext cx="5950527" cy="5562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67C01" w:rsidRPr="00817EEE" w:rsidP="00267C01">
                              <w:pPr>
                                <w:pStyle w:val="Disclaimer"/>
                              </w:pPr>
                              <w:r w:rsidRPr="00947E11">
                                <w:rPr>
                                  <w:szCs w:val="16"/>
                                </w:rPr>
                                <w:t xml:space="preserve">This </w:t>
                              </w:r>
                              <w:r>
                                <w:rPr>
                                  <w:szCs w:val="16"/>
                                </w:rPr>
                                <w:t>Compliance Bulletin</w:t>
                              </w:r>
                              <w:r w:rsidRPr="00947E11">
                                <w:rPr>
                                  <w:szCs w:val="16"/>
                                </w:rPr>
                                <w:t xml:space="preserve"> is not intended to be exhaustive nor should any discussion or opinions be construed as legal advice. Readers should contact </w:t>
                              </w:r>
                              <w:r>
                                <w:rPr>
                                  <w:szCs w:val="16"/>
                                </w:rPr>
                                <w:t xml:space="preserve">legal counsel for legal advice. </w:t>
                              </w:r>
                              <w:r w:rsidRPr="00817EEE">
                                <w:t>©20</w:t>
                              </w:r>
                              <w:r w:rsidR="00504467">
                                <w:t>2</w:t>
                              </w:r>
                              <w:r w:rsidR="00271335">
                                <w:t>2</w:t>
                              </w:r>
                              <w:r>
                                <w:t xml:space="preserve"> </w:t>
                              </w:r>
                              <w:r w:rsidRPr="00817EEE">
                                <w:t>Zywave, Inc.</w:t>
                              </w:r>
                              <w:r>
                                <w:t xml:space="preserve"> </w:t>
                              </w:r>
                              <w:r w:rsidRPr="00817EEE">
                                <w:t>All rights reserved.</w:t>
                              </w:r>
                            </w:p>
                            <w:p w:rsidR="00267C01" w:rsidRPr="00947E11" w:rsidP="00267C01">
                              <w:pPr>
                                <w:pStyle w:val="Disclaimer"/>
                                <w:rPr>
                                  <w:szCs w:val="16"/>
                                </w:rPr>
                              </w:pPr>
                            </w:p>
                            <w:p w:rsidR="00267C01" w:rsidRPr="00947E11" w:rsidP="00267C01">
                              <w:pPr>
                                <w:pStyle w:val="Disclaimer"/>
                                <w:rPr>
                                  <w:szCs w:val="16"/>
                                </w:rPr>
                              </w:pPr>
                            </w:p>
                            <w:p w:rsidR="00267C01" w:rsidRPr="00947E11" w:rsidP="00267C01">
                              <w:pPr>
                                <w:pStyle w:val="Disclaimer"/>
                                <w:rPr>
                                  <w:szCs w:val="16"/>
                                </w:rPr>
                              </w:pPr>
                            </w:p>
                            <w:p w:rsidR="00E6115F" w:rsidRPr="00947E11" w:rsidP="008F7B15">
                              <w:pPr>
                                <w:pStyle w:val="Disclaimer"/>
                                <w:rPr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2050" type="#_x0000_t202" style="width:468.55pt;height:43.8pt;margin-top:-8pt;margin-left:-4.3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0288" filled="f" stroked="f" strokeweight="0.5pt">
                  <v:textbox>
                    <w:txbxContent>
                      <w:p w:rsidR="00267C01" w:rsidRPr="00817EEE" w:rsidP="00267C01">
                        <w:pPr>
                          <w:pStyle w:val="Disclaimer"/>
                        </w:pPr>
                        <w:r w:rsidRPr="00947E11">
                          <w:rPr>
                            <w:szCs w:val="16"/>
                          </w:rPr>
                          <w:t xml:space="preserve">This </w:t>
                        </w:r>
                        <w:r>
                          <w:rPr>
                            <w:szCs w:val="16"/>
                          </w:rPr>
                          <w:t>Compliance Bulletin</w:t>
                        </w:r>
                        <w:r w:rsidRPr="00947E11">
                          <w:rPr>
                            <w:szCs w:val="16"/>
                          </w:rPr>
                          <w:t xml:space="preserve"> is not intended to be exhaustive nor should any discussion or opinions be construed as legal advice. Readers should contact </w:t>
                        </w:r>
                        <w:r>
                          <w:rPr>
                            <w:szCs w:val="16"/>
                          </w:rPr>
                          <w:t xml:space="preserve">legal counsel for legal advice. </w:t>
                        </w:r>
                        <w:r w:rsidRPr="00817EEE">
                          <w:t>©20</w:t>
                        </w:r>
                        <w:r w:rsidR="00504467">
                          <w:t>2</w:t>
                        </w:r>
                        <w:r w:rsidR="00271335">
                          <w:t>2</w:t>
                        </w:r>
                        <w:r>
                          <w:t xml:space="preserve"> </w:t>
                        </w:r>
                        <w:r w:rsidRPr="00817EEE">
                          <w:t>Zywave, Inc.</w:t>
                        </w:r>
                        <w:r>
                          <w:t xml:space="preserve"> </w:t>
                        </w:r>
                        <w:r w:rsidRPr="00817EEE">
                          <w:t>All rights reserved.</w:t>
                        </w:r>
                      </w:p>
                      <w:p w:rsidR="00267C01" w:rsidRPr="00947E11" w:rsidP="00267C01">
                        <w:pPr>
                          <w:pStyle w:val="Disclaimer"/>
                          <w:rPr>
                            <w:szCs w:val="16"/>
                          </w:rPr>
                        </w:pPr>
                      </w:p>
                      <w:p w:rsidR="00267C01" w:rsidRPr="00947E11" w:rsidP="00267C01">
                        <w:pPr>
                          <w:pStyle w:val="Disclaimer"/>
                          <w:rPr>
                            <w:szCs w:val="16"/>
                          </w:rPr>
                        </w:pPr>
                      </w:p>
                      <w:p w:rsidR="00267C01" w:rsidRPr="00947E11" w:rsidP="00267C01">
                        <w:pPr>
                          <w:pStyle w:val="Disclaimer"/>
                          <w:rPr>
                            <w:szCs w:val="16"/>
                          </w:rPr>
                        </w:pPr>
                      </w:p>
                      <w:p w:rsidR="00E6115F" w:rsidRPr="00947E11" w:rsidP="008F7B15">
                        <w:pPr>
                          <w:pStyle w:val="Disclaimer"/>
                          <w:rPr>
                            <w:szCs w:val="16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7620</wp:posOffset>
                  </wp:positionH>
                  <wp:positionV relativeFrom="bottomMargin">
                    <wp:posOffset>7620</wp:posOffset>
                  </wp:positionV>
                  <wp:extent cx="6848475" cy="8890"/>
                  <wp:effectExtent l="19050" t="19050" r="9525" b="29210"/>
                  <wp:wrapNone/>
                  <wp:docPr id="1" name="Straight Connector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CnPr/>
                        <wps:spPr>
                          <a:xfrm flipH="1" flipV="1">
                            <a:off x="0" y="0"/>
                            <a:ext cx="6848475" cy="8890"/>
                          </a:xfrm>
                          <a:prstGeom prst="line">
                            <a:avLst/>
                          </a:prstGeom>
                          <a:ln w="44450">
                            <a:solidFill>
                              <a:schemeClr val="accent1">
                                <a:alpha val="75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Straight Connector 1" o:spid="_x0000_s2051" style="flip:x y;mso-height-percent:0;mso-height-relative:margin;mso-position-horizontal-relative:margin;mso-position-vertical-relative:bottom-margin-area;mso-width-percent:0;mso-width-relative:margin;mso-wrap-distance-bottom:0;mso-wrap-distance-left:9pt;mso-wrap-distance-right:9pt;mso-wrap-distance-top:0;mso-wrap-style:square;position:absolute;visibility:visible;z-index:251664384" from="0.6pt,0.6pt" to="539.85pt,1.3pt" strokecolor="#4472c4" strokeweight="3.5pt">
                  <v:stroke joinstyle="miter" opacity="49087f"/>
                  <w10:wrap anchorx="margin"/>
                </v:lin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6115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636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60970" cy="10043121"/>
          <wp:effectExtent l="0" t="0" r="0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legal_header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970" cy="100431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57C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-452061</wp:posOffset>
          </wp:positionV>
          <wp:extent cx="7776976" cy="1636776"/>
          <wp:effectExtent l="0" t="0" r="0" b="190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egal_header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976" cy="1636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3D4184"/>
    <w:multiLevelType w:val="hybridMultilevel"/>
    <w:tmpl w:val="BF300FB4"/>
    <w:lvl w:ilvl="0">
      <w:start w:val="1"/>
      <w:numFmt w:val="bullet"/>
      <w:pStyle w:val="BulletListText"/>
      <w:lvlText w:val=""/>
      <w:lvlJc w:val="left"/>
      <w:pPr>
        <w:ind w:left="720" w:hanging="360"/>
      </w:pPr>
      <w:rPr>
        <w:rFonts w:ascii="Symbol" w:hAnsi="Symbol" w:hint="default"/>
        <w:color w:val="5083C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B1D96"/>
    <w:multiLevelType w:val="multilevel"/>
    <w:tmpl w:val="B13CDD56"/>
    <w:numStyleLink w:val="BulletedList"/>
  </w:abstractNum>
  <w:abstractNum w:abstractNumId="2">
    <w:nsid w:val="107872B1"/>
    <w:multiLevelType w:val="multilevel"/>
    <w:tmpl w:val="B13CDD56"/>
    <w:numStyleLink w:val="BulletedList"/>
  </w:abstractNum>
  <w:abstractNum w:abstractNumId="3">
    <w:nsid w:val="11E95063"/>
    <w:multiLevelType w:val="hybridMultilevel"/>
    <w:tmpl w:val="0CE2A7C2"/>
    <w:lvl w:ilvl="0">
      <w:start w:val="1"/>
      <w:numFmt w:val="bullet"/>
      <w:pStyle w:val="BulletList"/>
      <w:lvlText w:val=""/>
      <w:lvlJc w:val="left"/>
      <w:pPr>
        <w:ind w:left="540" w:hanging="360"/>
      </w:pPr>
      <w:rPr>
        <w:rFonts w:ascii="Symbol" w:hAnsi="Symbol" w:hint="default"/>
        <w:color w:val="5083C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2176E"/>
    <w:multiLevelType w:val="multilevel"/>
    <w:tmpl w:val="B13CDD56"/>
    <w:numStyleLink w:val="BulletedList"/>
  </w:abstractNum>
  <w:abstractNum w:abstractNumId="5">
    <w:nsid w:val="15AF19AE"/>
    <w:multiLevelType w:val="multilevel"/>
    <w:tmpl w:val="B13CDD56"/>
    <w:numStyleLink w:val="BulletedList"/>
  </w:abstractNum>
  <w:abstractNum w:abstractNumId="6">
    <w:nsid w:val="1A270686"/>
    <w:multiLevelType w:val="hybridMultilevel"/>
    <w:tmpl w:val="409AC006"/>
    <w:lvl w:ilvl="0">
      <w:start w:val="1"/>
      <w:numFmt w:val="bullet"/>
      <w:pStyle w:val="Checkbox"/>
      <w:lvlText w:val=""/>
      <w:lvlJc w:val="left"/>
      <w:pPr>
        <w:ind w:left="1170" w:hanging="360"/>
      </w:pPr>
      <w:rPr>
        <w:rFonts w:ascii="Wingdings" w:hAnsi="Wingdings" w:hint="default"/>
        <w:color w:val="5083C9"/>
        <w:sz w:val="28"/>
      </w:rPr>
    </w:lvl>
    <w:lvl w:ilvl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1AA327BD"/>
    <w:multiLevelType w:val="multilevel"/>
    <w:tmpl w:val="5E0EC236"/>
    <w:lvl w:ilvl="0">
      <w:start w:val="0"/>
      <w:numFmt w:val="decimal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43E32AF5"/>
    <w:multiLevelType w:val="multilevel"/>
    <w:tmpl w:val="B13CDD56"/>
    <w:styleLink w:val="Bulleted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083C9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8601A1"/>
    <w:multiLevelType w:val="hybridMultilevel"/>
    <w:tmpl w:val="43CE94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624744"/>
    <w:multiLevelType w:val="hybridMultilevel"/>
    <w:tmpl w:val="D67CDEAC"/>
    <w:lvl w:ilvl="0">
      <w:start w:val="1"/>
      <w:numFmt w:val="bullet"/>
      <w:pStyle w:val="Xbox"/>
      <w:lvlText w:val=""/>
      <w:lvlJc w:val="left"/>
      <w:pPr>
        <w:ind w:left="540" w:hanging="360"/>
      </w:pPr>
      <w:rPr>
        <w:rFonts w:ascii="Wingdings" w:hAnsi="Wingdings" w:hint="default"/>
        <w:color w:val="BD6363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B4477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BD41DC0"/>
    <w:multiLevelType w:val="multilevel"/>
    <w:tmpl w:val="B13CDD56"/>
    <w:numStyleLink w:val="BulletedList"/>
  </w:abstractNum>
  <w:abstractNum w:abstractNumId="13">
    <w:nsid w:val="706E0AA3"/>
    <w:multiLevelType w:val="hybridMultilevel"/>
    <w:tmpl w:val="839A40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083C9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48530C"/>
    <w:multiLevelType w:val="multilevel"/>
    <w:tmpl w:val="B13CDD56"/>
    <w:numStyleLink w:val="BulletedList"/>
  </w:abstractNum>
  <w:num w:numId="1">
    <w:abstractNumId w:val="3"/>
  </w:num>
  <w:num w:numId="2">
    <w:abstractNumId w:val="9"/>
  </w:num>
  <w:num w:numId="3">
    <w:abstractNumId w:val="6"/>
  </w:num>
  <w:num w:numId="4">
    <w:abstractNumId w:val="10"/>
  </w:num>
  <w:num w:numId="5">
    <w:abstractNumId w:val="13"/>
  </w:num>
  <w:num w:numId="6">
    <w:abstractNumId w:val="7"/>
  </w:num>
  <w:num w:numId="7">
    <w:abstractNumId w:val="11"/>
  </w:num>
  <w:num w:numId="8">
    <w:abstractNumId w:val="8"/>
  </w:num>
  <w:num w:numId="9">
    <w:abstractNumId w:val="1"/>
  </w:num>
  <w:num w:numId="10">
    <w:abstractNumId w:val="2"/>
  </w:num>
  <w:num w:numId="11">
    <w:abstractNumId w:val="12"/>
  </w:num>
  <w:num w:numId="12">
    <w:abstractNumId w:val="5"/>
  </w:num>
  <w:num w:numId="13">
    <w:abstractNumId w:val="4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939"/>
    <w:rsid w:val="00022BAB"/>
    <w:rsid w:val="00037A6B"/>
    <w:rsid w:val="00060CCE"/>
    <w:rsid w:val="00090E64"/>
    <w:rsid w:val="00110963"/>
    <w:rsid w:val="0012162D"/>
    <w:rsid w:val="00127CA1"/>
    <w:rsid w:val="00150559"/>
    <w:rsid w:val="00171781"/>
    <w:rsid w:val="001725D9"/>
    <w:rsid w:val="0019007E"/>
    <w:rsid w:val="001B1A7E"/>
    <w:rsid w:val="001B200A"/>
    <w:rsid w:val="00236B02"/>
    <w:rsid w:val="0024208C"/>
    <w:rsid w:val="0026000D"/>
    <w:rsid w:val="0026466F"/>
    <w:rsid w:val="00267C01"/>
    <w:rsid w:val="00271335"/>
    <w:rsid w:val="00282C22"/>
    <w:rsid w:val="002A7939"/>
    <w:rsid w:val="002C002A"/>
    <w:rsid w:val="002C76C0"/>
    <w:rsid w:val="002F02F6"/>
    <w:rsid w:val="002F0A3E"/>
    <w:rsid w:val="00306553"/>
    <w:rsid w:val="003267EB"/>
    <w:rsid w:val="00330A90"/>
    <w:rsid w:val="00331D02"/>
    <w:rsid w:val="0035530B"/>
    <w:rsid w:val="0037553A"/>
    <w:rsid w:val="00382563"/>
    <w:rsid w:val="00392710"/>
    <w:rsid w:val="003A6B72"/>
    <w:rsid w:val="003C10A8"/>
    <w:rsid w:val="00410801"/>
    <w:rsid w:val="00441851"/>
    <w:rsid w:val="00467D27"/>
    <w:rsid w:val="00485C3A"/>
    <w:rsid w:val="004967FA"/>
    <w:rsid w:val="004B125C"/>
    <w:rsid w:val="00504467"/>
    <w:rsid w:val="00534014"/>
    <w:rsid w:val="00574C31"/>
    <w:rsid w:val="00584B55"/>
    <w:rsid w:val="00585290"/>
    <w:rsid w:val="005A1F47"/>
    <w:rsid w:val="005C0150"/>
    <w:rsid w:val="005D05D9"/>
    <w:rsid w:val="005E5147"/>
    <w:rsid w:val="005F4596"/>
    <w:rsid w:val="00617267"/>
    <w:rsid w:val="00670C2F"/>
    <w:rsid w:val="006A407C"/>
    <w:rsid w:val="006A63B4"/>
    <w:rsid w:val="006C6717"/>
    <w:rsid w:val="00701752"/>
    <w:rsid w:val="00707343"/>
    <w:rsid w:val="00721550"/>
    <w:rsid w:val="007318F0"/>
    <w:rsid w:val="00732BAF"/>
    <w:rsid w:val="00774614"/>
    <w:rsid w:val="00791090"/>
    <w:rsid w:val="007B5200"/>
    <w:rsid w:val="007D1039"/>
    <w:rsid w:val="007D306E"/>
    <w:rsid w:val="007D5EFD"/>
    <w:rsid w:val="007F7D78"/>
    <w:rsid w:val="00802FF0"/>
    <w:rsid w:val="008078C7"/>
    <w:rsid w:val="00817EEE"/>
    <w:rsid w:val="00826394"/>
    <w:rsid w:val="00844896"/>
    <w:rsid w:val="008470EA"/>
    <w:rsid w:val="008763E8"/>
    <w:rsid w:val="00892115"/>
    <w:rsid w:val="008A7E71"/>
    <w:rsid w:val="008B3699"/>
    <w:rsid w:val="008B62E3"/>
    <w:rsid w:val="008F7B15"/>
    <w:rsid w:val="00926535"/>
    <w:rsid w:val="00947E11"/>
    <w:rsid w:val="00955629"/>
    <w:rsid w:val="0098636D"/>
    <w:rsid w:val="00993033"/>
    <w:rsid w:val="00994E35"/>
    <w:rsid w:val="009B04C4"/>
    <w:rsid w:val="009D4BB6"/>
    <w:rsid w:val="009E4DC9"/>
    <w:rsid w:val="009F3CA3"/>
    <w:rsid w:val="00A337BD"/>
    <w:rsid w:val="00A357CD"/>
    <w:rsid w:val="00A42C82"/>
    <w:rsid w:val="00A47C53"/>
    <w:rsid w:val="00A8186B"/>
    <w:rsid w:val="00A83C9F"/>
    <w:rsid w:val="00A9581B"/>
    <w:rsid w:val="00AC219B"/>
    <w:rsid w:val="00AD0649"/>
    <w:rsid w:val="00B100A1"/>
    <w:rsid w:val="00B135AD"/>
    <w:rsid w:val="00B15441"/>
    <w:rsid w:val="00B51EA7"/>
    <w:rsid w:val="00B734F0"/>
    <w:rsid w:val="00B91CC9"/>
    <w:rsid w:val="00B93371"/>
    <w:rsid w:val="00BA161B"/>
    <w:rsid w:val="00BC26A4"/>
    <w:rsid w:val="00BC79DD"/>
    <w:rsid w:val="00BD76ED"/>
    <w:rsid w:val="00C84C66"/>
    <w:rsid w:val="00C87B81"/>
    <w:rsid w:val="00C87C31"/>
    <w:rsid w:val="00CB1ADE"/>
    <w:rsid w:val="00CF5E21"/>
    <w:rsid w:val="00D046CF"/>
    <w:rsid w:val="00D2167C"/>
    <w:rsid w:val="00D379D5"/>
    <w:rsid w:val="00D5456E"/>
    <w:rsid w:val="00D62BEA"/>
    <w:rsid w:val="00D7561A"/>
    <w:rsid w:val="00D76FCB"/>
    <w:rsid w:val="00D8467E"/>
    <w:rsid w:val="00D95142"/>
    <w:rsid w:val="00DB7131"/>
    <w:rsid w:val="00DC3880"/>
    <w:rsid w:val="00DE5BB1"/>
    <w:rsid w:val="00E16E6C"/>
    <w:rsid w:val="00E35483"/>
    <w:rsid w:val="00E375D9"/>
    <w:rsid w:val="00E52110"/>
    <w:rsid w:val="00E6115F"/>
    <w:rsid w:val="00EA13FD"/>
    <w:rsid w:val="00EA2BB6"/>
    <w:rsid w:val="00EC2053"/>
    <w:rsid w:val="00EF7BE8"/>
    <w:rsid w:val="00F3730B"/>
    <w:rsid w:val="00F54A11"/>
    <w:rsid w:val="00FE29B4"/>
    <w:rsid w:val="00FF0B8B"/>
    <w:rsid w:val="00FF2183"/>
    <w:rsid w:val="00FF3F3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1FD8160"/>
  <w15:chartTrackingRefBased/>
  <w15:docId w15:val="{DA341A10-D2C8-4418-A0BF-8DA77AB2B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36D"/>
  </w:style>
  <w:style w:type="paragraph" w:styleId="Footer">
    <w:name w:val="footer"/>
    <w:basedOn w:val="Normal"/>
    <w:link w:val="FooterChar"/>
    <w:uiPriority w:val="99"/>
    <w:unhideWhenUsed/>
    <w:rsid w:val="00986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36D"/>
  </w:style>
  <w:style w:type="paragraph" w:customStyle="1" w:styleId="MainTitle">
    <w:name w:val="Main Title"/>
    <w:basedOn w:val="Normal"/>
    <w:link w:val="MainTitleChar"/>
    <w:qFormat/>
    <w:rsid w:val="008A7E71"/>
    <w:pPr>
      <w:spacing w:after="120" w:line="228" w:lineRule="auto"/>
    </w:pPr>
    <w:rPr>
      <w:b/>
      <w:color w:val="5083C9"/>
      <w:sz w:val="48"/>
      <w:szCs w:val="48"/>
    </w:rPr>
  </w:style>
  <w:style w:type="paragraph" w:styleId="BodyText">
    <w:name w:val="Body Text"/>
    <w:basedOn w:val="BodyText2"/>
    <w:link w:val="BodyTextChar"/>
    <w:qFormat/>
    <w:rsid w:val="0024208C"/>
    <w:pPr>
      <w:spacing w:after="160" w:line="259" w:lineRule="auto"/>
      <w:jc w:val="both"/>
    </w:pPr>
    <w:rPr>
      <w:rFonts w:ascii="Calibri" w:eastAsia="Times New Roman" w:hAnsi="Calibri" w:cs="Arial"/>
      <w:color w:val="595959"/>
      <w:szCs w:val="20"/>
    </w:rPr>
  </w:style>
  <w:style w:type="character" w:customStyle="1" w:styleId="MainTitleChar">
    <w:name w:val="Main Title Char"/>
    <w:basedOn w:val="DefaultParagraphFont"/>
    <w:link w:val="MainTitle"/>
    <w:rsid w:val="008A7E71"/>
    <w:rPr>
      <w:b/>
      <w:color w:val="5083C9"/>
      <w:sz w:val="48"/>
      <w:szCs w:val="48"/>
    </w:rPr>
  </w:style>
  <w:style w:type="character" w:customStyle="1" w:styleId="BodyTextChar">
    <w:name w:val="Body Text Char"/>
    <w:basedOn w:val="DefaultParagraphFont"/>
    <w:link w:val="BodyText"/>
    <w:rsid w:val="0024208C"/>
    <w:rPr>
      <w:rFonts w:ascii="Calibri" w:eastAsia="Times New Roman" w:hAnsi="Calibri" w:cs="Arial"/>
      <w:color w:val="595959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A7E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A7E71"/>
  </w:style>
  <w:style w:type="paragraph" w:customStyle="1" w:styleId="SubHeader">
    <w:name w:val="Sub Header"/>
    <w:basedOn w:val="BodyText"/>
    <w:link w:val="SubHeaderChar"/>
    <w:qFormat/>
    <w:rsid w:val="00441851"/>
    <w:pPr>
      <w:spacing w:after="0" w:line="216" w:lineRule="auto"/>
      <w:jc w:val="left"/>
    </w:pPr>
    <w:rPr>
      <w:b/>
      <w:color w:val="404040" w:themeColor="text1" w:themeTint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rsid w:val="0024208C"/>
    <w:pPr>
      <w:spacing w:after="60" w:line="192" w:lineRule="auto"/>
    </w:pPr>
    <w:rPr>
      <w:rFonts w:ascii="Calibri" w:eastAsia="Calibri" w:hAnsi="Calibri" w:cs="Times New Roman"/>
      <w:b/>
      <w:caps/>
      <w:color w:val="39945E"/>
      <w:sz w:val="40"/>
      <w:szCs w:val="40"/>
    </w:rPr>
  </w:style>
  <w:style w:type="character" w:customStyle="1" w:styleId="SubHeaderChar">
    <w:name w:val="Sub Header Char"/>
    <w:basedOn w:val="BodyTextChar"/>
    <w:link w:val="SubHeader"/>
    <w:rsid w:val="00441851"/>
    <w:rPr>
      <w:rFonts w:ascii="Calibri" w:eastAsia="Times New Roman" w:hAnsi="Calibri" w:cs="Arial"/>
      <w:b/>
      <w:color w:val="404040" w:themeColor="text1" w:themeTint="BF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24208C"/>
    <w:rPr>
      <w:rFonts w:ascii="Calibri" w:eastAsia="Calibri" w:hAnsi="Calibri" w:cs="Times New Roman"/>
      <w:b/>
      <w:caps/>
      <w:color w:val="39945E"/>
      <w:sz w:val="40"/>
      <w:szCs w:val="40"/>
    </w:rPr>
  </w:style>
  <w:style w:type="paragraph" w:customStyle="1" w:styleId="Disclaimer">
    <w:name w:val="Disclaimer"/>
    <w:basedOn w:val="Normal"/>
    <w:link w:val="DisclaimerChar"/>
    <w:qFormat/>
    <w:rsid w:val="008F7B15"/>
    <w:rPr>
      <w:rFonts w:ascii="Verdana" w:eastAsia="Calibri" w:hAnsi="Verdana" w:cs="Times New Roman"/>
      <w:color w:val="7F7F7F"/>
      <w:sz w:val="16"/>
    </w:rPr>
  </w:style>
  <w:style w:type="character" w:customStyle="1" w:styleId="DisclaimerChar">
    <w:name w:val="Disclaimer Char"/>
    <w:link w:val="Disclaimer"/>
    <w:rsid w:val="008F7B15"/>
    <w:rPr>
      <w:rFonts w:ascii="Verdana" w:eastAsia="Calibri" w:hAnsi="Verdana" w:cs="Times New Roman"/>
      <w:color w:val="7F7F7F"/>
      <w:sz w:val="16"/>
    </w:rPr>
  </w:style>
  <w:style w:type="paragraph" w:customStyle="1" w:styleId="BulletList">
    <w:name w:val="Bullet List"/>
    <w:basedOn w:val="BodyText"/>
    <w:link w:val="BulletListChar"/>
    <w:rsid w:val="001725D9"/>
    <w:pPr>
      <w:numPr>
        <w:numId w:val="1"/>
      </w:numPr>
      <w:spacing w:after="20"/>
    </w:pPr>
  </w:style>
  <w:style w:type="paragraph" w:customStyle="1" w:styleId="Checkbox">
    <w:name w:val="Checkbox"/>
    <w:basedOn w:val="BulletList"/>
    <w:link w:val="CheckboxChar"/>
    <w:qFormat/>
    <w:rsid w:val="00B51EA7"/>
    <w:pPr>
      <w:numPr>
        <w:numId w:val="3"/>
      </w:numPr>
      <w:tabs>
        <w:tab w:val="left" w:pos="540"/>
      </w:tabs>
      <w:ind w:left="806" w:hanging="446"/>
    </w:pPr>
  </w:style>
  <w:style w:type="character" w:customStyle="1" w:styleId="BulletListChar">
    <w:name w:val="Bullet List Char"/>
    <w:basedOn w:val="BodyTextChar"/>
    <w:link w:val="BulletList"/>
    <w:rsid w:val="001725D9"/>
    <w:rPr>
      <w:rFonts w:ascii="Calibri" w:eastAsia="Times New Roman" w:hAnsi="Calibri" w:cs="Arial"/>
      <w:color w:val="595959"/>
      <w:szCs w:val="20"/>
    </w:rPr>
  </w:style>
  <w:style w:type="paragraph" w:customStyle="1" w:styleId="Xbox">
    <w:name w:val="Xbox"/>
    <w:basedOn w:val="Checkbox"/>
    <w:link w:val="XboxChar"/>
    <w:qFormat/>
    <w:rsid w:val="006A63B4"/>
    <w:pPr>
      <w:numPr>
        <w:numId w:val="4"/>
      </w:numPr>
      <w:ind w:left="806" w:hanging="446"/>
    </w:pPr>
  </w:style>
  <w:style w:type="character" w:customStyle="1" w:styleId="CheckboxChar">
    <w:name w:val="Checkbox Char"/>
    <w:basedOn w:val="BulletListChar"/>
    <w:link w:val="Checkbox"/>
    <w:rsid w:val="00B51EA7"/>
    <w:rPr>
      <w:rFonts w:ascii="Calibri" w:eastAsia="Times New Roman" w:hAnsi="Calibri" w:cs="Arial"/>
      <w:color w:val="595959"/>
      <w:szCs w:val="20"/>
    </w:rPr>
  </w:style>
  <w:style w:type="paragraph" w:customStyle="1" w:styleId="CallOutBox">
    <w:name w:val="Call Out Box"/>
    <w:basedOn w:val="Footer"/>
    <w:link w:val="CallOutBoxChar"/>
    <w:qFormat/>
    <w:rsid w:val="00CF5E21"/>
    <w:pPr>
      <w:jc w:val="center"/>
    </w:pPr>
    <w:rPr>
      <w:b/>
      <w:i/>
      <w:color w:val="5083C9"/>
      <w:sz w:val="36"/>
      <w:szCs w:val="36"/>
    </w:rPr>
  </w:style>
  <w:style w:type="character" w:customStyle="1" w:styleId="XboxChar">
    <w:name w:val="Xbox Char"/>
    <w:basedOn w:val="CheckboxChar"/>
    <w:link w:val="Xbox"/>
    <w:rsid w:val="006A63B4"/>
    <w:rPr>
      <w:rFonts w:ascii="Calibri" w:eastAsia="Times New Roman" w:hAnsi="Calibri" w:cs="Arial"/>
      <w:color w:val="595959"/>
      <w:szCs w:val="20"/>
    </w:rPr>
  </w:style>
  <w:style w:type="table" w:styleId="TableGrid">
    <w:name w:val="Table Grid"/>
    <w:basedOn w:val="TableNormal"/>
    <w:uiPriority w:val="39"/>
    <w:rsid w:val="00C84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lOutBoxChar">
    <w:name w:val="Call Out Box Char"/>
    <w:basedOn w:val="FooterChar"/>
    <w:link w:val="CallOutBox"/>
    <w:rsid w:val="00CF5E21"/>
    <w:rPr>
      <w:b/>
      <w:i/>
      <w:color w:val="5083C9"/>
      <w:sz w:val="36"/>
      <w:szCs w:val="36"/>
    </w:rPr>
  </w:style>
  <w:style w:type="paragraph" w:customStyle="1" w:styleId="TableHeader">
    <w:name w:val="Table Header"/>
    <w:basedOn w:val="BodyText"/>
    <w:link w:val="TableHeaderChar"/>
    <w:qFormat/>
    <w:rsid w:val="00C84C66"/>
    <w:pPr>
      <w:jc w:val="center"/>
    </w:pPr>
    <w:rPr>
      <w:b/>
      <w:color w:val="FFFFFF" w:themeColor="background1"/>
      <w:sz w:val="26"/>
      <w:szCs w:val="26"/>
    </w:rPr>
  </w:style>
  <w:style w:type="character" w:customStyle="1" w:styleId="TableHeaderChar">
    <w:name w:val="Table Header Char"/>
    <w:basedOn w:val="BodyTextChar"/>
    <w:link w:val="TableHeader"/>
    <w:rsid w:val="00C84C66"/>
    <w:rPr>
      <w:rFonts w:ascii="Calibri" w:eastAsia="Times New Roman" w:hAnsi="Calibri" w:cs="Arial"/>
      <w:b/>
      <w:color w:val="FFFFFF" w:themeColor="background1"/>
      <w:sz w:val="26"/>
      <w:szCs w:val="26"/>
    </w:rPr>
  </w:style>
  <w:style w:type="numbering" w:customStyle="1" w:styleId="BulletedList">
    <w:name w:val="Bulleted List"/>
    <w:uiPriority w:val="99"/>
    <w:rsid w:val="00E52110"/>
    <w:pPr>
      <w:numPr>
        <w:numId w:val="8"/>
      </w:numPr>
    </w:pPr>
  </w:style>
  <w:style w:type="paragraph" w:customStyle="1" w:styleId="BulletListText">
    <w:name w:val="Bullet List Text"/>
    <w:basedOn w:val="BodyText"/>
    <w:link w:val="BulletListTextChar"/>
    <w:qFormat/>
    <w:rsid w:val="005A1F47"/>
    <w:pPr>
      <w:numPr>
        <w:numId w:val="15"/>
      </w:numPr>
      <w:spacing w:after="40" w:line="240" w:lineRule="auto"/>
      <w:ind w:right="274"/>
    </w:pPr>
  </w:style>
  <w:style w:type="character" w:customStyle="1" w:styleId="BulletListTextChar">
    <w:name w:val="Bullet List Text Char"/>
    <w:basedOn w:val="BodyTextChar"/>
    <w:link w:val="BulletListText"/>
    <w:rsid w:val="005A1F47"/>
    <w:rPr>
      <w:rFonts w:ascii="Calibri" w:eastAsia="Times New Roman" w:hAnsi="Calibri" w:cs="Arial"/>
      <w:color w:val="595959"/>
      <w:szCs w:val="20"/>
    </w:rPr>
  </w:style>
  <w:style w:type="character" w:styleId="Hyperlink">
    <w:name w:val="Hyperlink"/>
    <w:basedOn w:val="DefaultParagraphFont"/>
    <w:uiPriority w:val="99"/>
    <w:unhideWhenUsed/>
    <w:rsid w:val="00B135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35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yperlink" Target="https://www.irs.gov/pub/irs-drop/rp-22-24.pdf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Margerie, Erin</dc:creator>
  <cp:lastModifiedBy>Rollefson, Becca</cp:lastModifiedBy>
  <cp:revision>2</cp:revision>
  <dcterms:created xsi:type="dcterms:W3CDTF">2022-04-29T18:08:00Z</dcterms:created>
  <dcterms:modified xsi:type="dcterms:W3CDTF">2022-04-29T18:08:00Z</dcterms:modified>
</cp:coreProperties>
</file>