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26000D" w:rsidRPr="008A7E71" w:rsidP="008A7E71" w14:paraId="1E3C7162" w14:textId="77777777">
      <w:pPr>
        <w:pStyle w:val="MainTitle"/>
      </w:pPr>
      <w:r w:rsidRPr="00DD583C" w:rsidR="00DD583C">
        <w:rPr>
          <w:noProof/>
        </w:rPr>
        <w:drawing>
          <wp:anchor simplePos="0" relativeHeight="251658240" behindDoc="0" locked="1" layoutInCell="1" allowOverlap="1">
            <wp:simplePos x="0" y="0"/>
            <wp:positionH relativeFrom="margin">
              <wp:posOffset>2730500</wp:posOffset>
            </wp:positionH>
            <wp:positionV relativeFrom="margin">
              <wp:posOffset>6223000</wp:posOffset>
            </wp:positionV>
            <wp:extent cx="1645923" cy="1120142"/>
            <wp:wrapNone/>
            <wp:docPr id="100037"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4"/>
                    <a:stretch>
                      <a:fillRect/>
                    </a:stretch>
                  </pic:blipFill>
                  <pic:spPr>
                    <a:xfrm>
                      <a:off x="0" y="0"/>
                      <a:ext cx="1645923" cy="1120142"/>
                    </a:xfrm>
                    <a:prstGeom prst="rect">
                      <a:avLst/>
                    </a:prstGeom>
                  </pic:spPr>
                </pic:pic>
              </a:graphicData>
            </a:graphic>
          </wp:anchor>
        </w:drawing>
      </w:r>
      <w:r>
        <w:rPr>
          <w:noProof/>
        </w:rPr>
        <mc:AlternateContent>
          <mc:Choice Requires="wpg">
            <w:drawing>
              <wp:anchor distT="0" distB="0" distL="114300" distR="114300" simplePos="0" relativeHeight="251666432" behindDoc="1" locked="0" layoutInCell="1" allowOverlap="1">
                <wp:simplePos x="0" y="0"/>
                <wp:positionH relativeFrom="column">
                  <wp:posOffset>-457200</wp:posOffset>
                </wp:positionH>
                <wp:positionV relativeFrom="paragraph">
                  <wp:posOffset>6262</wp:posOffset>
                </wp:positionV>
                <wp:extent cx="7771765" cy="2968798"/>
                <wp:effectExtent l="0" t="0" r="635" b="3175"/>
                <wp:wrapNone/>
                <wp:docPr id="7" name="Group 7"/>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968798"/>
                          <a:chOff x="0" y="0"/>
                          <a:chExt cx="7771765" cy="2968798"/>
                        </a:xfrm>
                      </wpg:grpSpPr>
                      <wpg:grpSp>
                        <wpg:cNvPr id="2" name="Group 2"/>
                        <wpg:cNvGrpSpPr/>
                        <wpg:grpSpPr>
                          <a:xfrm>
                            <a:off x="0" y="0"/>
                            <a:ext cx="7771765" cy="957580"/>
                            <a:chOff x="0" y="0"/>
                            <a:chExt cx="7771765" cy="957580"/>
                          </a:xfrm>
                        </wpg:grpSpPr>
                        <pic:pic xmlns:pic="http://schemas.openxmlformats.org/drawingml/2006/picture">
                          <pic:nvPicPr>
                            <pic:cNvPr id="3" name="Picture 3"/>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xmlns:wps="http://schemas.microsoft.com/office/word/2010/wordprocessingShape">
                          <wps:cNvPr id="6"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A95ADA" w:rsidRPr="00B27C10" w:rsidP="00A95ADA" w14:textId="77777777">
                                <w:pPr>
                                  <w:pStyle w:val="SubHeader"/>
                                  <w:rPr>
                                    <w:color w:val="5083C9"/>
                                    <w:sz w:val="32"/>
                                    <w:szCs w:val="32"/>
                                  </w:rPr>
                                </w:pPr>
                                <w:r>
                                  <w:rPr>
                                    <w:color w:val="5083C9"/>
                                    <w:sz w:val="32"/>
                                    <w:szCs w:val="32"/>
                                  </w:rPr>
                                  <w:t>Annual Limits</w:t>
                                </w:r>
                              </w:p>
                            </w:txbxContent>
                          </wps:txbx>
                          <wps:bodyPr rot="0" vert="horz" wrap="square" lIns="91440" tIns="45720" rIns="91440" bIns="45720" anchor="t" anchorCtr="0"/>
                        </wps:wsp>
                      </wpg:grpSp>
                      <wps:wsp xmlns:wps="http://schemas.microsoft.com/office/word/2010/wordprocessingShape">
                        <wps:cNvPr id="217" name="Text Box 2"/>
                        <wps:cNvSpPr txBox="1">
                          <a:spLocks noChangeArrowheads="1"/>
                        </wps:cNvSpPr>
                        <wps:spPr bwMode="auto">
                          <a:xfrm>
                            <a:off x="5022273" y="360218"/>
                            <a:ext cx="2413000" cy="2608580"/>
                          </a:xfrm>
                          <a:prstGeom prst="rect">
                            <a:avLst/>
                          </a:prstGeom>
                          <a:noFill/>
                          <a:ln w="9525">
                            <a:noFill/>
                            <a:miter lim="800000"/>
                            <a:headEnd/>
                            <a:tailEnd/>
                          </a:ln>
                        </wps:spPr>
                        <wps:txbx>
                          <w:txbxContent>
                            <w:p w:rsidR="00DD583C" w:rsidP="00DD583C" w14:textId="77777777">
                              <w:pPr>
                                <w:pStyle w:val="BulletList"/>
                                <w:numPr>
                                  <w:ilvl w:val="0"/>
                                  <w:numId w:val="7"/>
                                </w:numPr>
                                <w:jc w:val="left"/>
                              </w:pPr>
                              <w:r>
                                <w:t xml:space="preserve">The </w:t>
                              </w:r>
                              <w:r>
                                <w:t>202</w:t>
                              </w:r>
                              <w:r w:rsidR="00483FA9">
                                <w:t>3</w:t>
                              </w:r>
                              <w:r>
                                <w:t xml:space="preserve"> contribution limit is</w:t>
                              </w:r>
                              <w:r>
                                <w:t xml:space="preserve"> $3,</w:t>
                              </w:r>
                              <w:r w:rsidR="00483FA9">
                                <w:t>8</w:t>
                              </w:r>
                              <w:r w:rsidR="00E25AAC">
                                <w:t>5</w:t>
                              </w:r>
                              <w:r>
                                <w:t>0 for individuals with self-only HDHP coverage and $7,</w:t>
                              </w:r>
                              <w:r w:rsidR="00483FA9">
                                <w:t>75</w:t>
                              </w:r>
                              <w:r>
                                <w:t>0 for individuals with family HDHP coverage.</w:t>
                              </w:r>
                            </w:p>
                            <w:p w:rsidR="00DD583C" w:rsidP="00DD583C" w14:textId="77777777">
                              <w:pPr>
                                <w:pStyle w:val="BulletList"/>
                                <w:numPr>
                                  <w:ilvl w:val="0"/>
                                  <w:numId w:val="7"/>
                                </w:numPr>
                                <w:jc w:val="left"/>
                              </w:pPr>
                              <w:r>
                                <w:t>Individuals who are age 55 or older may make an additional $1,000 "catch-up" contribution.</w:t>
                              </w:r>
                            </w:p>
                            <w:p w:rsidR="0024208C" w:rsidRPr="00526C74" w:rsidP="00DD583C" w14:textId="77777777">
                              <w:pPr>
                                <w:pStyle w:val="BulletList"/>
                                <w:numPr>
                                  <w:ilvl w:val="0"/>
                                  <w:numId w:val="7"/>
                                </w:numPr>
                                <w:jc w:val="left"/>
                              </w:pPr>
                              <w:r>
                                <w:t>For 202</w:t>
                              </w:r>
                              <w:r w:rsidR="00483FA9">
                                <w:t>3</w:t>
                              </w:r>
                              <w:r>
                                <w:t xml:space="preserve"> plan years, the minimum deductible is $1,</w:t>
                              </w:r>
                              <w:r w:rsidR="00483FA9">
                                <w:t>5</w:t>
                              </w:r>
                              <w:r>
                                <w:t>00 for self-only HDHP coverage and $</w:t>
                              </w:r>
                              <w:r w:rsidR="00483FA9">
                                <w:t>3</w:t>
                              </w:r>
                              <w:r>
                                <w:t>,</w:t>
                              </w:r>
                              <w:r w:rsidR="00483FA9">
                                <w:t>0</w:t>
                              </w:r>
                              <w:r>
                                <w:t>00 for family HDHP coverage.</w:t>
                              </w:r>
                            </w:p>
                          </w:txbxContent>
                        </wps:txbx>
                        <wps:bodyPr rot="0" vert="horz" wrap="square" lIns="91440" tIns="45720" rIns="91440" bIns="45720" anchor="t" anchorCtr="0"/>
                      </wps:wsp>
                    </wpg:wgp>
                  </a:graphicData>
                </a:graphic>
              </wp:anchor>
            </w:drawing>
          </mc:Choice>
          <mc:Fallback>
            <w:pict>
              <v:group id="Group 7" o:spid="_x0000_s1025" style="width:612pt;height:234.01pt;margin-top:0.49pt;margin-left:-36pt;mso-wrap-distance-bottom:0;mso-wrap-distance-left:9pt;mso-wrap-distance-right:9pt;mso-wrap-distance-top:0;position:absolute;z-index:-251651072" coordorigin="0,0" coordsize="21600,21600">
                <v:group id="_x0000_s1026" style="width:21600;height:6967;position:absolute" coordorigin="0,0" coordsize="21600,2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21600;height:14209;position:absolute;top:7391">
                    <v:imagedata r:id="rId5" o:title=""/>
                  </v:shape>
                  <v:shapetype id="_x0000_t202" coordsize="21600,21600" o:spt="202" path="m,l,21600r21600,l21600,xe">
                    <v:stroke joinstyle="miter"/>
                    <v:path gradientshapeok="t" o:connecttype="rect"/>
                  </v:shapetype>
                  <v:shape id="_x0000_s1028" type="#_x0000_t202" style="width:6706;height:7434;left:13956;position:absolute;v-text-anchor:top" filled="f" fillcolor="this" stroked="f" strokeweight="0.75pt">
                    <v:textbox>
                      <w:txbxContent>
                        <w:p w:rsidR="00A95ADA" w:rsidRPr="00B27C10" w:rsidP="00A95ADA" w14:paraId="1C601475" w14:textId="77777777">
                          <w:pPr>
                            <w:pStyle w:val="SubHeader"/>
                            <w:rPr>
                              <w:color w:val="5083C9"/>
                              <w:sz w:val="32"/>
                              <w:szCs w:val="32"/>
                            </w:rPr>
                          </w:pPr>
                          <w:r>
                            <w:rPr>
                              <w:color w:val="5083C9"/>
                              <w:sz w:val="32"/>
                              <w:szCs w:val="32"/>
                            </w:rPr>
                            <w:t>Annual Limits</w:t>
                          </w:r>
                        </w:p>
                      </w:txbxContent>
                    </v:textbox>
                  </v:shape>
                </v:group>
                <v:shape id="_x0000_s1029" type="#_x0000_t202" style="width:6706;height:18979;left:13958;position:absolute;top:2621;v-text-anchor:top" filled="f" fillcolor="this" stroked="f" strokeweight="0.75pt">
                  <v:textbox>
                    <w:txbxContent>
                      <w:p w:rsidR="00DD583C" w:rsidP="00DD583C" w14:paraId="18DDBB69" w14:textId="77777777">
                        <w:pPr>
                          <w:pStyle w:val="BulletList"/>
                          <w:numPr>
                            <w:ilvl w:val="0"/>
                            <w:numId w:val="7"/>
                          </w:numPr>
                          <w:jc w:val="left"/>
                        </w:pPr>
                        <w:r>
                          <w:t xml:space="preserve">The </w:t>
                        </w:r>
                        <w:r>
                          <w:t>202</w:t>
                        </w:r>
                        <w:r w:rsidR="00483FA9">
                          <w:t>3</w:t>
                        </w:r>
                        <w:r>
                          <w:t xml:space="preserve"> contribution limit is</w:t>
                        </w:r>
                        <w:r>
                          <w:t xml:space="preserve"> $3,</w:t>
                        </w:r>
                        <w:r w:rsidR="00483FA9">
                          <w:t>8</w:t>
                        </w:r>
                        <w:r w:rsidR="00E25AAC">
                          <w:t>5</w:t>
                        </w:r>
                        <w:r>
                          <w:t>0 for individuals with self-only HDHP coverage and $7,</w:t>
                        </w:r>
                        <w:r w:rsidR="00483FA9">
                          <w:t>75</w:t>
                        </w:r>
                        <w:r>
                          <w:t>0 for individuals with family HDHP coverage.</w:t>
                        </w:r>
                      </w:p>
                      <w:p w:rsidR="00DD583C" w:rsidP="00DD583C" w14:paraId="0D6B7BEC" w14:textId="77777777">
                        <w:pPr>
                          <w:pStyle w:val="BulletList"/>
                          <w:numPr>
                            <w:ilvl w:val="0"/>
                            <w:numId w:val="7"/>
                          </w:numPr>
                          <w:jc w:val="left"/>
                        </w:pPr>
                        <w:r>
                          <w:t>Individuals who are age 55 or older may make an additional $1,000 "catch-up" contribution.</w:t>
                        </w:r>
                      </w:p>
                      <w:p w:rsidR="0024208C" w:rsidRPr="00526C74" w:rsidP="00DD583C" w14:paraId="6F7DB8DD" w14:textId="77777777">
                        <w:pPr>
                          <w:pStyle w:val="BulletList"/>
                          <w:numPr>
                            <w:ilvl w:val="0"/>
                            <w:numId w:val="7"/>
                          </w:numPr>
                          <w:jc w:val="left"/>
                        </w:pPr>
                        <w:r>
                          <w:t>For 202</w:t>
                        </w:r>
                        <w:r w:rsidR="00483FA9">
                          <w:t>3</w:t>
                        </w:r>
                        <w:r>
                          <w:t xml:space="preserve"> plan years, the minimum deductible is $1,</w:t>
                        </w:r>
                        <w:r w:rsidR="00483FA9">
                          <w:t>5</w:t>
                        </w:r>
                        <w:r>
                          <w:t>00 for self-only HDHP coverage and $</w:t>
                        </w:r>
                        <w:r w:rsidR="00483FA9">
                          <w:t>3</w:t>
                        </w:r>
                        <w:r>
                          <w:t>,</w:t>
                        </w:r>
                        <w:r w:rsidR="00483FA9">
                          <w:t>0</w:t>
                        </w:r>
                        <w:r>
                          <w:t>00 for family HDHP coverage.</w:t>
                        </w:r>
                      </w:p>
                    </w:txbxContent>
                  </v:textbox>
                </v:shape>
              </v:group>
            </w:pict>
          </mc:Fallback>
        </mc:AlternateContent>
      </w:r>
      <w:r w:rsidRPr="00DD583C" w:rsidR="00DD583C">
        <w:rPr>
          <w:noProof/>
        </w:rPr>
        <w:t>Key HSA Features—202</w:t>
      </w:r>
      <w:r w:rsidR="00483FA9">
        <w:rPr>
          <w:noProof/>
        </w:rPr>
        <w:t>3</w:t>
      </w:r>
      <w:r w:rsidRPr="00DD583C" w:rsidR="00DD583C">
        <w:rPr>
          <w:noProof/>
        </w:rPr>
        <w:t xml:space="preserve"> Compliance</w:t>
      </w:r>
    </w:p>
    <w:p w:rsidR="00DD583C" w:rsidP="00DD583C" w14:paraId="0FD69159" w14:textId="77777777">
      <w:pPr>
        <w:pStyle w:val="BodyText"/>
      </w:pPr>
      <w:r>
        <w:t>Health savings accounts (HSAs) are a popular type of tax-advantaged medical savings account available to individuals enrolled in high deductible health plans (HDHPs). Individuals can use their HSAs to pay for expenses covered under the HDHP until their deductible has been met, or they can use their HSAs to pay for qualified medical expenses that are not covered under the HDHP, such as dental or vision expenses.</w:t>
      </w:r>
    </w:p>
    <w:p w:rsidR="008C01A9" w:rsidRPr="008C01A9" w:rsidP="00DD583C" w14:paraId="3592C785" w14:textId="77777777">
      <w:pPr>
        <w:pStyle w:val="BodyText"/>
      </w:pPr>
      <w:r>
        <w:t>HSAs provide a triple tax advantage—contributions, interest and earnings, and amounts distributed for qualified medical expenses are all exempt from federal income tax, Social Security/Medicare tax and most state income taxes. Due to an HSA’s potential tax savings, federal tax law includes strict rules for HSAs, including limits on annual contributions and HDHP cost sharing.</w:t>
      </w:r>
    </w:p>
    <w:p w:rsidR="00A357CD" w:rsidRPr="00DD583C" w:rsidP="00DD583C" w14:paraId="5AFCF808" w14:textId="77777777">
      <w:pPr>
        <w:pStyle w:val="BodyText"/>
        <w:sectPr w:rsidSect="008A7E71">
          <w:headerReference w:type="default" r:id="rId6"/>
          <w:footerReference w:type="default" r:id="rId7"/>
          <w:pgSz w:w="12240" w:h="15840"/>
          <w:pgMar w:top="3946" w:right="4680" w:bottom="1440" w:left="720" w:header="720" w:footer="720" w:gutter="0"/>
          <w:cols w:space="720"/>
          <w:docGrid w:linePitch="360"/>
        </w:sectPr>
      </w:pPr>
      <w:r w:rsidRPr="00DD583C">
        <w:rPr>
          <w:noProof/>
        </w:rPr>
        <mc:AlternateContent>
          <mc:Choice Requires="wps">
            <w:drawing>
              <wp:anchor distT="0" distB="0" distL="114300" distR="114300" simplePos="0" relativeHeight="251664384" behindDoc="0" locked="0" layoutInCell="1" allowOverlap="1">
                <wp:simplePos x="0" y="0"/>
                <wp:positionH relativeFrom="margin">
                  <wp:posOffset>-12700</wp:posOffset>
                </wp:positionH>
                <wp:positionV relativeFrom="page">
                  <wp:posOffset>6369050</wp:posOffset>
                </wp:positionV>
                <wp:extent cx="4356735" cy="1790700"/>
                <wp:effectExtent l="0" t="0" r="5715" b="0"/>
                <wp:wrapTopAndBottom/>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56735" cy="1790700"/>
                        </a:xfrm>
                        <a:prstGeom prst="rect">
                          <a:avLst/>
                        </a:prstGeom>
                        <a:solidFill>
                          <a:srgbClr val="5083C9">
                            <a:alpha val="10000"/>
                          </a:srgbClr>
                        </a:solidFill>
                        <a:ln w="38100">
                          <a:noFill/>
                          <a:miter lim="800000"/>
                          <a:headEnd/>
                          <a:tailEnd/>
                        </a:ln>
                      </wps:spPr>
                      <wps:txbx>
                        <w:txbxContent>
                          <w:p w:rsidR="008C01A9" w:rsidRPr="008C01A9" w:rsidP="00A95ADA" w14:textId="77777777">
                            <w:pPr>
                              <w:pStyle w:val="LR-Heading"/>
                              <w:rPr>
                                <w:color w:val="5083C9"/>
                              </w:rPr>
                            </w:pPr>
                            <w:r w:rsidRPr="008C01A9">
                              <w:rPr>
                                <w:color w:val="5083C9"/>
                              </w:rPr>
                              <w:t>Links and Resources</w:t>
                            </w:r>
                          </w:p>
                          <w:p w:rsidR="00DD583C" w:rsidP="00DD583C" w14:textId="77777777">
                            <w:pPr>
                              <w:pStyle w:val="LR-BulletList"/>
                            </w:pPr>
                            <w:hyperlink r:id="rId8" w:history="1">
                              <w:r w:rsidRPr="00707BFB">
                                <w:rPr>
                                  <w:rStyle w:val="Hyperlink"/>
                                </w:rPr>
                                <w:t>IRS Publication 969</w:t>
                              </w:r>
                            </w:hyperlink>
                            <w:r>
                              <w:t>, Health Savings Accounts and Other Tax-favored Health Plans.</w:t>
                            </w:r>
                          </w:p>
                          <w:p w:rsidR="00DD583C" w:rsidP="00DD583C" w14:textId="77777777">
                            <w:pPr>
                              <w:pStyle w:val="LR-BulletList"/>
                            </w:pPr>
                            <w:hyperlink r:id="rId9" w:history="1">
                              <w:r w:rsidRPr="00707BFB">
                                <w:rPr>
                                  <w:rStyle w:val="Hyperlink"/>
                                </w:rPr>
                                <w:t>IRS Rev. Proc. 20</w:t>
                              </w:r>
                              <w:r>
                                <w:rPr>
                                  <w:rStyle w:val="Hyperlink"/>
                                </w:rPr>
                                <w:t>2</w:t>
                              </w:r>
                              <w:r w:rsidR="00483FA9">
                                <w:rPr>
                                  <w:rStyle w:val="Hyperlink"/>
                                </w:rPr>
                                <w:t>2</w:t>
                              </w:r>
                              <w:r w:rsidRPr="00707BFB">
                                <w:rPr>
                                  <w:rStyle w:val="Hyperlink"/>
                                </w:rPr>
                                <w:t>-</w:t>
                              </w:r>
                              <w:r w:rsidR="00E25AAC">
                                <w:rPr>
                                  <w:rStyle w:val="Hyperlink"/>
                                </w:rPr>
                                <w:t>2</w:t>
                              </w:r>
                              <w:r w:rsidR="00483FA9">
                                <w:rPr>
                                  <w:rStyle w:val="Hyperlink"/>
                                </w:rPr>
                                <w:t>4</w:t>
                              </w:r>
                            </w:hyperlink>
                            <w:r>
                              <w:t>, which includes the inflation-adjusted HSA limits for 202</w:t>
                            </w:r>
                            <w:r w:rsidR="00483FA9">
                              <w:t>3</w:t>
                            </w:r>
                            <w:r>
                              <w:t>.</w:t>
                            </w:r>
                          </w:p>
                          <w:p w:rsidR="008C01A9" w:rsidRPr="007201D3" w:rsidP="00DD583C" w14:textId="25195371">
                            <w:pPr>
                              <w:pStyle w:val="LR-BulletList"/>
                            </w:pPr>
                            <w:r>
                              <w:t xml:space="preserve">COVID-19 Guidance: </w:t>
                            </w:r>
                            <w:hyperlink r:id="rId10" w:history="1">
                              <w:r w:rsidRPr="00AE6476">
                                <w:rPr>
                                  <w:rStyle w:val="Hyperlink"/>
                                </w:rPr>
                                <w:t>IRS Notice 2020-15</w:t>
                              </w:r>
                            </w:hyperlink>
                            <w:r>
                              <w:t xml:space="preserve">, the </w:t>
                            </w:r>
                            <w:hyperlink r:id="rId11" w:history="1">
                              <w:r w:rsidRPr="00AE6476">
                                <w:rPr>
                                  <w:rStyle w:val="Hyperlink"/>
                                </w:rPr>
                                <w:t>CARES Act</w:t>
                              </w:r>
                            </w:hyperlink>
                            <w:r w:rsidR="007022BE">
                              <w:t xml:space="preserve">, </w:t>
                            </w:r>
                            <w:r>
                              <w:t xml:space="preserve">the </w:t>
                            </w:r>
                            <w:hyperlink r:id="rId12" w:history="1">
                              <w:r w:rsidRPr="00AE6476">
                                <w:rPr>
                                  <w:rStyle w:val="Hyperlink"/>
                                </w:rPr>
                                <w:t>FFCRA</w:t>
                              </w:r>
                            </w:hyperlink>
                            <w:r w:rsidR="007022BE">
                              <w:rPr>
                                <w:rStyle w:val="BodyTextChar"/>
                                <w:rFonts w:eastAsiaTheme="minorHAnsi"/>
                              </w:rPr>
                              <w:t xml:space="preserve"> and the </w:t>
                            </w:r>
                            <w:hyperlink r:id="rId13" w:history="1">
                              <w:r w:rsidRPr="0078696A" w:rsidR="00114598">
                                <w:rPr>
                                  <w:rStyle w:val="Hyperlink"/>
                                  <w:rFonts w:eastAsiaTheme="minorHAnsi"/>
                                </w:rPr>
                                <w:t>CAA</w:t>
                              </w:r>
                              <w:r w:rsidRPr="0078696A" w:rsidR="0078696A">
                                <w:rPr>
                                  <w:rStyle w:val="Hyperlink"/>
                                  <w:rFonts w:eastAsiaTheme="minorHAnsi"/>
                                </w:rPr>
                                <w:t xml:space="preserve"> (2023)</w:t>
                              </w:r>
                            </w:hyperlink>
                          </w:p>
                        </w:txbxContent>
                      </wps:txbx>
                      <wps:bodyPr rot="0" vert="horz" wrap="square" lIns="91440" tIns="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1" o:spid="_x0000_s1030" type="#_x0000_t202" style="width:343.05pt;height:141pt;margin-top:501.5pt;margin-left:-1pt;mso-height-percent:0;mso-height-relative:margin;mso-position-horizontal-relative:margin;mso-position-vertical-relative:page;mso-width-percent:0;mso-width-relative:margin;mso-wrap-distance-bottom:0;mso-wrap-distance-left:9pt;mso-wrap-distance-right:9pt;mso-wrap-distance-top:0;position:absolute;v-text-anchor:top;z-index:251663360" fillcolor="#5083c9" stroked="f" strokeweight="3pt">
                <v:fill opacity="6682f"/>
                <v:textbox inset=",0">
                  <w:txbxContent>
                    <w:p w:rsidR="008C01A9" w:rsidRPr="008C01A9" w:rsidP="00A95ADA" w14:paraId="75CDCBFC" w14:textId="77777777">
                      <w:pPr>
                        <w:pStyle w:val="LR-Heading"/>
                        <w:rPr>
                          <w:color w:val="5083C9"/>
                        </w:rPr>
                      </w:pPr>
                      <w:r w:rsidRPr="008C01A9">
                        <w:rPr>
                          <w:color w:val="5083C9"/>
                        </w:rPr>
                        <w:t>Links and Resources</w:t>
                      </w:r>
                    </w:p>
                    <w:p w:rsidR="00DD583C" w:rsidP="00DD583C" w14:paraId="731778C8" w14:textId="77777777">
                      <w:pPr>
                        <w:pStyle w:val="LR-BulletList"/>
                      </w:pPr>
                      <w:hyperlink r:id="rId8" w:history="1">
                        <w:r w:rsidRPr="00707BFB">
                          <w:rPr>
                            <w:rStyle w:val="Hyperlink"/>
                          </w:rPr>
                          <w:t>IRS Publication 969</w:t>
                        </w:r>
                      </w:hyperlink>
                      <w:r>
                        <w:t>, Health Savings Accounts and Other Tax-favored Health Plans.</w:t>
                      </w:r>
                    </w:p>
                    <w:p w:rsidR="00DD583C" w:rsidP="00DD583C" w14:paraId="668182C5" w14:textId="77777777">
                      <w:pPr>
                        <w:pStyle w:val="LR-BulletList"/>
                      </w:pPr>
                      <w:hyperlink r:id="rId9" w:history="1">
                        <w:r w:rsidRPr="00707BFB">
                          <w:rPr>
                            <w:rStyle w:val="Hyperlink"/>
                          </w:rPr>
                          <w:t>IRS Rev. Proc. 20</w:t>
                        </w:r>
                        <w:r>
                          <w:rPr>
                            <w:rStyle w:val="Hyperlink"/>
                          </w:rPr>
                          <w:t>2</w:t>
                        </w:r>
                        <w:r w:rsidR="00483FA9">
                          <w:rPr>
                            <w:rStyle w:val="Hyperlink"/>
                          </w:rPr>
                          <w:t>2</w:t>
                        </w:r>
                        <w:r w:rsidRPr="00707BFB">
                          <w:rPr>
                            <w:rStyle w:val="Hyperlink"/>
                          </w:rPr>
                          <w:t>-</w:t>
                        </w:r>
                        <w:r w:rsidR="00E25AAC">
                          <w:rPr>
                            <w:rStyle w:val="Hyperlink"/>
                          </w:rPr>
                          <w:t>2</w:t>
                        </w:r>
                        <w:r w:rsidR="00483FA9">
                          <w:rPr>
                            <w:rStyle w:val="Hyperlink"/>
                          </w:rPr>
                          <w:t>4</w:t>
                        </w:r>
                      </w:hyperlink>
                      <w:r>
                        <w:t>, which includes the inflation-adjusted HSA limits for 202</w:t>
                      </w:r>
                      <w:r w:rsidR="00483FA9">
                        <w:t>3</w:t>
                      </w:r>
                      <w:r>
                        <w:t>.</w:t>
                      </w:r>
                    </w:p>
                    <w:p w:rsidR="008C01A9" w:rsidRPr="007201D3" w:rsidP="00DD583C" w14:paraId="1182B1FC" w14:textId="25195371">
                      <w:pPr>
                        <w:pStyle w:val="LR-BulletList"/>
                      </w:pPr>
                      <w:r>
                        <w:t xml:space="preserve">COVID-19 Guidance: </w:t>
                      </w:r>
                      <w:hyperlink r:id="rId10" w:history="1">
                        <w:r w:rsidRPr="00AE6476">
                          <w:rPr>
                            <w:rStyle w:val="Hyperlink"/>
                          </w:rPr>
                          <w:t>IRS Notice 2020-15</w:t>
                        </w:r>
                      </w:hyperlink>
                      <w:r>
                        <w:t xml:space="preserve">, the </w:t>
                      </w:r>
                      <w:hyperlink r:id="rId11" w:history="1">
                        <w:r w:rsidRPr="00AE6476">
                          <w:rPr>
                            <w:rStyle w:val="Hyperlink"/>
                          </w:rPr>
                          <w:t>CARES Act</w:t>
                        </w:r>
                      </w:hyperlink>
                      <w:r w:rsidR="007022BE">
                        <w:t xml:space="preserve">, </w:t>
                      </w:r>
                      <w:r>
                        <w:t xml:space="preserve">the </w:t>
                      </w:r>
                      <w:hyperlink r:id="rId12" w:history="1">
                        <w:r w:rsidRPr="00AE6476">
                          <w:rPr>
                            <w:rStyle w:val="Hyperlink"/>
                          </w:rPr>
                          <w:t>FFCRA</w:t>
                        </w:r>
                      </w:hyperlink>
                      <w:r w:rsidR="007022BE">
                        <w:rPr>
                          <w:rStyle w:val="BodyTextChar"/>
                          <w:rFonts w:eastAsiaTheme="minorHAnsi"/>
                        </w:rPr>
                        <w:t xml:space="preserve"> and the </w:t>
                      </w:r>
                      <w:hyperlink r:id="rId13" w:history="1">
                        <w:r w:rsidRPr="0078696A" w:rsidR="00114598">
                          <w:rPr>
                            <w:rStyle w:val="Hyperlink"/>
                            <w:rFonts w:eastAsiaTheme="minorHAnsi"/>
                          </w:rPr>
                          <w:t>CAA</w:t>
                        </w:r>
                        <w:r w:rsidRPr="0078696A" w:rsidR="0078696A">
                          <w:rPr>
                            <w:rStyle w:val="Hyperlink"/>
                            <w:rFonts w:eastAsiaTheme="minorHAnsi"/>
                          </w:rPr>
                          <w:t xml:space="preserve"> (2023)</w:t>
                        </w:r>
                      </w:hyperlink>
                    </w:p>
                  </w:txbxContent>
                </v:textbox>
                <w10:wrap type="topAndBottom"/>
              </v:shape>
            </w:pict>
          </mc:Fallback>
        </mc:AlternateContent>
      </w:r>
      <w:r w:rsidR="00FD61EC">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5549462</wp:posOffset>
                </wp:positionV>
                <wp:extent cx="7771765" cy="2827020"/>
                <wp:effectExtent l="0" t="0" r="635" b="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7771765" cy="2827020"/>
                          <a:chOff x="0" y="0"/>
                          <a:chExt cx="7771765" cy="2827251"/>
                        </a:xfrm>
                      </wpg:grpSpPr>
                      <wpg:grpSp>
                        <wpg:cNvPr id="8" name="Group 8"/>
                        <wpg:cNvGrpSpPr/>
                        <wpg:grpSpPr>
                          <a:xfrm>
                            <a:off x="0" y="0"/>
                            <a:ext cx="7771765" cy="957580"/>
                            <a:chOff x="0" y="0"/>
                            <a:chExt cx="7771765" cy="957580"/>
                          </a:xfrm>
                        </wpg:grpSpPr>
                        <pic:pic xmlns:pic="http://schemas.openxmlformats.org/drawingml/2006/picture">
                          <pic:nvPicPr>
                            <pic:cNvPr id="11" name="Picture 11"/>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327660"/>
                              <a:ext cx="7771765" cy="629920"/>
                            </a:xfrm>
                            <a:prstGeom prst="rect">
                              <a:avLst/>
                            </a:prstGeom>
                          </pic:spPr>
                        </pic:pic>
                        <wps:wsp xmlns:wps="http://schemas.microsoft.com/office/word/2010/wordprocessingShape">
                          <wps:cNvPr id="12" name="Text Box 2"/>
                          <wps:cNvSpPr txBox="1">
                            <a:spLocks noChangeArrowheads="1"/>
                          </wps:cNvSpPr>
                          <wps:spPr bwMode="auto">
                            <a:xfrm>
                              <a:off x="5021580" y="0"/>
                              <a:ext cx="2413000" cy="329565"/>
                            </a:xfrm>
                            <a:prstGeom prst="rect">
                              <a:avLst/>
                            </a:prstGeom>
                            <a:noFill/>
                            <a:ln w="9525">
                              <a:noFill/>
                              <a:miter lim="800000"/>
                              <a:headEnd/>
                              <a:tailEnd/>
                            </a:ln>
                          </wps:spPr>
                          <wps:txbx>
                            <w:txbxContent>
                              <w:p w:rsidR="00677DD4" w:rsidRPr="00B27C10" w:rsidP="00677DD4" w14:textId="77777777">
                                <w:pPr>
                                  <w:pStyle w:val="SubHeader"/>
                                  <w:rPr>
                                    <w:color w:val="5083C9"/>
                                    <w:sz w:val="32"/>
                                    <w:szCs w:val="32"/>
                                  </w:rPr>
                                </w:pPr>
                                <w:r>
                                  <w:rPr>
                                    <w:color w:val="5083C9"/>
                                    <w:sz w:val="32"/>
                                    <w:szCs w:val="32"/>
                                  </w:rPr>
                                  <w:t>Changes for COVID-19</w:t>
                                </w:r>
                              </w:p>
                            </w:txbxContent>
                          </wps:txbx>
                          <wps:bodyPr rot="0" vert="horz" wrap="square" lIns="91440" tIns="45720" rIns="91440" bIns="45720" anchor="t" anchorCtr="0"/>
                        </wps:wsp>
                      </wpg:grpSp>
                      <wps:wsp xmlns:wps="http://schemas.microsoft.com/office/word/2010/wordprocessingShape">
                        <wps:cNvPr id="14" name="Text Box 2"/>
                        <wps:cNvSpPr txBox="1">
                          <a:spLocks noChangeArrowheads="1"/>
                        </wps:cNvSpPr>
                        <wps:spPr bwMode="auto">
                          <a:xfrm>
                            <a:off x="5029200" y="353291"/>
                            <a:ext cx="2413000" cy="2473960"/>
                          </a:xfrm>
                          <a:prstGeom prst="rect">
                            <a:avLst/>
                          </a:prstGeom>
                          <a:noFill/>
                          <a:ln w="9525">
                            <a:noFill/>
                            <a:miter lim="800000"/>
                            <a:headEnd/>
                            <a:tailEnd/>
                          </a:ln>
                        </wps:spPr>
                        <wps:txbx>
                          <w:txbxContent>
                            <w:p w:rsidR="00677DD4" w:rsidP="00677DD4" w14:textId="77777777">
                              <w:pPr>
                                <w:pStyle w:val="BodyText"/>
                                <w:spacing w:after="60"/>
                              </w:pPr>
                              <w:r>
                                <w:t>In response to the COVID-19 crisis</w:t>
                              </w:r>
                              <w:r>
                                <w:t>:</w:t>
                              </w:r>
                            </w:p>
                            <w:p w:rsidR="00DD583C" w:rsidP="00DD583C" w14:textId="77777777">
                              <w:pPr>
                                <w:pStyle w:val="BulletList"/>
                                <w:numPr>
                                  <w:ilvl w:val="0"/>
                                  <w:numId w:val="7"/>
                                </w:numPr>
                                <w:jc w:val="left"/>
                              </w:pPr>
                              <w:r>
                                <w:t>Over-the-counter drugs and menstrual care products are qualified medical expenses that can be paid for by an HSA on a tax-free basis.</w:t>
                              </w:r>
                            </w:p>
                            <w:p w:rsidR="00677DD4" w:rsidP="00DD583C" w14:textId="77777777">
                              <w:pPr>
                                <w:pStyle w:val="BulletList"/>
                                <w:numPr>
                                  <w:ilvl w:val="0"/>
                                  <w:numId w:val="7"/>
                                </w:numPr>
                                <w:jc w:val="left"/>
                              </w:pPr>
                              <w:r>
                                <w:t>HDHPs may pay for certain benefits, including COVID-19 testing and treatment and telehealth services, before the deductible is reached.</w:t>
                              </w:r>
                            </w:p>
                          </w:txbxContent>
                        </wps:txbx>
                        <wps:bodyPr rot="0" vert="horz" wrap="square" lIns="91440" tIns="45720" rIns="91440" bIns="45720" anchor="t" anchorCtr="0"/>
                      </wps:wsp>
                    </wpg:wgp>
                  </a:graphicData>
                </a:graphic>
              </wp:anchor>
            </w:drawing>
          </mc:Choice>
          <mc:Fallback>
            <w:pict>
              <v:group id="Group 10" o:spid="_x0000_s1031" style="width:612pt;height:222.6pt;margin-top:436.97pt;margin-left:0;mso-position-horizontal-relative:page;mso-position-vertical-relative:page;mso-wrap-distance-bottom:0;mso-wrap-distance-left:9pt;mso-wrap-distance-right:9pt;mso-wrap-distance-top:0;position:absolute;z-index:-251655168" coordorigin="0,0" coordsize="21600,21600">
                <v:group id="_x0000_s1032" style="width:21600;height:7316;position:absolute" coordorigin="0,0" coordsize="21600,21600">
                  <v:shape id="_x0000_s1033" type="#_x0000_t75" style="width:21600;height:14209;position:absolute;top:7391">
                    <v:imagedata r:id="rId5" o:title=""/>
                  </v:shape>
                  <v:shape id="_x0000_s1034" type="#_x0000_t202" style="width:6706;height:7434;left:13956;position:absolute;v-text-anchor:top" filled="f" fillcolor="this" stroked="f" strokeweight="0.75pt">
                    <v:textbox>
                      <w:txbxContent>
                        <w:p w:rsidR="00677DD4" w:rsidRPr="00B27C10" w:rsidP="00677DD4" w14:paraId="477073AB" w14:textId="77777777">
                          <w:pPr>
                            <w:pStyle w:val="SubHeader"/>
                            <w:rPr>
                              <w:color w:val="5083C9"/>
                              <w:sz w:val="32"/>
                              <w:szCs w:val="32"/>
                            </w:rPr>
                          </w:pPr>
                          <w:r>
                            <w:rPr>
                              <w:color w:val="5083C9"/>
                              <w:sz w:val="32"/>
                              <w:szCs w:val="32"/>
                            </w:rPr>
                            <w:t>Changes for COVID-19</w:t>
                          </w:r>
                        </w:p>
                      </w:txbxContent>
                    </v:textbox>
                  </v:shape>
                </v:group>
                <v:shape id="_x0000_s1035" type="#_x0000_t202" style="width:6706;height:18901;left:13978;position:absolute;top:2699;v-text-anchor:top" filled="f" fillcolor="this" stroked="f" strokeweight="0.75pt">
                  <v:textbox>
                    <w:txbxContent>
                      <w:p w:rsidR="00677DD4" w:rsidP="00677DD4" w14:paraId="16C055A3" w14:textId="77777777">
                        <w:pPr>
                          <w:pStyle w:val="BodyText"/>
                          <w:spacing w:after="60"/>
                        </w:pPr>
                        <w:r>
                          <w:t>In response to the COVID-19 crisis</w:t>
                        </w:r>
                        <w:r>
                          <w:t>:</w:t>
                        </w:r>
                      </w:p>
                      <w:p w:rsidR="00DD583C" w:rsidP="00DD583C" w14:paraId="6BA21399" w14:textId="77777777">
                        <w:pPr>
                          <w:pStyle w:val="BulletList"/>
                          <w:numPr>
                            <w:ilvl w:val="0"/>
                            <w:numId w:val="7"/>
                          </w:numPr>
                          <w:jc w:val="left"/>
                        </w:pPr>
                        <w:r>
                          <w:t>Over-the-counter drugs and menstrual care products are qualified medical expenses that can be paid for by an HSA on a tax-free basis.</w:t>
                        </w:r>
                      </w:p>
                      <w:p w:rsidR="00677DD4" w:rsidP="00DD583C" w14:paraId="43D6B610" w14:textId="77777777">
                        <w:pPr>
                          <w:pStyle w:val="BulletList"/>
                          <w:numPr>
                            <w:ilvl w:val="0"/>
                            <w:numId w:val="7"/>
                          </w:numPr>
                          <w:jc w:val="left"/>
                        </w:pPr>
                        <w:r>
                          <w:t>HDHPs may pay for certain benefits, including COVID-19 testing and treatment and telehealth services, before the deductible is reached.</w:t>
                        </w:r>
                      </w:p>
                    </w:txbxContent>
                  </v:textbox>
                </v:shape>
              </v:group>
            </w:pict>
          </mc:Fallback>
        </mc:AlternateContent>
      </w:r>
      <w:r w:rsidR="000847AD">
        <w:rPr>
          <w:noProof/>
        </w:rPr>
        <mc:AlternateContent>
          <mc:Choice Requires="wps">
            <w:drawing>
              <wp:anchor distT="0" distB="0" distL="114300" distR="114300" simplePos="0" relativeHeight="251660288" behindDoc="0" locked="0" layoutInCell="1" allowOverlap="1">
                <wp:simplePos x="0" y="0"/>
                <wp:positionH relativeFrom="margin">
                  <wp:posOffset>-98425</wp:posOffset>
                </wp:positionH>
                <wp:positionV relativeFrom="margin">
                  <wp:posOffset>5986087</wp:posOffset>
                </wp:positionV>
                <wp:extent cx="4344670" cy="594995"/>
                <wp:effectExtent l="0" t="0" r="0" b="0"/>
                <wp:wrapNone/>
                <wp:docPr id="24" name="Text Box 24"/>
                <wp:cNvGraphicFramePr/>
                <a:graphic xmlns:a="http://schemas.openxmlformats.org/drawingml/2006/main">
                  <a:graphicData uri="http://schemas.microsoft.com/office/word/2010/wordprocessingShape">
                    <wps:wsp xmlns:wps="http://schemas.microsoft.com/office/word/2010/wordprocessingShape">
                      <wps:cNvSpPr txBox="1"/>
                      <wps:spPr>
                        <a:xfrm>
                          <a:off x="0" y="0"/>
                          <a:ext cx="4344670" cy="594995"/>
                        </a:xfrm>
                        <a:prstGeom prst="rect">
                          <a:avLst/>
                        </a:prstGeom>
                        <a:noFill/>
                        <a:ln w="6350">
                          <a:noFill/>
                        </a:ln>
                        <a:effectLst/>
                      </wps:spPr>
                      <wps:txbx>
                        <w:txbxContent>
                          <w:p w:rsidR="00E6115F" w:rsidRPr="000847AD" w:rsidP="00E6115F" w14:textId="77777777">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ENV Insurance Agency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width:342.1pt;height:46.85pt;margin-top:471.35pt;margin-left:-7.75pt;mso-height-percent:0;mso-height-relative:margin;mso-position-horizontal-relative:margin;mso-position-vertical-relative:margin;mso-width-percent:0;mso-width-relative:margin;mso-wrap-distance-bottom:0;mso-wrap-distance-left:9pt;mso-wrap-distance-right:9pt;mso-wrap-distance-top:0;position:absolute;v-text-anchor:top;z-index:251659264" filled="f" fillcolor="this" stroked="f" strokeweight="0.5pt">
                <v:textbox>
                  <w:txbxContent>
                    <w:p w:rsidR="00E6115F" w:rsidRPr="000847AD" w:rsidP="00E6115F" w14:paraId="46CE4C64" w14:textId="77777777">
                      <w:pPr>
                        <w:pStyle w:val="Header"/>
                        <w:rPr>
                          <w:sz w:val="20"/>
                          <w:szCs w:val="20"/>
                        </w:rPr>
                      </w:pPr>
                      <w:r w:rsidRPr="000847AD">
                        <w:rPr>
                          <w:color w:val="595959" w:themeColor="text1" w:themeTint="A6"/>
                          <w:sz w:val="20"/>
                          <w:szCs w:val="20"/>
                        </w:rPr>
                        <w:t xml:space="preserve">Provided to you by </w:t>
                      </w:r>
                      <w:r w:rsidRPr="000847AD">
                        <w:rPr>
                          <w:b/>
                          <w:color w:val="5083C9"/>
                          <w:sz w:val="20"/>
                          <w:szCs w:val="20"/>
                        </w:rPr>
                        <w:t>ENV Insurance Agency</w:t>
                      </w:r>
                    </w:p>
                  </w:txbxContent>
                </v:textbox>
                <w10:wrap anchorx="margin" anchory="margin"/>
              </v:shape>
            </w:pict>
          </mc:Fallback>
        </mc:AlternateContent>
      </w:r>
      <w:r w:rsidR="00DD583C">
        <w:t>This Compliance Overview summarizes key features for HSAs, including the contribution limits for 202</w:t>
      </w:r>
      <w:r w:rsidR="00483FA9">
        <w:t>3</w:t>
      </w:r>
      <w:r w:rsidR="00DD583C">
        <w:t>.</w:t>
      </w:r>
    </w:p>
    <w:p w:rsidR="00C84C66" w:rsidP="00723F48" w14:paraId="35C42605" w14:textId="77777777">
      <w:pPr>
        <w:pStyle w:val="SectionedHeader"/>
        <w:jc w:val="center"/>
      </w:pPr>
      <w:r>
        <w:t>HSA Key Features</w:t>
      </w:r>
    </w:p>
    <w:tbl>
      <w:tblPr>
        <w:tblStyle w:val="TableGrid"/>
        <w:tblW w:w="1086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
      <w:tblGrid>
        <w:gridCol w:w="1860"/>
        <w:gridCol w:w="9000"/>
      </w:tblGrid>
      <w:tr w14:paraId="542471FB" w14:textId="77777777" w:rsidTr="00977FC4">
        <w:tblPrEx>
          <w:tblW w:w="1086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Ex>
        <w:trPr>
          <w:jc w:val="center"/>
        </w:trPr>
        <w:tc>
          <w:tcPr>
            <w:tcW w:w="10860" w:type="dxa"/>
            <w:gridSpan w:val="2"/>
            <w:shd w:val="clear" w:color="auto" w:fill="808080" w:themeFill="background1" w:themeFillShade="80"/>
          </w:tcPr>
          <w:p w:rsidR="00723F48" w:rsidRPr="00723F48" w:rsidP="00977FC4" w14:paraId="40F362DC" w14:textId="77777777">
            <w:pPr>
              <w:pStyle w:val="TableHeader"/>
              <w:spacing w:before="40" w:after="40"/>
            </w:pPr>
            <w:r>
              <w:t>Overview</w:t>
            </w:r>
          </w:p>
        </w:tc>
      </w:tr>
      <w:tr w14:paraId="768AAF3C"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15357EC8" w14:textId="77777777">
            <w:pPr>
              <w:pStyle w:val="BodyText"/>
              <w:spacing w:before="40" w:after="40"/>
              <w:jc w:val="center"/>
              <w:rPr>
                <w:b/>
                <w:color w:val="FFFFFF" w:themeColor="background1"/>
              </w:rPr>
            </w:pPr>
            <w:r w:rsidRPr="00E25AAC">
              <w:rPr>
                <w:b/>
                <w:color w:val="FFFFFF" w:themeColor="background1"/>
              </w:rPr>
              <w:t>Account Description</w:t>
            </w:r>
          </w:p>
        </w:tc>
        <w:tc>
          <w:tcPr>
            <w:tcW w:w="9000" w:type="dxa"/>
            <w:shd w:val="clear" w:color="auto" w:fill="D6DCE4" w:themeFill="text2" w:themeFillTint="33"/>
            <w:vAlign w:val="center"/>
          </w:tcPr>
          <w:p w:rsidR="00723F48" w:rsidP="00977FC4" w14:paraId="404D74E8" w14:textId="77777777">
            <w:pPr>
              <w:pStyle w:val="BodyText"/>
              <w:spacing w:before="40" w:after="40"/>
              <w:jc w:val="left"/>
            </w:pPr>
            <w:r w:rsidRPr="00723F48">
              <w:t>Tax-exempt trust or custodial account established by an eligible individual to pay for qualified medical expenses.</w:t>
            </w:r>
          </w:p>
        </w:tc>
      </w:tr>
      <w:tr w14:paraId="7008B516"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41719186" w14:textId="77777777">
            <w:pPr>
              <w:pStyle w:val="BodyText"/>
              <w:spacing w:before="40" w:after="40"/>
              <w:jc w:val="center"/>
              <w:rPr>
                <w:b/>
                <w:color w:val="FFFFFF" w:themeColor="background1"/>
              </w:rPr>
            </w:pPr>
            <w:r w:rsidRPr="00E25AAC">
              <w:rPr>
                <w:b/>
                <w:color w:val="FFFFFF" w:themeColor="background1"/>
              </w:rPr>
              <w:t>Changes Related to COVID-19 Pandemic</w:t>
            </w:r>
          </w:p>
        </w:tc>
        <w:tc>
          <w:tcPr>
            <w:tcW w:w="9000" w:type="dxa"/>
            <w:shd w:val="clear" w:color="auto" w:fill="D6DCE4" w:themeFill="text2" w:themeFillTint="33"/>
            <w:vAlign w:val="center"/>
          </w:tcPr>
          <w:p w:rsidR="00723F48" w:rsidP="00977FC4" w14:paraId="3CE89DEB" w14:textId="77777777">
            <w:pPr>
              <w:pStyle w:val="Bullet"/>
              <w:numPr>
                <w:ilvl w:val="0"/>
                <w:numId w:val="0"/>
              </w:numPr>
              <w:spacing w:before="40" w:after="40"/>
              <w:jc w:val="left"/>
            </w:pPr>
            <w:r>
              <w:t>The following changes related to the COVID-19 global pandemic impact HSAs:</w:t>
            </w:r>
          </w:p>
          <w:p w:rsidR="00723F48" w:rsidP="00977FC4" w14:paraId="42FF0ADA" w14:textId="77777777">
            <w:pPr>
              <w:pStyle w:val="Bullet"/>
              <w:spacing w:before="40" w:after="40"/>
              <w:ind w:left="431"/>
              <w:jc w:val="left"/>
            </w:pPr>
            <w:r>
              <w:t xml:space="preserve">Effective Jan. 1, 2020, the </w:t>
            </w:r>
            <w:hyperlink r:id="rId11" w:history="1">
              <w:r w:rsidRPr="008247EF">
                <w:rPr>
                  <w:rStyle w:val="Hyperlink"/>
                </w:rPr>
                <w:t>Coronavirus Aid, Relief and Economic Security Act</w:t>
              </w:r>
            </w:hyperlink>
            <w:r w:rsidRPr="008247EF">
              <w:t xml:space="preserve"> (CARES Act) </w:t>
            </w:r>
            <w:r>
              <w:t>provides that over-the-counter</w:t>
            </w:r>
            <w:r w:rsidRPr="008247EF">
              <w:t xml:space="preserve"> </w:t>
            </w:r>
            <w:r>
              <w:t xml:space="preserve">(OTC) medicines and </w:t>
            </w:r>
            <w:r w:rsidRPr="008247EF">
              <w:t>drugs</w:t>
            </w:r>
            <w:r>
              <w:t xml:space="preserve"> are q</w:t>
            </w:r>
            <w:r w:rsidRPr="008247EF">
              <w:t xml:space="preserve">ualified medical expenses that may </w:t>
            </w:r>
            <w:r>
              <w:t xml:space="preserve">be paid for by an HSA on a tax-free basis, regardless of whether the medicine or drug is prescribed. In addition, menstrual care products </w:t>
            </w:r>
            <w:r w:rsidRPr="008247EF">
              <w:t xml:space="preserve">are qualifying medical expenses that </w:t>
            </w:r>
            <w:r>
              <w:t xml:space="preserve">may </w:t>
            </w:r>
            <w:r w:rsidRPr="008247EF">
              <w:t>be paid</w:t>
            </w:r>
            <w:r w:rsidRPr="008247EF">
              <w:t xml:space="preserve"> for on a tax-free basis by an HSA</w:t>
            </w:r>
            <w:r>
              <w:t>.</w:t>
            </w:r>
          </w:p>
          <w:p w:rsidR="00331E34" w:rsidP="00977FC4" w14:paraId="4D5015CD" w14:textId="77777777">
            <w:pPr>
              <w:pStyle w:val="Bullet"/>
              <w:spacing w:before="40" w:after="40"/>
              <w:ind w:left="431"/>
              <w:jc w:val="left"/>
            </w:pPr>
            <w:hyperlink r:id="rId14" w:history="1">
              <w:r w:rsidRPr="00C0344C">
                <w:rPr>
                  <w:rStyle w:val="Hyperlink"/>
                </w:rPr>
                <w:t>IRS Announcement 2021-7</w:t>
              </w:r>
            </w:hyperlink>
            <w:r>
              <w:t xml:space="preserve"> provides that HSAs can reimburse personal protective equipment (PPE), such as </w:t>
            </w:r>
            <w:r w:rsidRPr="000C041F">
              <w:rPr>
                <w:bCs/>
              </w:rPr>
              <w:t>masks, hand sanitizer and sanitizing wipes</w:t>
            </w:r>
            <w:r w:rsidRPr="00BF7808">
              <w:rPr>
                <w:bCs/>
              </w:rPr>
              <w:t>,</w:t>
            </w:r>
            <w:r w:rsidRPr="00331E34">
              <w:t xml:space="preserve"> </w:t>
            </w:r>
            <w:r>
              <w:t xml:space="preserve">used for the primary purpose of preventing the spread of COVID-19, </w:t>
            </w:r>
            <w:r w:rsidRPr="00331E34">
              <w:t>effective for expenses incurred on or after Jan. 1, 2020.</w:t>
            </w:r>
          </w:p>
          <w:p w:rsidR="00537092" w:rsidP="00537092" w14:paraId="06D21085" w14:textId="77777777">
            <w:pPr>
              <w:pStyle w:val="Bullet"/>
              <w:spacing w:before="40" w:after="40"/>
              <w:ind w:left="431"/>
              <w:jc w:val="left"/>
            </w:pPr>
            <w:r>
              <w:t>E</w:t>
            </w:r>
            <w:r w:rsidRPr="008247EF">
              <w:t xml:space="preserve">ffective March 18, 2020, the </w:t>
            </w:r>
            <w:hyperlink r:id="rId12" w:history="1">
              <w:r w:rsidRPr="008247EF">
                <w:rPr>
                  <w:rStyle w:val="Hyperlink"/>
                </w:rPr>
                <w:t>Families First Coronavirus Response Act</w:t>
              </w:r>
            </w:hyperlink>
            <w:r w:rsidRPr="008247EF">
              <w:t xml:space="preserve"> (FFCRA) requires group health plans and health insurance issuers to cover COVID-19 testing without imposing any cost sharing (such as deductibles, copayments or coinsurance) or prior authorization or other medical management requirements.</w:t>
            </w:r>
            <w:r>
              <w:t xml:space="preserve"> </w:t>
            </w:r>
            <w:hyperlink r:id="rId10" w:history="1">
              <w:r w:rsidRPr="008247EF">
                <w:rPr>
                  <w:rStyle w:val="Hyperlink"/>
                </w:rPr>
                <w:t>IRS Notice 2020-15</w:t>
              </w:r>
            </w:hyperlink>
            <w:r w:rsidRPr="008247EF">
              <w:t xml:space="preserve"> </w:t>
            </w:r>
            <w:r>
              <w:t xml:space="preserve">confirms that HDHPs can </w:t>
            </w:r>
            <w:r w:rsidRPr="008247EF">
              <w:t>pay for COVID-19 testing and treatment before plan deductibles have been met, without jeopardizing their status</w:t>
            </w:r>
            <w:r>
              <w:t xml:space="preserve"> as HSA-compatible.</w:t>
            </w:r>
          </w:p>
          <w:p w:rsidR="0033233A" w:rsidP="00CC017A" w14:paraId="146133B0" w14:textId="01AA5BC0">
            <w:pPr>
              <w:pStyle w:val="Bullet"/>
              <w:spacing w:before="40" w:after="40"/>
              <w:ind w:left="431"/>
              <w:jc w:val="left"/>
            </w:pPr>
            <w:r>
              <w:t>T</w:t>
            </w:r>
            <w:r w:rsidRPr="00537092">
              <w:t>he CARES Act allow</w:t>
            </w:r>
            <w:r>
              <w:t>ed</w:t>
            </w:r>
            <w:r w:rsidRPr="00537092">
              <w:t xml:space="preserve"> HDHPs to </w:t>
            </w:r>
            <w:r w:rsidR="00745A01">
              <w:t>cover</w:t>
            </w:r>
            <w:r w:rsidRPr="00537092">
              <w:t xml:space="preserve"> </w:t>
            </w:r>
            <w:r w:rsidRPr="000C041F">
              <w:t xml:space="preserve">telehealth or other remote care services </w:t>
            </w:r>
            <w:r w:rsidRPr="000C041F" w:rsidR="006E0E34">
              <w:t xml:space="preserve">without a </w:t>
            </w:r>
            <w:r w:rsidRPr="000C041F">
              <w:t>deductible</w:t>
            </w:r>
            <w:r w:rsidRPr="000C041F" w:rsidR="006E0E34">
              <w:t xml:space="preserve"> (or with a deductible below the minimum HDHP deductible)</w:t>
            </w:r>
            <w:r w:rsidRPr="008D77F3">
              <w:t xml:space="preserve"> for</w:t>
            </w:r>
            <w:r w:rsidRPr="00537092">
              <w:t xml:space="preserve"> plan years beginning before Jan. 1, 2022.</w:t>
            </w:r>
            <w:r w:rsidR="00C75856">
              <w:t xml:space="preserve"> </w:t>
            </w:r>
            <w:r w:rsidRPr="00D40792" w:rsidR="00D40792">
              <w:t xml:space="preserve">A </w:t>
            </w:r>
            <w:hyperlink r:id="rId15" w:history="1">
              <w:r w:rsidRPr="00D41927" w:rsidR="00D40792">
                <w:rPr>
                  <w:rStyle w:val="Hyperlink"/>
                </w:rPr>
                <w:t>spending bill</w:t>
              </w:r>
            </w:hyperlink>
            <w:r w:rsidRPr="00D40792" w:rsidR="00D40792">
              <w:t xml:space="preserve"> extended this relief to telehealth services provided in months beginning after March 31, 2022, and before Jan. 1, 2023.</w:t>
            </w:r>
            <w:r w:rsidR="00D41927">
              <w:t xml:space="preserve"> </w:t>
            </w:r>
            <w:r w:rsidR="00CC017A">
              <w:t>T</w:t>
            </w:r>
            <w:r w:rsidR="00D41927">
              <w:t xml:space="preserve">he </w:t>
            </w:r>
            <w:hyperlink r:id="rId13" w:history="1">
              <w:r w:rsidRPr="003B53B0" w:rsidR="00D41927">
                <w:rPr>
                  <w:rStyle w:val="Hyperlink"/>
                </w:rPr>
                <w:t>Consolidated Appropriations Act, 2023</w:t>
              </w:r>
            </w:hyperlink>
            <w:r w:rsidR="00D41927">
              <w:t xml:space="preserve"> (CAA, 2023) </w:t>
            </w:r>
            <w:r w:rsidR="00CC017A">
              <w:t>further extends this telehealth exception for plan years beginning after Dec. 31, 2022</w:t>
            </w:r>
            <w:r w:rsidR="003B53B0">
              <w:t>,</w:t>
            </w:r>
            <w:r w:rsidR="00CC017A">
              <w:t xml:space="preserve"> and before Jan. 1, 2025. </w:t>
            </w:r>
            <w:r w:rsidR="00B95E44">
              <w:t xml:space="preserve">This means that </w:t>
            </w:r>
            <w:r w:rsidRPr="00B95E44" w:rsidR="00B95E44">
              <w:t>HDHPs may waive the deductible for telehealth services without jeopardizing HSA eligibility for plan years beginning in 2023 and 2024.</w:t>
            </w:r>
          </w:p>
        </w:tc>
      </w:tr>
      <w:tr w14:paraId="127E579A"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1917F824" w14:textId="77777777">
            <w:pPr>
              <w:pStyle w:val="BodyText"/>
              <w:spacing w:before="40" w:after="40"/>
              <w:jc w:val="center"/>
              <w:rPr>
                <w:b/>
                <w:color w:val="FFFFFF" w:themeColor="background1"/>
              </w:rPr>
            </w:pPr>
            <w:r w:rsidRPr="00E25AAC">
              <w:rPr>
                <w:b/>
                <w:color w:val="FFFFFF" w:themeColor="background1"/>
              </w:rPr>
              <w:t>Annual Reminders for 202</w:t>
            </w:r>
            <w:r w:rsidR="00E7339D">
              <w:rPr>
                <w:b/>
                <w:color w:val="FFFFFF" w:themeColor="background1"/>
              </w:rPr>
              <w:t>3</w:t>
            </w:r>
          </w:p>
        </w:tc>
        <w:tc>
          <w:tcPr>
            <w:tcW w:w="9000" w:type="dxa"/>
            <w:shd w:val="clear" w:color="auto" w:fill="D6DCE4" w:themeFill="text2" w:themeFillTint="33"/>
            <w:vAlign w:val="center"/>
          </w:tcPr>
          <w:p w:rsidR="00723F48" w:rsidP="00977FC4" w14:paraId="47974D54" w14:textId="77777777">
            <w:pPr>
              <w:pStyle w:val="BodyText"/>
              <w:spacing w:before="40" w:after="40"/>
              <w:jc w:val="left"/>
            </w:pPr>
            <w:r w:rsidRPr="00723F48">
              <w:t xml:space="preserve">New annual limits on contributions apply. Also, the </w:t>
            </w:r>
            <w:r w:rsidR="00F10BB8">
              <w:t xml:space="preserve">minimum deductible and </w:t>
            </w:r>
            <w:r w:rsidRPr="00723F48">
              <w:t>maximum out-of-pocket expense limit for HDHPs increases for plan years beginning on or after Jan. 1, 202</w:t>
            </w:r>
            <w:r w:rsidR="00F10BB8">
              <w:t>3</w:t>
            </w:r>
            <w:r w:rsidRPr="00723F48">
              <w:t>. The catch-up contribution amounts for HDHPs remain the same.</w:t>
            </w:r>
          </w:p>
        </w:tc>
      </w:tr>
      <w:tr w14:paraId="6C1CD2E1"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13F35862" w14:textId="77777777">
            <w:pPr>
              <w:pStyle w:val="BodyText"/>
              <w:spacing w:before="40" w:after="40"/>
              <w:jc w:val="center"/>
              <w:rPr>
                <w:b/>
                <w:color w:val="FFFFFF" w:themeColor="background1"/>
              </w:rPr>
            </w:pPr>
            <w:r w:rsidRPr="00E25AAC">
              <w:rPr>
                <w:b/>
                <w:color w:val="FFFFFF" w:themeColor="background1"/>
              </w:rPr>
              <w:t>Potential Tax Benefits for Employees</w:t>
            </w:r>
          </w:p>
        </w:tc>
        <w:tc>
          <w:tcPr>
            <w:tcW w:w="9000" w:type="dxa"/>
            <w:shd w:val="clear" w:color="auto" w:fill="D6DCE4" w:themeFill="text2" w:themeFillTint="33"/>
            <w:vAlign w:val="center"/>
          </w:tcPr>
          <w:p w:rsidR="00723F48" w:rsidP="00977FC4" w14:paraId="79926C3C" w14:textId="77777777">
            <w:pPr>
              <w:pStyle w:val="Bullet"/>
              <w:spacing w:before="40" w:after="40"/>
              <w:ind w:left="431"/>
              <w:jc w:val="left"/>
            </w:pPr>
            <w:r>
              <w:t>Employee contributions are either tax-deductible or pre-tax (if made by salary reduction).</w:t>
            </w:r>
          </w:p>
          <w:p w:rsidR="00723F48" w:rsidP="00977FC4" w14:paraId="014F2253" w14:textId="77777777">
            <w:pPr>
              <w:pStyle w:val="Bullet"/>
              <w:spacing w:before="40" w:after="40"/>
              <w:ind w:left="431"/>
              <w:jc w:val="left"/>
            </w:pPr>
            <w:r>
              <w:t xml:space="preserve">Employer contributions are excluded from gross income and are </w:t>
            </w:r>
            <w:r>
              <w:t>generally not</w:t>
            </w:r>
            <w:r>
              <w:t xml:space="preserve"> subject to employment taxes.</w:t>
            </w:r>
          </w:p>
          <w:p w:rsidR="00723F48" w:rsidP="00977FC4" w14:paraId="53E48C9D" w14:textId="77777777">
            <w:pPr>
              <w:pStyle w:val="Bullet"/>
              <w:spacing w:before="40" w:after="40"/>
              <w:ind w:left="431"/>
              <w:jc w:val="left"/>
            </w:pPr>
            <w:r>
              <w:t>Interest or earnings on amounts in an HSA are not includable in gross income while held in the HSA.</w:t>
            </w:r>
          </w:p>
          <w:p w:rsidR="00723F48" w:rsidP="00977FC4" w14:paraId="2B5C3F20" w14:textId="77777777">
            <w:pPr>
              <w:pStyle w:val="Bullet"/>
              <w:spacing w:before="40" w:after="40"/>
              <w:ind w:left="431"/>
              <w:jc w:val="left"/>
            </w:pPr>
            <w:r>
              <w:t>Tax-free distributions to pay for qualified medical expenses.</w:t>
            </w:r>
          </w:p>
          <w:p w:rsidR="00AD3368" w:rsidP="000C041F" w14:paraId="01F3414D" w14:textId="540DAABF">
            <w:pPr>
              <w:pStyle w:val="Bullet"/>
              <w:numPr>
                <w:ilvl w:val="0"/>
                <w:numId w:val="0"/>
              </w:numPr>
              <w:spacing w:before="40" w:after="40"/>
              <w:ind w:left="431"/>
              <w:jc w:val="left"/>
            </w:pPr>
          </w:p>
        </w:tc>
      </w:tr>
      <w:tr w14:paraId="3EC84837" w14:textId="77777777" w:rsidTr="00977FC4">
        <w:tblPrEx>
          <w:tblW w:w="10860" w:type="dxa"/>
          <w:jc w:val="center"/>
          <w:tblLook w:val="04A0"/>
        </w:tblPrEx>
        <w:trPr>
          <w:jc w:val="center"/>
        </w:trPr>
        <w:tc>
          <w:tcPr>
            <w:tcW w:w="10860" w:type="dxa"/>
            <w:gridSpan w:val="2"/>
            <w:shd w:val="clear" w:color="auto" w:fill="808080" w:themeFill="background1" w:themeFillShade="80"/>
            <w:vAlign w:val="center"/>
          </w:tcPr>
          <w:p w:rsidR="00723F48" w:rsidP="00977FC4" w14:paraId="28D2EC84" w14:textId="77777777">
            <w:pPr>
              <w:pStyle w:val="TableHeader"/>
              <w:spacing w:before="40" w:after="40"/>
            </w:pPr>
            <w:r>
              <w:t>Employee Eligibility</w:t>
            </w:r>
          </w:p>
        </w:tc>
      </w:tr>
      <w:tr w14:paraId="4C2EFA47"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24872BAA" w14:textId="77777777">
            <w:pPr>
              <w:pStyle w:val="BodyText"/>
              <w:spacing w:before="40" w:after="40"/>
              <w:jc w:val="center"/>
              <w:rPr>
                <w:b/>
                <w:color w:val="FFFFFF" w:themeColor="background1"/>
              </w:rPr>
            </w:pPr>
            <w:r w:rsidRPr="00E25AAC">
              <w:rPr>
                <w:b/>
                <w:color w:val="FFFFFF" w:themeColor="background1"/>
              </w:rPr>
              <w:t>Who May Participate</w:t>
            </w:r>
          </w:p>
        </w:tc>
        <w:tc>
          <w:tcPr>
            <w:tcW w:w="9000" w:type="dxa"/>
            <w:shd w:val="clear" w:color="auto" w:fill="D6DCE4" w:themeFill="text2" w:themeFillTint="33"/>
            <w:vAlign w:val="center"/>
          </w:tcPr>
          <w:p w:rsidR="00723F48" w:rsidP="00977FC4" w14:paraId="70A2EFBF" w14:textId="77777777">
            <w:pPr>
              <w:pStyle w:val="BodyText"/>
              <w:spacing w:before="40" w:after="40"/>
              <w:jc w:val="left"/>
            </w:pPr>
            <w:r>
              <w:t>An individual is eligible to establish and contribute to an HSA if he or she:</w:t>
            </w:r>
          </w:p>
          <w:p w:rsidR="00723F48" w:rsidP="00977FC4" w14:paraId="35D46E2B" w14:textId="77777777">
            <w:pPr>
              <w:pStyle w:val="Bullet"/>
              <w:spacing w:before="40" w:after="40"/>
              <w:jc w:val="left"/>
            </w:pPr>
            <w:r>
              <w:t>Is covered</w:t>
            </w:r>
            <w:r>
              <w:t xml:space="preserve"> under an HDHP;</w:t>
            </w:r>
          </w:p>
          <w:p w:rsidR="00723F48" w:rsidP="00977FC4" w14:paraId="31934429" w14:textId="77777777">
            <w:pPr>
              <w:pStyle w:val="Bullet"/>
              <w:spacing w:before="40" w:after="40"/>
              <w:jc w:val="left"/>
            </w:pPr>
            <w:r>
              <w:t>Is not covered by any other health plan that is not an HDHP (including coverage in a general-purpose health FSA solely as a result of unused carry-over amounts from the prior year), except for certain limited types of coverage;</w:t>
            </w:r>
          </w:p>
          <w:p w:rsidR="00723F48" w:rsidP="00977FC4" w14:paraId="79AA98E1" w14:textId="77777777">
            <w:pPr>
              <w:pStyle w:val="Bullet"/>
              <w:spacing w:before="40" w:after="40"/>
              <w:jc w:val="left"/>
            </w:pPr>
            <w:r>
              <w:t>Is not enrolled</w:t>
            </w:r>
            <w:r>
              <w:t xml:space="preserve"> in Medicare; and</w:t>
            </w:r>
          </w:p>
          <w:p w:rsidR="00723F48" w:rsidP="00977FC4" w14:paraId="20B7F497" w14:textId="77777777">
            <w:pPr>
              <w:pStyle w:val="Bullet"/>
              <w:spacing w:before="40" w:after="40"/>
              <w:jc w:val="left"/>
            </w:pPr>
            <w:r>
              <w:t>May not be claimed as a dependent on another person's income tax return.</w:t>
            </w:r>
          </w:p>
        </w:tc>
      </w:tr>
      <w:tr w14:paraId="120D1ED7"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41446330" w14:textId="77777777">
            <w:pPr>
              <w:pStyle w:val="BodyText"/>
              <w:spacing w:before="40" w:after="40"/>
              <w:jc w:val="center"/>
              <w:rPr>
                <w:b/>
                <w:color w:val="FFFFFF" w:themeColor="background1"/>
              </w:rPr>
            </w:pPr>
            <w:r w:rsidRPr="00E25AAC">
              <w:rPr>
                <w:b/>
                <w:color w:val="FFFFFF" w:themeColor="background1"/>
              </w:rPr>
              <w:t>HDHP Coverage Required</w:t>
            </w:r>
          </w:p>
        </w:tc>
        <w:tc>
          <w:tcPr>
            <w:tcW w:w="9000" w:type="dxa"/>
            <w:shd w:val="clear" w:color="auto" w:fill="D6DCE4" w:themeFill="text2" w:themeFillTint="33"/>
            <w:vAlign w:val="center"/>
          </w:tcPr>
          <w:p w:rsidR="00977FC4" w:rsidP="00977FC4" w14:paraId="779E09C4" w14:textId="77777777">
            <w:pPr>
              <w:pStyle w:val="BodyText"/>
              <w:spacing w:before="40" w:after="40"/>
              <w:jc w:val="left"/>
            </w:pPr>
            <w:r>
              <w:t xml:space="preserve">HDHP coverage </w:t>
            </w:r>
            <w:r>
              <w:t>is required</w:t>
            </w:r>
            <w:r>
              <w:t>. For 202</w:t>
            </w:r>
            <w:r w:rsidR="00F10BB8">
              <w:t>3</w:t>
            </w:r>
            <w:r w:rsidRPr="00706CF5">
              <w:t xml:space="preserve">, the minimum annual deductible is </w:t>
            </w:r>
            <w:r w:rsidRPr="00681DFF">
              <w:rPr>
                <w:b/>
              </w:rPr>
              <w:t>$1,</w:t>
            </w:r>
            <w:r w:rsidR="00F10BB8">
              <w:rPr>
                <w:b/>
              </w:rPr>
              <w:t>5</w:t>
            </w:r>
            <w:r>
              <w:rPr>
                <w:b/>
              </w:rPr>
              <w:t>0</w:t>
            </w:r>
            <w:r w:rsidRPr="00681DFF">
              <w:rPr>
                <w:b/>
              </w:rPr>
              <w:t>0</w:t>
            </w:r>
            <w:r w:rsidRPr="00706CF5">
              <w:t xml:space="preserve"> for</w:t>
            </w:r>
            <w:r>
              <w:t xml:space="preserve"> </w:t>
            </w:r>
            <w:r w:rsidRPr="00706CF5">
              <w:t xml:space="preserve">self-only coverage or </w:t>
            </w:r>
            <w:r w:rsidRPr="00681DFF">
              <w:rPr>
                <w:b/>
              </w:rPr>
              <w:t>$</w:t>
            </w:r>
            <w:r w:rsidR="00F10BB8">
              <w:rPr>
                <w:b/>
              </w:rPr>
              <w:t>3</w:t>
            </w:r>
            <w:r w:rsidRPr="00681DFF">
              <w:rPr>
                <w:b/>
              </w:rPr>
              <w:t>,</w:t>
            </w:r>
            <w:r w:rsidR="00F10BB8">
              <w:rPr>
                <w:b/>
              </w:rPr>
              <w:t>0</w:t>
            </w:r>
            <w:r w:rsidRPr="00681DFF">
              <w:rPr>
                <w:b/>
              </w:rPr>
              <w:t>00</w:t>
            </w:r>
            <w:r w:rsidRPr="00706CF5">
              <w:t xml:space="preserve"> for family coverage. The maximum deductible and other out-of-pocket expenses</w:t>
            </w:r>
            <w:r>
              <w:t xml:space="preserve"> </w:t>
            </w:r>
            <w:r w:rsidRPr="00706CF5">
              <w:t>(excluding premiums)</w:t>
            </w:r>
            <w:r>
              <w:t xml:space="preserve"> </w:t>
            </w:r>
            <w:r w:rsidRPr="00706CF5">
              <w:t xml:space="preserve">is </w:t>
            </w:r>
            <w:r>
              <w:rPr>
                <w:b/>
              </w:rPr>
              <w:t>$7,</w:t>
            </w:r>
            <w:r w:rsidR="00331E34">
              <w:rPr>
                <w:b/>
              </w:rPr>
              <w:t>5</w:t>
            </w:r>
            <w:r w:rsidR="00F10BB8">
              <w:rPr>
                <w:b/>
              </w:rPr>
              <w:t>0</w:t>
            </w:r>
            <w:r w:rsidRPr="00681DFF">
              <w:rPr>
                <w:b/>
              </w:rPr>
              <w:t>0</w:t>
            </w:r>
            <w:r w:rsidRPr="00706CF5">
              <w:t xml:space="preserve"> for</w:t>
            </w:r>
            <w:r>
              <w:t xml:space="preserve"> </w:t>
            </w:r>
            <w:r w:rsidRPr="00706CF5">
              <w:t xml:space="preserve">self-only coverage or </w:t>
            </w:r>
            <w:r>
              <w:rPr>
                <w:b/>
              </w:rPr>
              <w:t>$1</w:t>
            </w:r>
            <w:r w:rsidR="00F10BB8">
              <w:rPr>
                <w:b/>
              </w:rPr>
              <w:t>5</w:t>
            </w:r>
            <w:r>
              <w:rPr>
                <w:b/>
              </w:rPr>
              <w:t>,</w:t>
            </w:r>
            <w:r w:rsidR="00F10BB8">
              <w:rPr>
                <w:b/>
              </w:rPr>
              <w:t>0</w:t>
            </w:r>
            <w:r w:rsidRPr="00681DFF">
              <w:rPr>
                <w:b/>
              </w:rPr>
              <w:t>00</w:t>
            </w:r>
            <w:r>
              <w:t xml:space="preserve"> for family coverage.</w:t>
            </w:r>
          </w:p>
          <w:p w:rsidR="00723F48" w:rsidP="00977FC4" w14:paraId="04E9A289" w14:textId="77777777">
            <w:pPr>
              <w:pStyle w:val="BodyText"/>
              <w:spacing w:before="40" w:after="40"/>
              <w:jc w:val="left"/>
            </w:pPr>
            <w:r>
              <w:t>N</w:t>
            </w:r>
            <w:r w:rsidRPr="00F6285E">
              <w:t>on-</w:t>
            </w:r>
            <w:r w:rsidRPr="00706CF5">
              <w:t>grandfathered HDHPs must also apply the self-only cost-sharing limit for coverage of essential health benefits provided in</w:t>
            </w:r>
            <w:r>
              <w:t xml:space="preserve"> </w:t>
            </w:r>
            <w:r w:rsidRPr="00706CF5">
              <w:t xml:space="preserve">network </w:t>
            </w:r>
            <w:r w:rsidRPr="00681DFF">
              <w:t>(</w:t>
            </w:r>
            <w:r>
              <w:rPr>
                <w:b/>
              </w:rPr>
              <w:t>$</w:t>
            </w:r>
            <w:r w:rsidR="00F10BB8">
              <w:rPr>
                <w:b/>
              </w:rPr>
              <w:t>9</w:t>
            </w:r>
            <w:r>
              <w:rPr>
                <w:b/>
              </w:rPr>
              <w:t>,</w:t>
            </w:r>
            <w:r w:rsidR="00F10BB8">
              <w:rPr>
                <w:b/>
              </w:rPr>
              <w:t>1</w:t>
            </w:r>
            <w:r w:rsidR="00331E34">
              <w:rPr>
                <w:b/>
              </w:rPr>
              <w:t>0</w:t>
            </w:r>
            <w:r>
              <w:rPr>
                <w:b/>
              </w:rPr>
              <w:t>0 in 202</w:t>
            </w:r>
            <w:r w:rsidR="00F10BB8">
              <w:rPr>
                <w:b/>
              </w:rPr>
              <w:t>3</w:t>
            </w:r>
            <w:r w:rsidRPr="00706CF5">
              <w:t>)</w:t>
            </w:r>
            <w:r>
              <w:t xml:space="preserve"> </w:t>
            </w:r>
            <w:r w:rsidRPr="00706CF5">
              <w:t xml:space="preserve">to </w:t>
            </w:r>
            <w:r w:rsidRPr="00B24BF5">
              <w:t>each individual</w:t>
            </w:r>
            <w:r w:rsidRPr="00706CF5">
              <w:t xml:space="preserve"> covered under the plan, even if this amount is below the family deductible lim</w:t>
            </w:r>
            <w:r>
              <w:t>it.</w:t>
            </w:r>
          </w:p>
        </w:tc>
      </w:tr>
      <w:tr w14:paraId="62FFB057" w14:textId="77777777" w:rsidTr="00977FC4">
        <w:tblPrEx>
          <w:tblW w:w="10860" w:type="dxa"/>
          <w:jc w:val="center"/>
          <w:tblLook w:val="04A0"/>
        </w:tblPrEx>
        <w:trPr>
          <w:jc w:val="center"/>
        </w:trPr>
        <w:tc>
          <w:tcPr>
            <w:tcW w:w="10860" w:type="dxa"/>
            <w:gridSpan w:val="2"/>
            <w:shd w:val="clear" w:color="auto" w:fill="808080" w:themeFill="background1" w:themeFillShade="80"/>
          </w:tcPr>
          <w:p w:rsidR="00977FC4" w:rsidP="00977FC4" w14:paraId="1C64D302" w14:textId="77777777">
            <w:pPr>
              <w:pStyle w:val="TableHeader"/>
              <w:spacing w:before="40" w:after="40"/>
            </w:pPr>
            <w:r>
              <w:t>Contributions</w:t>
            </w:r>
          </w:p>
        </w:tc>
      </w:tr>
      <w:tr w14:paraId="5206585A"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061CF7CA" w14:textId="77777777">
            <w:pPr>
              <w:pStyle w:val="BodyText"/>
              <w:spacing w:before="40" w:after="40"/>
              <w:jc w:val="center"/>
              <w:rPr>
                <w:b/>
                <w:color w:val="FFFFFF" w:themeColor="background1"/>
              </w:rPr>
            </w:pPr>
            <w:r w:rsidRPr="00E25AAC">
              <w:rPr>
                <w:b/>
                <w:color w:val="FFFFFF" w:themeColor="background1"/>
              </w:rPr>
              <w:t>Who May Contribute</w:t>
            </w:r>
          </w:p>
        </w:tc>
        <w:tc>
          <w:tcPr>
            <w:tcW w:w="9000" w:type="dxa"/>
            <w:shd w:val="clear" w:color="auto" w:fill="D6DCE4" w:themeFill="text2" w:themeFillTint="33"/>
            <w:vAlign w:val="center"/>
          </w:tcPr>
          <w:p w:rsidR="00723F48" w:rsidP="00977FC4" w14:paraId="205AAF5D" w14:textId="77777777">
            <w:pPr>
              <w:pStyle w:val="BodyText"/>
              <w:spacing w:before="40" w:after="40"/>
              <w:jc w:val="left"/>
            </w:pPr>
            <w:r w:rsidRPr="00977FC4">
              <w:t>The employee, the employer, or both may contribute (family members or any other person may also contribute).</w:t>
            </w:r>
          </w:p>
        </w:tc>
      </w:tr>
      <w:tr w14:paraId="048C2F2C" w14:textId="77777777" w:rsidTr="00331E34">
        <w:tblPrEx>
          <w:tblW w:w="10860" w:type="dxa"/>
          <w:jc w:val="center"/>
          <w:tblLook w:val="04A0"/>
        </w:tblPrEx>
        <w:trPr>
          <w:jc w:val="center"/>
        </w:trPr>
        <w:tc>
          <w:tcPr>
            <w:tcW w:w="1860" w:type="dxa"/>
            <w:shd w:val="clear" w:color="auto" w:fill="5083C9"/>
            <w:vAlign w:val="center"/>
          </w:tcPr>
          <w:p w:rsidR="00723F48" w:rsidRPr="00E25AAC" w:rsidP="00977FC4" w14:paraId="58785F2B" w14:textId="77777777">
            <w:pPr>
              <w:pStyle w:val="BodyText"/>
              <w:spacing w:before="40" w:after="40"/>
              <w:jc w:val="center"/>
              <w:rPr>
                <w:b/>
                <w:color w:val="FFFFFF" w:themeColor="background1"/>
              </w:rPr>
            </w:pPr>
            <w:r w:rsidRPr="00E25AAC">
              <w:rPr>
                <w:b/>
                <w:color w:val="FFFFFF" w:themeColor="background1"/>
              </w:rPr>
              <w:t>Pre-tax Employee Contribution Allowed</w:t>
            </w:r>
          </w:p>
        </w:tc>
        <w:tc>
          <w:tcPr>
            <w:tcW w:w="9000" w:type="dxa"/>
            <w:shd w:val="clear" w:color="auto" w:fill="D6DCE4" w:themeFill="text2" w:themeFillTint="33"/>
            <w:vAlign w:val="center"/>
          </w:tcPr>
          <w:p w:rsidR="00723F48" w:rsidP="00977FC4" w14:paraId="1CE7D2BC" w14:textId="77777777">
            <w:pPr>
              <w:pStyle w:val="BodyText"/>
              <w:spacing w:before="40" w:after="40"/>
              <w:jc w:val="left"/>
            </w:pPr>
            <w:r w:rsidRPr="00977FC4">
              <w:t>Yes, contributions can be made through employee salary reductions under a cafeteria plan.</w:t>
            </w:r>
          </w:p>
        </w:tc>
      </w:tr>
      <w:tr w14:paraId="11354B12" w14:textId="77777777" w:rsidTr="00331E34">
        <w:tblPrEx>
          <w:tblW w:w="10860" w:type="dxa"/>
          <w:jc w:val="center"/>
          <w:tblLook w:val="04A0"/>
        </w:tblPrEx>
        <w:trPr>
          <w:jc w:val="center"/>
        </w:trPr>
        <w:tc>
          <w:tcPr>
            <w:tcW w:w="1860" w:type="dxa"/>
            <w:shd w:val="clear" w:color="auto" w:fill="5083C9"/>
            <w:vAlign w:val="center"/>
          </w:tcPr>
          <w:p w:rsidR="00860EC3" w:rsidRPr="00E25AAC" w:rsidP="00977FC4" w14:paraId="10FA594B" w14:textId="77777777">
            <w:pPr>
              <w:pStyle w:val="BodyText"/>
              <w:spacing w:before="40" w:after="40"/>
              <w:jc w:val="center"/>
              <w:rPr>
                <w:b/>
                <w:color w:val="FFFFFF" w:themeColor="background1"/>
              </w:rPr>
            </w:pPr>
            <w:r w:rsidRPr="00E25AAC">
              <w:rPr>
                <w:b/>
                <w:color w:val="FFFFFF" w:themeColor="background1"/>
              </w:rPr>
              <w:t>Limit on Contributions</w:t>
            </w:r>
          </w:p>
        </w:tc>
        <w:tc>
          <w:tcPr>
            <w:tcW w:w="9000" w:type="dxa"/>
            <w:shd w:val="clear" w:color="auto" w:fill="D6DCE4" w:themeFill="text2" w:themeFillTint="33"/>
            <w:vAlign w:val="center"/>
          </w:tcPr>
          <w:p w:rsidR="00860EC3" w:rsidP="00977FC4" w14:paraId="6F404F76" w14:textId="77777777">
            <w:pPr>
              <w:pStyle w:val="BodyText"/>
              <w:spacing w:before="40" w:after="40"/>
              <w:jc w:val="left"/>
            </w:pPr>
            <w:r w:rsidRPr="00977FC4">
              <w:t>Yes, there are limits on how much can be contributed to an HSA each year. For 202</w:t>
            </w:r>
            <w:r w:rsidR="00F10BB8">
              <w:t>3</w:t>
            </w:r>
            <w:r w:rsidRPr="00977FC4">
              <w:t xml:space="preserve">, the maximum contribution is </w:t>
            </w:r>
            <w:r w:rsidRPr="00977FC4">
              <w:rPr>
                <w:b/>
              </w:rPr>
              <w:t>$3</w:t>
            </w:r>
            <w:r w:rsidR="00F10BB8">
              <w:rPr>
                <w:b/>
              </w:rPr>
              <w:t>,8</w:t>
            </w:r>
            <w:r w:rsidR="00331E34">
              <w:rPr>
                <w:b/>
              </w:rPr>
              <w:t>5</w:t>
            </w:r>
            <w:r w:rsidRPr="00977FC4">
              <w:rPr>
                <w:b/>
              </w:rPr>
              <w:t>0</w:t>
            </w:r>
            <w:r w:rsidRPr="00977FC4">
              <w:t xml:space="preserve"> for self-only coverage or </w:t>
            </w:r>
            <w:r w:rsidRPr="00977FC4">
              <w:rPr>
                <w:b/>
              </w:rPr>
              <w:t>$7,</w:t>
            </w:r>
            <w:r w:rsidR="00F10BB8">
              <w:rPr>
                <w:b/>
              </w:rPr>
              <w:t>75</w:t>
            </w:r>
            <w:r w:rsidRPr="00977FC4">
              <w:rPr>
                <w:b/>
              </w:rPr>
              <w:t>0</w:t>
            </w:r>
            <w:r w:rsidRPr="00977FC4">
              <w:t xml:space="preserve"> for family coverage. The limit is increased by $1,000 for eligible individuals age 55 or older at the end of the tax year.</w:t>
            </w:r>
          </w:p>
        </w:tc>
      </w:tr>
      <w:tr w14:paraId="192807B5" w14:textId="77777777" w:rsidTr="00331E34">
        <w:tblPrEx>
          <w:tblW w:w="10860" w:type="dxa"/>
          <w:jc w:val="center"/>
          <w:tblLook w:val="04A0"/>
        </w:tblPrEx>
        <w:trPr>
          <w:jc w:val="center"/>
        </w:trPr>
        <w:tc>
          <w:tcPr>
            <w:tcW w:w="1860" w:type="dxa"/>
            <w:shd w:val="clear" w:color="auto" w:fill="5083C9"/>
            <w:vAlign w:val="center"/>
          </w:tcPr>
          <w:p w:rsidR="00860EC3" w:rsidRPr="00E25AAC" w:rsidP="00977FC4" w14:paraId="448DA5EA" w14:textId="77777777">
            <w:pPr>
              <w:pStyle w:val="BodyText"/>
              <w:spacing w:before="40" w:after="40"/>
              <w:jc w:val="center"/>
              <w:rPr>
                <w:b/>
                <w:color w:val="FFFFFF" w:themeColor="background1"/>
              </w:rPr>
            </w:pPr>
            <w:r w:rsidRPr="00E25AAC">
              <w:rPr>
                <w:b/>
                <w:color w:val="FFFFFF" w:themeColor="background1"/>
              </w:rPr>
              <w:t>Employer Participation</w:t>
            </w:r>
          </w:p>
        </w:tc>
        <w:tc>
          <w:tcPr>
            <w:tcW w:w="9000" w:type="dxa"/>
            <w:shd w:val="clear" w:color="auto" w:fill="D6DCE4" w:themeFill="text2" w:themeFillTint="33"/>
            <w:vAlign w:val="center"/>
          </w:tcPr>
          <w:p w:rsidR="00860EC3" w:rsidP="00977FC4" w14:paraId="0922DA94" w14:textId="77777777">
            <w:pPr>
              <w:pStyle w:val="BodyText"/>
              <w:spacing w:before="40" w:after="40"/>
              <w:jc w:val="left"/>
            </w:pPr>
            <w:r w:rsidRPr="00977FC4">
              <w:t xml:space="preserve">Employer contributions made through a cafeteria plan are subject to the </w:t>
            </w:r>
            <w:hyperlink r:id="rId16" w:history="1">
              <w:r w:rsidRPr="00977FC4">
                <w:rPr>
                  <w:rStyle w:val="Hyperlink"/>
                </w:rPr>
                <w:t>Section 125</w:t>
              </w:r>
            </w:hyperlink>
            <w:r w:rsidRPr="00977FC4">
              <w:t xml:space="preserve"> nondiscrimination requirements. All other employer contributions are subject to the "comparability rules," meaning that the employer must make comparable contributions to all comparable participating employees' HSAs.</w:t>
            </w:r>
          </w:p>
        </w:tc>
      </w:tr>
      <w:tr w14:paraId="6766BB64" w14:textId="77777777" w:rsidTr="00977FC4">
        <w:tblPrEx>
          <w:tblW w:w="10860" w:type="dxa"/>
          <w:jc w:val="center"/>
          <w:tblLook w:val="04A0"/>
        </w:tblPrEx>
        <w:trPr>
          <w:jc w:val="center"/>
        </w:trPr>
        <w:tc>
          <w:tcPr>
            <w:tcW w:w="10860" w:type="dxa"/>
            <w:gridSpan w:val="2"/>
            <w:shd w:val="clear" w:color="auto" w:fill="808080" w:themeFill="background1" w:themeFillShade="80"/>
            <w:vAlign w:val="center"/>
          </w:tcPr>
          <w:p w:rsidR="00977FC4" w:rsidP="00977FC4" w14:paraId="2FBC571D" w14:textId="77777777">
            <w:pPr>
              <w:pStyle w:val="TableHeader"/>
              <w:spacing w:before="40" w:after="40"/>
            </w:pPr>
            <w:r>
              <w:t>Distributions</w:t>
            </w:r>
          </w:p>
        </w:tc>
      </w:tr>
      <w:tr w14:paraId="1C02473A" w14:textId="77777777" w:rsidTr="00331E34">
        <w:tblPrEx>
          <w:tblW w:w="10860" w:type="dxa"/>
          <w:jc w:val="center"/>
          <w:tblLook w:val="04A0"/>
        </w:tblPrEx>
        <w:trPr>
          <w:jc w:val="center"/>
        </w:trPr>
        <w:tc>
          <w:tcPr>
            <w:tcW w:w="1860" w:type="dxa"/>
            <w:shd w:val="clear" w:color="auto" w:fill="5083C9"/>
            <w:vAlign w:val="center"/>
          </w:tcPr>
          <w:p w:rsidR="00860EC3" w:rsidRPr="00E25AAC" w:rsidP="00977FC4" w14:paraId="6B2FCC95" w14:textId="77777777">
            <w:pPr>
              <w:pStyle w:val="BodyText"/>
              <w:spacing w:before="40" w:after="40"/>
              <w:jc w:val="center"/>
              <w:rPr>
                <w:b/>
                <w:color w:val="FFFFFF" w:themeColor="background1"/>
              </w:rPr>
            </w:pPr>
            <w:r w:rsidRPr="00E25AAC">
              <w:rPr>
                <w:b/>
                <w:color w:val="FFFFFF" w:themeColor="background1"/>
              </w:rPr>
              <w:t>Distributions Allowed</w:t>
            </w:r>
          </w:p>
        </w:tc>
        <w:tc>
          <w:tcPr>
            <w:tcW w:w="9000" w:type="dxa"/>
            <w:shd w:val="clear" w:color="auto" w:fill="D6DCE4" w:themeFill="text2" w:themeFillTint="33"/>
            <w:vAlign w:val="center"/>
          </w:tcPr>
          <w:p w:rsidR="00977FC4" w:rsidP="00977FC4" w14:paraId="23C8677E" w14:textId="77777777">
            <w:pPr>
              <w:pStyle w:val="BodyText"/>
              <w:spacing w:before="40" w:after="40"/>
            </w:pPr>
            <w:r>
              <w:t>Distributions used exclusively to pay for qualified medical expenses of the employee and his or her spouse and dependents are tax-free.</w:t>
            </w:r>
          </w:p>
          <w:p w:rsidR="00860EC3" w:rsidP="00977FC4" w14:paraId="5A370DE3" w14:textId="77777777">
            <w:pPr>
              <w:pStyle w:val="BodyText"/>
              <w:spacing w:before="40" w:after="40"/>
              <w:jc w:val="left"/>
            </w:pPr>
            <w:r>
              <w:t xml:space="preserve">Any distribution amount not used exclusively to pay for qualified medical expenses </w:t>
            </w:r>
            <w:r>
              <w:t>is included</w:t>
            </w:r>
            <w:r>
              <w:t xml:space="preserve"> in the employee's gross income and may be subject to an additional 20% tax.</w:t>
            </w:r>
          </w:p>
          <w:p w:rsidR="00977FC4" w:rsidP="00977FC4" w14:paraId="0D1C9163" w14:textId="77777777">
            <w:pPr>
              <w:pStyle w:val="BodyText"/>
              <w:spacing w:before="40" w:after="40"/>
              <w:jc w:val="left"/>
            </w:pPr>
            <w:r w:rsidRPr="00977FC4">
              <w:rPr>
                <w:b/>
                <w:i/>
              </w:rPr>
              <w:t>Note:</w:t>
            </w:r>
            <w:r w:rsidRPr="00977FC4">
              <w:t xml:space="preserve"> Employees who cover dependents to age 26 under an HDHP may </w:t>
            </w:r>
            <w:r w:rsidRPr="000C041F">
              <w:rPr>
                <w:bCs/>
              </w:rPr>
              <w:t xml:space="preserve">not use HSA funds for reimbursement on a tax-free basis for an adult child's medical </w:t>
            </w:r>
            <w:r w:rsidRPr="000C041F">
              <w:rPr>
                <w:bCs/>
              </w:rPr>
              <w:t>expenses, unless</w:t>
            </w:r>
            <w:r w:rsidRPr="000C041F">
              <w:rPr>
                <w:bCs/>
              </w:rPr>
              <w:t xml:space="preserve"> the adult child</w:t>
            </w:r>
            <w:r w:rsidRPr="00977FC4">
              <w:t xml:space="preserve"> qualifies as a tax dependent of the employee.</w:t>
            </w:r>
          </w:p>
        </w:tc>
      </w:tr>
      <w:tr w14:paraId="4D66AA9B" w14:textId="77777777" w:rsidTr="00331E34">
        <w:tblPrEx>
          <w:tblW w:w="10860" w:type="dxa"/>
          <w:jc w:val="center"/>
          <w:tblLook w:val="04A0"/>
        </w:tblPrEx>
        <w:trPr>
          <w:jc w:val="center"/>
        </w:trPr>
        <w:tc>
          <w:tcPr>
            <w:tcW w:w="1860" w:type="dxa"/>
            <w:shd w:val="clear" w:color="auto" w:fill="5083C9"/>
            <w:vAlign w:val="center"/>
          </w:tcPr>
          <w:p w:rsidR="00977FC4" w:rsidRPr="00E25AAC" w:rsidP="00977FC4" w14:paraId="1E7341C2" w14:textId="77777777">
            <w:pPr>
              <w:pStyle w:val="BodyText"/>
              <w:spacing w:before="40" w:after="40"/>
              <w:jc w:val="center"/>
              <w:rPr>
                <w:b/>
                <w:color w:val="FFFFFF" w:themeColor="background1"/>
              </w:rPr>
            </w:pPr>
            <w:r w:rsidRPr="00E25AAC">
              <w:rPr>
                <w:b/>
                <w:color w:val="FFFFFF" w:themeColor="background1"/>
              </w:rPr>
              <w:t>Timing of Distributions</w:t>
            </w:r>
          </w:p>
        </w:tc>
        <w:tc>
          <w:tcPr>
            <w:tcW w:w="9000" w:type="dxa"/>
            <w:shd w:val="clear" w:color="auto" w:fill="D6DCE4" w:themeFill="text2" w:themeFillTint="33"/>
            <w:vAlign w:val="center"/>
          </w:tcPr>
          <w:p w:rsidR="00977FC4" w:rsidP="00977FC4" w14:paraId="46AE601B" w14:textId="77777777">
            <w:pPr>
              <w:pStyle w:val="BodyText"/>
              <w:spacing w:before="40" w:after="40"/>
            </w:pPr>
            <w:r>
              <w:t>An employee may receive distributions from an HSA at any time for qualified medical expenses not reimbursed by the HDHP; however, expenses incurred before an HSA is established are not considered qualified medical expenses.</w:t>
            </w:r>
          </w:p>
          <w:p w:rsidR="00977FC4" w:rsidP="00977FC4" w14:paraId="2AA9C13A" w14:textId="77777777">
            <w:pPr>
              <w:pStyle w:val="BodyText"/>
              <w:spacing w:before="40" w:after="40"/>
              <w:jc w:val="left"/>
            </w:pPr>
            <w:r>
              <w:t>Employees do not need to meet the HSA eligibility criteria in order to receive a tax-free distribution from their HSAs. Also, an employee’s spouse and dependents do not have to be HSA-eligible in order to have their qualifying medical expenses reimbursed on a tax-free basis.</w:t>
            </w:r>
          </w:p>
        </w:tc>
      </w:tr>
      <w:tr w14:paraId="3B82031F" w14:textId="77777777" w:rsidTr="00331E34">
        <w:tblPrEx>
          <w:tblW w:w="10860" w:type="dxa"/>
          <w:jc w:val="center"/>
          <w:tblLook w:val="04A0"/>
        </w:tblPrEx>
        <w:trPr>
          <w:jc w:val="center"/>
        </w:trPr>
        <w:tc>
          <w:tcPr>
            <w:tcW w:w="1860" w:type="dxa"/>
            <w:shd w:val="clear" w:color="auto" w:fill="5083C9"/>
            <w:vAlign w:val="center"/>
          </w:tcPr>
          <w:p w:rsidR="00977FC4" w:rsidP="00977FC4" w14:paraId="76ABE2A8" w14:textId="77777777">
            <w:pPr>
              <w:pStyle w:val="BodyText"/>
              <w:spacing w:before="40" w:after="40"/>
              <w:jc w:val="center"/>
              <w:rPr>
                <w:b/>
                <w:color w:val="FFFFFF" w:themeColor="background1"/>
                <w:sz w:val="24"/>
              </w:rPr>
            </w:pPr>
            <w:r w:rsidRPr="00E25AAC">
              <w:rPr>
                <w:b/>
                <w:color w:val="FFFFFF" w:themeColor="background1"/>
              </w:rPr>
              <w:t>Qualified Medical Expenses</w:t>
            </w:r>
          </w:p>
        </w:tc>
        <w:tc>
          <w:tcPr>
            <w:tcW w:w="9000" w:type="dxa"/>
            <w:shd w:val="clear" w:color="auto" w:fill="D6DCE4" w:themeFill="text2" w:themeFillTint="33"/>
            <w:vAlign w:val="center"/>
          </w:tcPr>
          <w:p w:rsidR="00977FC4" w:rsidP="00977FC4" w14:paraId="3B234BE1" w14:textId="77777777">
            <w:pPr>
              <w:pStyle w:val="BodyText"/>
              <w:spacing w:before="40" w:after="40"/>
            </w:pPr>
            <w:r>
              <w:t xml:space="preserve">Generally, qualified medical expenses are those expenses paid for "medical care" as defined in Internal Revenue Code </w:t>
            </w:r>
            <w:hyperlink r:id="rId17" w:anchor="d" w:history="1">
              <w:r w:rsidRPr="00977FC4">
                <w:rPr>
                  <w:rStyle w:val="Hyperlink"/>
                </w:rPr>
                <w:t>Section 213(d)</w:t>
              </w:r>
            </w:hyperlink>
            <w:r>
              <w:t>. Health insurance premiums are generally not considered qualified medical expenses for HSA purposes, unless the premiums are for:</w:t>
            </w:r>
          </w:p>
          <w:p w:rsidR="00977FC4" w:rsidP="00977FC4" w14:paraId="5422D286" w14:textId="77777777">
            <w:pPr>
              <w:pStyle w:val="Bullet"/>
              <w:spacing w:before="40" w:after="40"/>
              <w:ind w:left="406"/>
            </w:pPr>
            <w:r>
              <w:t>Qualified long-term care insurance (premiums are subject to limits based on age and are adjusted annually);</w:t>
            </w:r>
          </w:p>
          <w:p w:rsidR="00977FC4" w:rsidP="00977FC4" w14:paraId="56F34C13" w14:textId="77777777">
            <w:pPr>
              <w:pStyle w:val="Bullet"/>
              <w:spacing w:before="40" w:after="40"/>
              <w:ind w:left="406"/>
            </w:pPr>
            <w:r>
              <w:t>Health care continuation coverage required by federal law (for example, COBRA);</w:t>
            </w:r>
          </w:p>
          <w:p w:rsidR="00977FC4" w:rsidP="00977FC4" w14:paraId="4EBA563C" w14:textId="77777777">
            <w:pPr>
              <w:pStyle w:val="Bullet"/>
              <w:spacing w:before="40" w:after="40"/>
              <w:ind w:left="406"/>
            </w:pPr>
            <w:r>
              <w:t>Health care coverage while an individual is receiving unemployment; or</w:t>
            </w:r>
          </w:p>
          <w:p w:rsidR="00977FC4" w:rsidP="00977FC4" w14:paraId="5D8B13C3" w14:textId="77777777">
            <w:pPr>
              <w:pStyle w:val="Bullet"/>
              <w:spacing w:before="40" w:after="40"/>
              <w:ind w:left="406"/>
            </w:pPr>
            <w:r>
              <w:t>Medicare and other health care coverage if the employee is 65 or older (other than premiums for a Medicare supplemental policy, such as Medigap).</w:t>
            </w:r>
          </w:p>
        </w:tc>
      </w:tr>
      <w:tr w14:paraId="79B12AB6" w14:textId="77777777" w:rsidTr="00977FC4">
        <w:tblPrEx>
          <w:tblW w:w="10860" w:type="dxa"/>
          <w:jc w:val="center"/>
          <w:tblLook w:val="04A0"/>
        </w:tblPrEx>
        <w:trPr>
          <w:jc w:val="center"/>
        </w:trPr>
        <w:tc>
          <w:tcPr>
            <w:tcW w:w="10860" w:type="dxa"/>
            <w:gridSpan w:val="2"/>
            <w:shd w:val="clear" w:color="auto" w:fill="808080" w:themeFill="background1" w:themeFillShade="80"/>
            <w:vAlign w:val="center"/>
          </w:tcPr>
          <w:p w:rsidR="00977FC4" w:rsidP="00977FC4" w14:paraId="05BE8997" w14:textId="77777777">
            <w:pPr>
              <w:pStyle w:val="TableHeader"/>
              <w:spacing w:before="40" w:after="40"/>
            </w:pPr>
            <w:r>
              <w:t>Other Issues</w:t>
            </w:r>
          </w:p>
        </w:tc>
      </w:tr>
      <w:tr w14:paraId="6CAA910B" w14:textId="77777777" w:rsidTr="00331E34">
        <w:tblPrEx>
          <w:tblW w:w="10860" w:type="dxa"/>
          <w:jc w:val="center"/>
          <w:tblLook w:val="04A0"/>
        </w:tblPrEx>
        <w:trPr>
          <w:jc w:val="center"/>
        </w:trPr>
        <w:tc>
          <w:tcPr>
            <w:tcW w:w="1860" w:type="dxa"/>
            <w:shd w:val="clear" w:color="auto" w:fill="5083C9"/>
            <w:vAlign w:val="center"/>
          </w:tcPr>
          <w:p w:rsidR="00977FC4" w:rsidRPr="00E25AAC" w:rsidP="00977FC4" w14:paraId="1CC0858D" w14:textId="77777777">
            <w:pPr>
              <w:pStyle w:val="BodyText"/>
              <w:spacing w:before="40" w:after="40"/>
              <w:jc w:val="center"/>
              <w:rPr>
                <w:b/>
                <w:color w:val="FFFFFF" w:themeColor="background1"/>
              </w:rPr>
            </w:pPr>
            <w:r w:rsidRPr="00E25AAC">
              <w:rPr>
                <w:b/>
                <w:color w:val="FFFFFF" w:themeColor="background1"/>
              </w:rPr>
              <w:t>Balance and Carryover</w:t>
            </w:r>
          </w:p>
        </w:tc>
        <w:tc>
          <w:tcPr>
            <w:tcW w:w="9000" w:type="dxa"/>
            <w:shd w:val="clear" w:color="auto" w:fill="D6DCE4" w:themeFill="text2" w:themeFillTint="33"/>
            <w:vAlign w:val="center"/>
          </w:tcPr>
          <w:p w:rsidR="00977FC4" w:rsidP="00977FC4" w14:paraId="20D02866" w14:textId="77777777">
            <w:pPr>
              <w:pStyle w:val="BodyText"/>
              <w:spacing w:before="40" w:after="40"/>
              <w:jc w:val="left"/>
            </w:pPr>
            <w:r w:rsidRPr="00977FC4">
              <w:t xml:space="preserve">Amounts remaining in an HSA at the end of the year are </w:t>
            </w:r>
            <w:r w:rsidRPr="00977FC4">
              <w:t>generally carried</w:t>
            </w:r>
            <w:r w:rsidRPr="00977FC4">
              <w:t xml:space="preserve"> over to the next year.</w:t>
            </w:r>
          </w:p>
        </w:tc>
      </w:tr>
      <w:tr w14:paraId="6FEF43FD" w14:textId="77777777" w:rsidTr="00331E34">
        <w:tblPrEx>
          <w:tblW w:w="10860" w:type="dxa"/>
          <w:jc w:val="center"/>
          <w:tblLook w:val="04A0"/>
        </w:tblPrEx>
        <w:trPr>
          <w:jc w:val="center"/>
        </w:trPr>
        <w:tc>
          <w:tcPr>
            <w:tcW w:w="1860" w:type="dxa"/>
            <w:shd w:val="clear" w:color="auto" w:fill="5083C9"/>
            <w:vAlign w:val="center"/>
          </w:tcPr>
          <w:p w:rsidR="00977FC4" w:rsidRPr="00E25AAC" w:rsidP="00977FC4" w14:paraId="668B317B" w14:textId="77777777">
            <w:pPr>
              <w:pStyle w:val="BodyText"/>
              <w:spacing w:before="40" w:after="40"/>
              <w:jc w:val="center"/>
              <w:rPr>
                <w:b/>
                <w:color w:val="FFFFFF" w:themeColor="background1"/>
              </w:rPr>
            </w:pPr>
            <w:r w:rsidRPr="00E25AAC">
              <w:rPr>
                <w:b/>
                <w:color w:val="FFFFFF" w:themeColor="background1"/>
              </w:rPr>
              <w:t>Account Subject to COBRA</w:t>
            </w:r>
          </w:p>
        </w:tc>
        <w:tc>
          <w:tcPr>
            <w:tcW w:w="9000" w:type="dxa"/>
            <w:shd w:val="clear" w:color="auto" w:fill="D6DCE4" w:themeFill="text2" w:themeFillTint="33"/>
            <w:vAlign w:val="center"/>
          </w:tcPr>
          <w:p w:rsidR="00977FC4" w:rsidP="00977FC4" w14:paraId="04F6177A" w14:textId="77777777">
            <w:pPr>
              <w:pStyle w:val="BodyText"/>
              <w:spacing w:before="40" w:after="40"/>
              <w:jc w:val="left"/>
            </w:pPr>
            <w:r>
              <w:t>No.</w:t>
            </w:r>
          </w:p>
        </w:tc>
      </w:tr>
      <w:tr w14:paraId="5FFD8A8F" w14:textId="77777777" w:rsidTr="00331E34">
        <w:tblPrEx>
          <w:tblW w:w="10860" w:type="dxa"/>
          <w:jc w:val="center"/>
          <w:tblLook w:val="04A0"/>
        </w:tblPrEx>
        <w:trPr>
          <w:jc w:val="center"/>
        </w:trPr>
        <w:tc>
          <w:tcPr>
            <w:tcW w:w="1860" w:type="dxa"/>
            <w:shd w:val="clear" w:color="auto" w:fill="5083C9"/>
            <w:vAlign w:val="center"/>
          </w:tcPr>
          <w:p w:rsidR="00977FC4" w:rsidRPr="00E25AAC" w:rsidP="00977FC4" w14:paraId="4910223E" w14:textId="77777777">
            <w:pPr>
              <w:pStyle w:val="BodyText"/>
              <w:spacing w:before="40" w:after="40"/>
              <w:jc w:val="center"/>
              <w:rPr>
                <w:b/>
                <w:color w:val="FFFFFF" w:themeColor="background1"/>
              </w:rPr>
            </w:pPr>
            <w:r w:rsidRPr="00E25AAC">
              <w:rPr>
                <w:b/>
                <w:color w:val="FFFFFF" w:themeColor="background1"/>
              </w:rPr>
              <w:t>Portability</w:t>
            </w:r>
          </w:p>
        </w:tc>
        <w:tc>
          <w:tcPr>
            <w:tcW w:w="9000" w:type="dxa"/>
            <w:shd w:val="clear" w:color="auto" w:fill="D6DCE4" w:themeFill="text2" w:themeFillTint="33"/>
            <w:vAlign w:val="center"/>
          </w:tcPr>
          <w:p w:rsidR="00977FC4" w:rsidP="00977FC4" w14:paraId="0AFE7C91" w14:textId="77777777">
            <w:pPr>
              <w:pStyle w:val="BodyText"/>
              <w:spacing w:before="40" w:after="40"/>
              <w:jc w:val="left"/>
            </w:pPr>
            <w:r>
              <w:t>Yes, the employee is the owner of the account.</w:t>
            </w:r>
          </w:p>
        </w:tc>
      </w:tr>
    </w:tbl>
    <w:p w:rsidR="00723F48" w:rsidRPr="004967FA" w:rsidP="00723F48" w14:paraId="1CB97F85" w14:textId="77777777">
      <w:pPr>
        <w:pStyle w:val="BodyText"/>
      </w:pPr>
    </w:p>
    <w:sectPr w:rsidSect="00C84C66">
      <w:headerReference w:type="default" r:id="rId18"/>
      <w:footerReference w:type="default" r:id="rId19"/>
      <w:pgSz w:w="12240" w:h="15840"/>
      <w:pgMar w:top="1800" w:right="720" w:bottom="180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4CCC68BF" w14:textId="77777777">
    <w:pPr>
      <w:pStyle w:val="Footer"/>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margin">
                <wp:posOffset>5975536</wp:posOffset>
              </wp:positionV>
              <wp:extent cx="6849035" cy="8965"/>
              <wp:effectExtent l="19050" t="19050" r="9525" b="292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9035" cy="8965"/>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49"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2336" from="0,470.5pt" to="539.3pt,471.2pt" strokecolor="#4472c4" strokeweight="3.5pt">
              <v:stroke joinstyle="miter" opacity="49087f"/>
              <w10:wrap anchorx="margin" anchory="margin"/>
            </v:line>
          </w:pict>
        </mc:Fallback>
      </mc:AlternateContent>
    </w: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gal_fold.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999777"/>
      <w:docPartObj>
        <w:docPartGallery w:val="Page Numbers (Bottom of Page)"/>
        <w:docPartUnique/>
      </w:docPartObj>
    </w:sdtPr>
    <w:sdtEndPr>
      <w:rPr>
        <w:noProof/>
      </w:rPr>
    </w:sdtEndPr>
    <w:sdtContent>
      <w:p w:rsidR="00A95ADA" w14:paraId="0A268419" w14:textId="77777777">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margin">
                    <wp:posOffset>7812736</wp:posOffset>
                  </wp:positionV>
                  <wp:extent cx="6848475" cy="8890"/>
                  <wp:effectExtent l="19050" t="19050" r="9525" b="2921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6848475" cy="8890"/>
                          </a:xfrm>
                          <a:prstGeom prst="line">
                            <a:avLst/>
                          </a:prstGeom>
                          <a:ln w="44450">
                            <a:solidFill>
                              <a:schemeClr val="accent1">
                                <a:alpha val="7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flip:x y;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z-index:251660288" from="0,615.2pt" to="539.25pt,615.9pt" strokecolor="#4472c4" strokeweight="3.5pt">
                  <v:stroke joinstyle="miter" opacity="49087f"/>
                  <w10:wrap anchorx="margin" anchory="margin"/>
                </v:line>
              </w:pict>
            </mc:Fallback>
          </mc:AlternateContent>
        </w:r>
        <w:r>
          <w:fldChar w:fldCharType="begin"/>
        </w:r>
        <w:r>
          <w:instrText xml:space="preserve"> PAGE   \* MERGEFORMAT </w:instrText>
        </w:r>
        <w:r>
          <w:fldChar w:fldCharType="separate"/>
        </w:r>
        <w:r>
          <w:rPr>
            <w:noProof/>
          </w:rPr>
          <w:t>4</w:t>
        </w:r>
        <w:r>
          <w:rPr>
            <w:noProof/>
          </w:rPr>
          <w:fldChar w:fldCharType="end"/>
        </w:r>
      </w:p>
    </w:sdtContent>
  </w:sdt>
  <w:p w:rsidR="00E6115F" w14:paraId="02A6686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636D" w14:paraId="4C363188" w14:textId="77777777">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posOffset>-20955</wp:posOffset>
          </wp:positionV>
          <wp:extent cx="7772399" cy="3856498"/>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2399" cy="38564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7CD" w14:paraId="712AFFAB" w14:textId="77777777">
    <w:pPr>
      <w:pStyle w:val="Header"/>
    </w:pPr>
    <w:r>
      <w:rPr>
        <w:noProof/>
      </w:rPr>
      <mc:AlternateContent>
        <mc:Choice Requires="wps">
          <w:drawing>
            <wp:anchor distT="0" distB="0" distL="114300" distR="114300" simplePos="0" relativeHeight="251660288" behindDoc="0" locked="0" layoutInCell="1" allowOverlap="1">
              <wp:simplePos x="0" y="0"/>
              <wp:positionH relativeFrom="margin">
                <wp:posOffset>-55418</wp:posOffset>
              </wp:positionH>
              <wp:positionV relativeFrom="paragraph">
                <wp:posOffset>8679873</wp:posOffset>
              </wp:positionV>
              <wp:extent cx="5984875" cy="556260"/>
              <wp:effectExtent l="0" t="0" r="0" b="0"/>
              <wp:wrapNone/>
              <wp:docPr id="20" name="Text 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5984875" cy="556260"/>
                      </a:xfrm>
                      <a:prstGeom prst="rect">
                        <a:avLst/>
                      </a:prstGeom>
                      <a:noFill/>
                      <a:ln w="6350">
                        <a:noFill/>
                      </a:ln>
                      <a:effectLst/>
                    </wps:spPr>
                    <wps:txbx>
                      <w:txbxContent>
                        <w:p w:rsidR="00EC1229" w:rsidRPr="00817EEE" w:rsidP="00EC1229" w14:textId="57A2D55D">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977FC4">
                            <w:t>2</w:t>
                          </w:r>
                          <w:r w:rsidRPr="00817EEE">
                            <w:t>1</w:t>
                          </w:r>
                          <w:r w:rsidR="00F10BB8">
                            <w:t>-202</w:t>
                          </w:r>
                          <w:r w:rsidR="003F6C2A">
                            <w:t>3</w:t>
                          </w:r>
                          <w:r>
                            <w:t xml:space="preserve"> </w:t>
                          </w:r>
                          <w:r w:rsidRPr="00817EEE">
                            <w:t>Zywave, Inc.</w:t>
                          </w:r>
                          <w:r>
                            <w:t xml:space="preserve"> </w:t>
                          </w:r>
                          <w:r w:rsidRPr="00817EEE">
                            <w:t>All rights reserved.</w:t>
                          </w:r>
                        </w:p>
                        <w:p w:rsidR="00EC1229" w:rsidRPr="00947E11" w:rsidP="00EC1229" w14:textId="77777777">
                          <w:pPr>
                            <w:pStyle w:val="Disclaimer"/>
                            <w:rPr>
                              <w:szCs w:val="16"/>
                            </w:rPr>
                          </w:pPr>
                        </w:p>
                        <w:p w:rsidR="00E6115F" w:rsidRPr="00947E11" w:rsidP="008F7B15" w14:textId="77777777">
                          <w:pPr>
                            <w:pStyle w:val="Disclaimer"/>
                            <w:rPr>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0" type="#_x0000_t202" style="width:471.25pt;height:43.8pt;margin-top:683.45pt;margin-left:-4.35pt;mso-height-percent:0;mso-height-relative:margin;mso-position-horizontal-relative:margin;mso-width-percent:0;mso-width-relative:margin;mso-wrap-distance-bottom:0;mso-wrap-distance-left:9pt;mso-wrap-distance-right:9pt;mso-wrap-distance-top:0;mso-wrap-style:square;position:absolute;v-text-anchor:top;visibility:visible;z-index:251661312" filled="f" stroked="f" strokeweight="0.5pt">
              <v:textbox>
                <w:txbxContent>
                  <w:p w:rsidR="00EC1229" w:rsidRPr="00817EEE" w:rsidP="00EC1229" w14:paraId="2BFA3EF7" w14:textId="57A2D55D">
                    <w:pPr>
                      <w:pStyle w:val="Disclaimer"/>
                    </w:pPr>
                    <w:r w:rsidRPr="00947E11">
                      <w:rPr>
                        <w:szCs w:val="16"/>
                      </w:rPr>
                      <w:t xml:space="preserve">This </w:t>
                    </w:r>
                    <w:r>
                      <w:rPr>
                        <w:szCs w:val="16"/>
                      </w:rPr>
                      <w:t>Compliance Overview</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©20</w:t>
                    </w:r>
                    <w:r w:rsidR="00977FC4">
                      <w:t>2</w:t>
                    </w:r>
                    <w:r w:rsidRPr="00817EEE">
                      <w:t>1</w:t>
                    </w:r>
                    <w:r w:rsidR="00F10BB8">
                      <w:t>-202</w:t>
                    </w:r>
                    <w:r w:rsidR="003F6C2A">
                      <w:t>3</w:t>
                    </w:r>
                    <w:r>
                      <w:t xml:space="preserve"> </w:t>
                    </w:r>
                    <w:r w:rsidRPr="00817EEE">
                      <w:t>Zywave, Inc.</w:t>
                    </w:r>
                    <w:r>
                      <w:t xml:space="preserve"> </w:t>
                    </w:r>
                    <w:r w:rsidRPr="00817EEE">
                      <w:t>All rights reserved.</w:t>
                    </w:r>
                  </w:p>
                  <w:p w:rsidR="00EC1229" w:rsidRPr="00947E11" w:rsidP="00EC1229" w14:paraId="3A4E6332" w14:textId="77777777">
                    <w:pPr>
                      <w:pStyle w:val="Disclaimer"/>
                      <w:rPr>
                        <w:szCs w:val="16"/>
                      </w:rPr>
                    </w:pPr>
                  </w:p>
                  <w:p w:rsidR="00E6115F" w:rsidRPr="00947E11" w:rsidP="008F7B15" w14:paraId="6C404A5B" w14:textId="77777777">
                    <w:pPr>
                      <w:pStyle w:val="Disclaimer"/>
                      <w:rPr>
                        <w:szCs w:val="16"/>
                      </w:rPr>
                    </w:pPr>
                  </w:p>
                </w:txbxContent>
              </v:textbox>
              <w10:wrap anchorx="margin"/>
            </v:shape>
          </w:pict>
        </mc:Fallback>
      </mc:AlternateContent>
    </w:r>
    <w:r w:rsidR="00A357CD">
      <w:rPr>
        <w:noProof/>
      </w:rPr>
      <w:drawing>
        <wp:anchor distT="0" distB="0" distL="114300" distR="114300" simplePos="0" relativeHeight="251659264" behindDoc="1" locked="0" layoutInCell="1" allowOverlap="1">
          <wp:simplePos x="0" y="0"/>
          <wp:positionH relativeFrom="page">
            <wp:posOffset>2</wp:posOffset>
          </wp:positionH>
          <wp:positionV relativeFrom="paragraph">
            <wp:posOffset>-457200</wp:posOffset>
          </wp:positionV>
          <wp:extent cx="7776971" cy="1636776"/>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gal_header.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776971" cy="1636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E95063"/>
    <w:multiLevelType w:val="hybridMultilevel"/>
    <w:tmpl w:val="0CE2A7C2"/>
    <w:lvl w:ilvl="0">
      <w:start w:val="1"/>
      <w:numFmt w:val="bulle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568599D"/>
    <w:multiLevelType w:val="multilevel"/>
    <w:tmpl w:val="B13CDD56"/>
    <w:numStyleLink w:val="BulletedList"/>
  </w:abstractNum>
  <w:abstractNum w:abstractNumId="2">
    <w:nsid w:val="1A270686"/>
    <w:multiLevelType w:val="hybridMultilevel"/>
    <w:tmpl w:val="409AC006"/>
    <w:lvl w:ilvl="0">
      <w:start w:val="1"/>
      <w:numFmt w:val="bullet"/>
      <w:pStyle w:val="Checkbox"/>
      <w:lvlText w:val=""/>
      <w:lvlJc w:val="left"/>
      <w:pPr>
        <w:ind w:left="540" w:hanging="360"/>
      </w:pPr>
      <w:rPr>
        <w:rFonts w:ascii="Wingdings" w:hAnsi="Wingdings" w:hint="default"/>
        <w:color w:val="5083C9"/>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67C3E30"/>
    <w:multiLevelType w:val="hybridMultilevel"/>
    <w:tmpl w:val="DCE623FE"/>
    <w:lvl w:ilvl="0">
      <w:start w:val="1"/>
      <w:numFmt w:val="bullet"/>
      <w:pStyle w:val="Bullet"/>
      <w:lvlText w:val=""/>
      <w:lvlJc w:val="left"/>
      <w:pPr>
        <w:ind w:left="720" w:hanging="360"/>
      </w:pPr>
      <w:rPr>
        <w:rFonts w:ascii="Symbol" w:hAnsi="Symbol" w:hint="default"/>
        <w:color w:val="5083C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9703BF"/>
    <w:multiLevelType w:val="multilevel"/>
    <w:tmpl w:val="B9EC39CC"/>
    <w:lvl w:ilvl="0">
      <w:start w:val="1"/>
      <w:numFmt w:val="bullet"/>
      <w:lvlText w:val=""/>
      <w:lvlJc w:val="left"/>
      <w:pPr>
        <w:ind w:left="540" w:hanging="360"/>
      </w:pPr>
      <w:rPr>
        <w:rFonts w:ascii="Symbol" w:hAnsi="Symbol" w:hint="default"/>
        <w:color w:val="5083C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9D40F3B"/>
    <w:multiLevelType w:val="multilevel"/>
    <w:tmpl w:val="B13CDD56"/>
    <w:numStyleLink w:val="BulletedList"/>
  </w:abstractNum>
  <w:abstractNum w:abstractNumId="7">
    <w:nsid w:val="4C8601A1"/>
    <w:multiLevelType w:val="hybridMultilevel"/>
    <w:tmpl w:val="43CE9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E624744"/>
    <w:multiLevelType w:val="hybridMultilevel"/>
    <w:tmpl w:val="D67CDEAC"/>
    <w:lvl w:ilvl="0">
      <w:start w:val="1"/>
      <w:numFmt w:val="bullet"/>
      <w:pStyle w:val="Xbox"/>
      <w:lvlText w:val=""/>
      <w:lvlJc w:val="left"/>
      <w:pPr>
        <w:ind w:left="540" w:hanging="360"/>
      </w:pPr>
      <w:rPr>
        <w:rFonts w:ascii="Wingdings" w:hAnsi="Wingdings" w:hint="default"/>
        <w:color w:val="BD6363"/>
        <w:sz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32E5207"/>
    <w:multiLevelType w:val="multilevel"/>
    <w:tmpl w:val="B13CDD56"/>
    <w:numStyleLink w:val="BulletedList"/>
  </w:abstractNum>
  <w:abstractNum w:abstractNumId="10">
    <w:nsid w:val="730B4ECD"/>
    <w:multiLevelType w:val="hybridMultilevel"/>
    <w:tmpl w:val="6C406044"/>
    <w:lvl w:ilvl="0">
      <w:start w:val="1"/>
      <w:numFmt w:val="bullet"/>
      <w:pStyle w:val="BulletlistHighlight"/>
      <w:lvlText w:val=""/>
      <w:lvlJc w:val="left"/>
      <w:pPr>
        <w:ind w:left="288" w:hanging="288"/>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86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10"/>
  </w:num>
  <w:num w:numId="6">
    <w:abstractNumId w:val="3"/>
  </w:num>
  <w:num w:numId="7">
    <w:abstractNumId w:val="1"/>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3C"/>
    <w:rsid w:val="000847AD"/>
    <w:rsid w:val="00090473"/>
    <w:rsid w:val="000C041F"/>
    <w:rsid w:val="00114598"/>
    <w:rsid w:val="0012162D"/>
    <w:rsid w:val="001327E9"/>
    <w:rsid w:val="00154DBB"/>
    <w:rsid w:val="0016683E"/>
    <w:rsid w:val="00171781"/>
    <w:rsid w:val="001725D9"/>
    <w:rsid w:val="0019038E"/>
    <w:rsid w:val="00197A9E"/>
    <w:rsid w:val="001B1A7E"/>
    <w:rsid w:val="001B5774"/>
    <w:rsid w:val="00235733"/>
    <w:rsid w:val="0024208C"/>
    <w:rsid w:val="0026000D"/>
    <w:rsid w:val="00282C22"/>
    <w:rsid w:val="002F02F6"/>
    <w:rsid w:val="003243B0"/>
    <w:rsid w:val="003267DD"/>
    <w:rsid w:val="003267EB"/>
    <w:rsid w:val="00331E34"/>
    <w:rsid w:val="0033233A"/>
    <w:rsid w:val="0035530B"/>
    <w:rsid w:val="0037553A"/>
    <w:rsid w:val="00377AA8"/>
    <w:rsid w:val="003A6B72"/>
    <w:rsid w:val="003B53B0"/>
    <w:rsid w:val="003C10A8"/>
    <w:rsid w:val="003F6C2A"/>
    <w:rsid w:val="00441851"/>
    <w:rsid w:val="00483FA9"/>
    <w:rsid w:val="00484002"/>
    <w:rsid w:val="00485C3A"/>
    <w:rsid w:val="004967FA"/>
    <w:rsid w:val="004A65E6"/>
    <w:rsid w:val="004B125C"/>
    <w:rsid w:val="004B79D0"/>
    <w:rsid w:val="004F3C17"/>
    <w:rsid w:val="00526C74"/>
    <w:rsid w:val="00534014"/>
    <w:rsid w:val="00537092"/>
    <w:rsid w:val="005806E6"/>
    <w:rsid w:val="00584B55"/>
    <w:rsid w:val="005A5BCC"/>
    <w:rsid w:val="005B1EC4"/>
    <w:rsid w:val="005B2EE1"/>
    <w:rsid w:val="005C0D6E"/>
    <w:rsid w:val="005D05D9"/>
    <w:rsid w:val="005E4D2F"/>
    <w:rsid w:val="005E5147"/>
    <w:rsid w:val="00606110"/>
    <w:rsid w:val="00677DD4"/>
    <w:rsid w:val="00681DFF"/>
    <w:rsid w:val="0069237D"/>
    <w:rsid w:val="006A4CCA"/>
    <w:rsid w:val="006B2E3A"/>
    <w:rsid w:val="006D0148"/>
    <w:rsid w:val="006E0E34"/>
    <w:rsid w:val="006E3B62"/>
    <w:rsid w:val="007022BE"/>
    <w:rsid w:val="00706CF5"/>
    <w:rsid w:val="00707343"/>
    <w:rsid w:val="00707BFB"/>
    <w:rsid w:val="007201D3"/>
    <w:rsid w:val="00723F48"/>
    <w:rsid w:val="00731A58"/>
    <w:rsid w:val="00745A01"/>
    <w:rsid w:val="00755EEF"/>
    <w:rsid w:val="0078696A"/>
    <w:rsid w:val="00802FF0"/>
    <w:rsid w:val="00817EEE"/>
    <w:rsid w:val="008247EF"/>
    <w:rsid w:val="008254B5"/>
    <w:rsid w:val="00826394"/>
    <w:rsid w:val="00844896"/>
    <w:rsid w:val="0084543D"/>
    <w:rsid w:val="00860EC3"/>
    <w:rsid w:val="008A7E71"/>
    <w:rsid w:val="008B3054"/>
    <w:rsid w:val="008C01A9"/>
    <w:rsid w:val="008C3FE0"/>
    <w:rsid w:val="008C4D53"/>
    <w:rsid w:val="008C539C"/>
    <w:rsid w:val="008D77F3"/>
    <w:rsid w:val="008F109D"/>
    <w:rsid w:val="008F7B15"/>
    <w:rsid w:val="00926535"/>
    <w:rsid w:val="0092732D"/>
    <w:rsid w:val="00947E11"/>
    <w:rsid w:val="00957814"/>
    <w:rsid w:val="00977FC4"/>
    <w:rsid w:val="0098636D"/>
    <w:rsid w:val="00992B64"/>
    <w:rsid w:val="00993033"/>
    <w:rsid w:val="009A663E"/>
    <w:rsid w:val="009D4BB6"/>
    <w:rsid w:val="009E4DC9"/>
    <w:rsid w:val="009F3CA3"/>
    <w:rsid w:val="00A337BD"/>
    <w:rsid w:val="00A357CD"/>
    <w:rsid w:val="00A46068"/>
    <w:rsid w:val="00A47C53"/>
    <w:rsid w:val="00A62BE1"/>
    <w:rsid w:val="00A83C9F"/>
    <w:rsid w:val="00A95ADA"/>
    <w:rsid w:val="00AD0649"/>
    <w:rsid w:val="00AD3368"/>
    <w:rsid w:val="00AE6476"/>
    <w:rsid w:val="00B00D33"/>
    <w:rsid w:val="00B24BF5"/>
    <w:rsid w:val="00B27C10"/>
    <w:rsid w:val="00B34A25"/>
    <w:rsid w:val="00B727AD"/>
    <w:rsid w:val="00B8765B"/>
    <w:rsid w:val="00B95E44"/>
    <w:rsid w:val="00BC32B1"/>
    <w:rsid w:val="00BF7808"/>
    <w:rsid w:val="00C0344C"/>
    <w:rsid w:val="00C73DB9"/>
    <w:rsid w:val="00C75856"/>
    <w:rsid w:val="00C84C66"/>
    <w:rsid w:val="00C9359B"/>
    <w:rsid w:val="00CB6777"/>
    <w:rsid w:val="00CC017A"/>
    <w:rsid w:val="00CF5E21"/>
    <w:rsid w:val="00D379D5"/>
    <w:rsid w:val="00D40792"/>
    <w:rsid w:val="00D41927"/>
    <w:rsid w:val="00D76FCB"/>
    <w:rsid w:val="00D8467E"/>
    <w:rsid w:val="00DB123E"/>
    <w:rsid w:val="00DC3880"/>
    <w:rsid w:val="00DD526F"/>
    <w:rsid w:val="00DD583C"/>
    <w:rsid w:val="00E16E6C"/>
    <w:rsid w:val="00E16FF3"/>
    <w:rsid w:val="00E25AAC"/>
    <w:rsid w:val="00E6115F"/>
    <w:rsid w:val="00E7339D"/>
    <w:rsid w:val="00EA2BB6"/>
    <w:rsid w:val="00EC1229"/>
    <w:rsid w:val="00EC2053"/>
    <w:rsid w:val="00EF5623"/>
    <w:rsid w:val="00EF7BE8"/>
    <w:rsid w:val="00F021E9"/>
    <w:rsid w:val="00F10BB8"/>
    <w:rsid w:val="00F6285E"/>
    <w:rsid w:val="00FD61EC"/>
    <w:rsid w:val="00FD7DAA"/>
    <w:rsid w:val="00FF3F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4CEC82"/>
  <w15:chartTrackingRefBased/>
  <w15:docId w15:val="{CD90E645-18C7-4597-9CE7-9E5B9B5B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8A7E71"/>
    <w:pPr>
      <w:spacing w:after="120" w:line="228" w:lineRule="auto"/>
    </w:pPr>
    <w:rPr>
      <w:b/>
      <w:color w:val="5083C9"/>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8A7E71"/>
    <w:rPr>
      <w:b/>
      <w:color w:val="5083C9"/>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B727AD"/>
    <w:pPr>
      <w:spacing w:after="60"/>
    </w:pPr>
  </w:style>
  <w:style w:type="paragraph" w:customStyle="1" w:styleId="Checkbox">
    <w:name w:val="Checkbox"/>
    <w:basedOn w:val="BulletList"/>
    <w:link w:val="CheckboxChar"/>
    <w:qFormat/>
    <w:rsid w:val="00E16E6C"/>
    <w:pPr>
      <w:numPr>
        <w:numId w:val="3"/>
      </w:numPr>
      <w:tabs>
        <w:tab w:val="left" w:pos="540"/>
      </w:tabs>
      <w:ind w:hanging="450"/>
    </w:pPr>
  </w:style>
  <w:style w:type="character" w:customStyle="1" w:styleId="BulletListChar">
    <w:name w:val="Bullet List Char"/>
    <w:basedOn w:val="BodyTextChar"/>
    <w:link w:val="BulletList"/>
    <w:rsid w:val="00B727AD"/>
    <w:rPr>
      <w:rFonts w:ascii="Calibri" w:eastAsia="Times New Roman" w:hAnsi="Calibri" w:cs="Arial"/>
      <w:color w:val="595959"/>
      <w:szCs w:val="20"/>
    </w:rPr>
  </w:style>
  <w:style w:type="paragraph" w:customStyle="1" w:styleId="Xbox">
    <w:name w:val="Xbox"/>
    <w:basedOn w:val="Checkbox"/>
    <w:link w:val="XboxChar"/>
    <w:qFormat/>
    <w:rsid w:val="00E16E6C"/>
    <w:pPr>
      <w:numPr>
        <w:numId w:val="4"/>
      </w:numPr>
      <w:ind w:hanging="450"/>
    </w:pPr>
  </w:style>
  <w:style w:type="character" w:customStyle="1" w:styleId="CheckboxChar">
    <w:name w:val="Checkbox Char"/>
    <w:basedOn w:val="BulletListChar"/>
    <w:link w:val="Checkbox"/>
    <w:rsid w:val="00E16E6C"/>
    <w:rPr>
      <w:rFonts w:ascii="Calibri" w:eastAsia="Times New Roman" w:hAnsi="Calibri" w:cs="Arial"/>
      <w:color w:val="595959"/>
      <w:szCs w:val="20"/>
    </w:rPr>
  </w:style>
  <w:style w:type="paragraph" w:customStyle="1" w:styleId="CallOutBox">
    <w:name w:val="Call Out Box"/>
    <w:basedOn w:val="Footer"/>
    <w:link w:val="CallOutBoxChar"/>
    <w:qFormat/>
    <w:rsid w:val="00CF5E21"/>
    <w:pPr>
      <w:jc w:val="center"/>
    </w:pPr>
    <w:rPr>
      <w:b/>
      <w:i/>
      <w:color w:val="5083C9"/>
      <w:sz w:val="36"/>
      <w:szCs w:val="36"/>
    </w:rPr>
  </w:style>
  <w:style w:type="character" w:customStyle="1" w:styleId="XboxChar">
    <w:name w:val="Xbox Char"/>
    <w:basedOn w:val="CheckboxChar"/>
    <w:link w:val="Xbox"/>
    <w:rsid w:val="00E16E6C"/>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CF5E21"/>
    <w:rPr>
      <w:b/>
      <w:i/>
      <w:color w:val="5083C9"/>
      <w:sz w:val="36"/>
      <w:szCs w:val="36"/>
    </w:rPr>
  </w:style>
  <w:style w:type="paragraph" w:customStyle="1" w:styleId="TableHeader">
    <w:name w:val="Table Header"/>
    <w:basedOn w:val="BodyText"/>
    <w:link w:val="TableHeaderChar"/>
    <w:qFormat/>
    <w:rsid w:val="00723F48"/>
    <w:pPr>
      <w:spacing w:before="60" w:after="60"/>
      <w:jc w:val="center"/>
    </w:pPr>
    <w:rPr>
      <w:b/>
      <w:color w:val="FFFFFF" w:themeColor="background1"/>
      <w:sz w:val="26"/>
      <w:szCs w:val="26"/>
    </w:rPr>
  </w:style>
  <w:style w:type="character" w:customStyle="1" w:styleId="TableHeaderChar">
    <w:name w:val="Table Header Char"/>
    <w:basedOn w:val="BodyTextChar"/>
    <w:link w:val="TableHeader"/>
    <w:rsid w:val="00723F48"/>
    <w:rPr>
      <w:rFonts w:ascii="Calibri" w:eastAsia="Times New Roman" w:hAnsi="Calibri" w:cs="Arial"/>
      <w:b/>
      <w:color w:val="FFFFFF" w:themeColor="background1"/>
      <w:sz w:val="26"/>
      <w:szCs w:val="26"/>
    </w:rPr>
  </w:style>
  <w:style w:type="character" w:styleId="Hyperlink">
    <w:name w:val="Hyperlink"/>
    <w:basedOn w:val="DefaultParagraphFont"/>
    <w:uiPriority w:val="99"/>
    <w:unhideWhenUsed/>
    <w:rsid w:val="008C01A9"/>
    <w:rPr>
      <w:color w:val="0563C1" w:themeColor="hyperlink"/>
      <w:u w:val="single"/>
    </w:rPr>
  </w:style>
  <w:style w:type="paragraph" w:customStyle="1" w:styleId="BulletlistHighlight">
    <w:name w:val="Bullet list Highlight"/>
    <w:basedOn w:val="BodyText"/>
    <w:rsid w:val="008C01A9"/>
    <w:pPr>
      <w:numPr>
        <w:numId w:val="5"/>
      </w:numPr>
      <w:spacing w:before="120" w:after="120"/>
    </w:pPr>
    <w:rPr>
      <w:color w:val="FFFFFF"/>
    </w:rPr>
  </w:style>
  <w:style w:type="paragraph" w:customStyle="1" w:styleId="LR-Heading">
    <w:name w:val="LR-Heading"/>
    <w:basedOn w:val="Normal"/>
    <w:link w:val="LR-HeadingChar"/>
    <w:qFormat/>
    <w:rsid w:val="008C01A9"/>
    <w:pPr>
      <w:spacing w:before="120" w:after="120" w:line="240" w:lineRule="auto"/>
    </w:pPr>
    <w:rPr>
      <w:rFonts w:ascii="Calibri" w:eastAsia="Times New Roman" w:hAnsi="Calibri" w:cs="Times New Roman"/>
      <w:b/>
      <w:caps/>
      <w:color w:val="595959"/>
      <w:sz w:val="28"/>
      <w:szCs w:val="20"/>
    </w:rPr>
  </w:style>
  <w:style w:type="character" w:customStyle="1" w:styleId="LR-HeadingChar">
    <w:name w:val="LR-Heading Char"/>
    <w:link w:val="LR-Heading"/>
    <w:rsid w:val="008C01A9"/>
    <w:rPr>
      <w:rFonts w:ascii="Calibri" w:eastAsia="Times New Roman" w:hAnsi="Calibri" w:cs="Times New Roman"/>
      <w:b/>
      <w:caps/>
      <w:color w:val="595959"/>
      <w:sz w:val="28"/>
      <w:szCs w:val="20"/>
    </w:rPr>
  </w:style>
  <w:style w:type="paragraph" w:customStyle="1" w:styleId="LR-BulletList">
    <w:name w:val="LR-Bullet List"/>
    <w:basedOn w:val="BulletlistHighlight"/>
    <w:link w:val="LR-BulletListChar"/>
    <w:qFormat/>
    <w:rsid w:val="008C01A9"/>
    <w:rPr>
      <w:color w:val="595959"/>
    </w:rPr>
  </w:style>
  <w:style w:type="character" w:customStyle="1" w:styleId="LR-BulletListChar">
    <w:name w:val="LR-Bullet List Char"/>
    <w:link w:val="LR-BulletList"/>
    <w:rsid w:val="008C01A9"/>
    <w:rPr>
      <w:rFonts w:ascii="Calibri" w:eastAsia="Times New Roman" w:hAnsi="Calibri" w:cs="Arial"/>
      <w:color w:val="595959"/>
      <w:szCs w:val="20"/>
    </w:rPr>
  </w:style>
  <w:style w:type="numbering" w:customStyle="1" w:styleId="BulletedList">
    <w:name w:val="Bulleted List"/>
    <w:uiPriority w:val="99"/>
    <w:rsid w:val="005806E6"/>
    <w:pPr>
      <w:numPr>
        <w:numId w:val="6"/>
      </w:numPr>
    </w:pPr>
  </w:style>
  <w:style w:type="paragraph" w:customStyle="1" w:styleId="Bullet">
    <w:name w:val="Bullet"/>
    <w:basedOn w:val="BodyText"/>
    <w:link w:val="BulletChar"/>
    <w:qFormat/>
    <w:rsid w:val="00731A58"/>
    <w:pPr>
      <w:numPr>
        <w:numId w:val="10"/>
      </w:numPr>
      <w:spacing w:after="0"/>
    </w:pPr>
  </w:style>
  <w:style w:type="character" w:customStyle="1" w:styleId="BulletChar">
    <w:name w:val="Bullet Char"/>
    <w:basedOn w:val="BodyTextChar"/>
    <w:link w:val="Bullet"/>
    <w:rsid w:val="00731A58"/>
    <w:rPr>
      <w:rFonts w:ascii="Calibri" w:eastAsia="Times New Roman" w:hAnsi="Calibri" w:cs="Arial"/>
      <w:color w:val="595959"/>
      <w:szCs w:val="20"/>
    </w:rPr>
  </w:style>
  <w:style w:type="paragraph" w:customStyle="1" w:styleId="SectionedHeader">
    <w:name w:val="Sectioned Header"/>
    <w:basedOn w:val="SubHeader"/>
    <w:link w:val="SectionedHeaderChar"/>
    <w:qFormat/>
    <w:rsid w:val="00723F48"/>
    <w:rPr>
      <w:color w:val="5083C9"/>
      <w:sz w:val="32"/>
      <w:szCs w:val="32"/>
    </w:rPr>
  </w:style>
  <w:style w:type="character" w:customStyle="1" w:styleId="SectionedHeaderChar">
    <w:name w:val="Sectioned Header Char"/>
    <w:basedOn w:val="SubHeaderChar"/>
    <w:link w:val="SectionedHeader"/>
    <w:rsid w:val="00723F48"/>
    <w:rPr>
      <w:rFonts w:ascii="Calibri" w:eastAsia="Times New Roman" w:hAnsi="Calibri" w:cs="Arial"/>
      <w:b/>
      <w:color w:val="5083C9"/>
      <w:sz w:val="32"/>
      <w:szCs w:val="32"/>
    </w:rPr>
  </w:style>
  <w:style w:type="character" w:styleId="UnresolvedMention">
    <w:name w:val="Unresolved Mention"/>
    <w:basedOn w:val="DefaultParagraphFont"/>
    <w:uiPriority w:val="99"/>
    <w:semiHidden/>
    <w:unhideWhenUsed/>
    <w:rsid w:val="00977FC4"/>
    <w:rPr>
      <w:color w:val="605E5C"/>
      <w:shd w:val="clear" w:color="auto" w:fill="E1DFDD"/>
    </w:rPr>
  </w:style>
  <w:style w:type="paragraph" w:styleId="Revision">
    <w:name w:val="Revision"/>
    <w:hidden/>
    <w:uiPriority w:val="99"/>
    <w:semiHidden/>
    <w:rsid w:val="004B79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rs.gov/pub/irs-drop/n-20-15.pdf" TargetMode="External" /><Relationship Id="rId11" Type="http://schemas.openxmlformats.org/officeDocument/2006/relationships/hyperlink" Target="https://www.congress.gov/bill/116th-congress/house-bill/748/text" TargetMode="External" /><Relationship Id="rId12" Type="http://schemas.openxmlformats.org/officeDocument/2006/relationships/hyperlink" Target="https://www.congress.gov/116/bills/hr6201/BILLS-116hr6201enr.pdf" TargetMode="External" /><Relationship Id="rId13" Type="http://schemas.openxmlformats.org/officeDocument/2006/relationships/hyperlink" Target="https://www.congress.gov/bill/117th-congress/house-bill/2617/text" TargetMode="External" /><Relationship Id="rId14" Type="http://schemas.openxmlformats.org/officeDocument/2006/relationships/hyperlink" Target="https://www.irs.gov/pub/irs-drop/a-21-07.pdf" TargetMode="External" /><Relationship Id="rId15" Type="http://schemas.openxmlformats.org/officeDocument/2006/relationships/hyperlink" Target="https://www.congress.gov/bill/117th-congress/house-bill/2471/text" TargetMode="External" /><Relationship Id="rId16" Type="http://schemas.openxmlformats.org/officeDocument/2006/relationships/hyperlink" Target="http://www.law.cornell.edu/uscode/text/26/125" TargetMode="External" /><Relationship Id="rId17" Type="http://schemas.openxmlformats.org/officeDocument/2006/relationships/hyperlink" Target="https://www.law.cornell.edu/uscode/text/26/213" TargetMode="External" /><Relationship Id="rId18" Type="http://schemas.openxmlformats.org/officeDocument/2006/relationships/header" Target="header2.xml" /><Relationship Id="rId19" Type="http://schemas.openxmlformats.org/officeDocument/2006/relationships/footer" Target="footer2.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yperlink" Target="https://www.irs.gov/publications/p969/" TargetMode="External" /><Relationship Id="rId9" Type="http://schemas.openxmlformats.org/officeDocument/2006/relationships/hyperlink" Target="https://www.irs.gov/pub/irs-drop/rp-22-24.pdf" TargetMode="External" /></Relationships>
</file>

<file path=word/_rels/footer1.xml.rels><?xml version="1.0" encoding="utf-8" standalone="yes"?><Relationships xmlns="http://schemas.openxmlformats.org/package/2006/relationships"><Relationship Id="rId1"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header2.xml.rels><?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Margerie</dc:creator>
  <cp:lastModifiedBy>Margerie, Erin</cp:lastModifiedBy>
  <cp:revision>3</cp:revision>
  <dcterms:created xsi:type="dcterms:W3CDTF">2023-01-03T15:13:00Z</dcterms:created>
  <dcterms:modified xsi:type="dcterms:W3CDTF">2023-01-03T15:14:00Z</dcterms:modified>
</cp:coreProperties>
</file>