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321C" w14:textId="77777777" w:rsidR="00CA23A9" w:rsidRPr="00CA23A9" w:rsidRDefault="00CA23A9" w:rsidP="00CA23A9">
      <w:pPr>
        <w:jc w:val="center"/>
        <w:rPr>
          <w:b/>
          <w:bCs/>
          <w:sz w:val="20"/>
          <w:szCs w:val="20"/>
        </w:rPr>
      </w:pPr>
      <w:r w:rsidRPr="00CA23A9">
        <w:rPr>
          <w:b/>
          <w:bCs/>
          <w:sz w:val="20"/>
          <w:szCs w:val="20"/>
        </w:rPr>
        <w:t>JUNIOR ROUGHSTOCK ASSOCIATION</w:t>
      </w:r>
    </w:p>
    <w:p w14:paraId="05353FC1" w14:textId="77777777" w:rsidR="00CA23A9" w:rsidRPr="00CA23A9" w:rsidRDefault="00CA23A9" w:rsidP="00CA23A9">
      <w:pPr>
        <w:jc w:val="center"/>
        <w:rPr>
          <w:sz w:val="20"/>
          <w:szCs w:val="20"/>
        </w:rPr>
      </w:pPr>
      <w:r w:rsidRPr="00CA23A9">
        <w:rPr>
          <w:b/>
          <w:bCs/>
          <w:sz w:val="20"/>
          <w:szCs w:val="20"/>
        </w:rPr>
        <w:t>2025 JUNIOR ROUGHSTOCK ASSOCIATION FINALS RODEO</w:t>
      </w:r>
      <w:r w:rsidRPr="00CA23A9">
        <w:rPr>
          <w:sz w:val="20"/>
          <w:szCs w:val="20"/>
        </w:rPr>
        <w:br/>
      </w:r>
      <w:r w:rsidRPr="00CA23A9">
        <w:rPr>
          <w:b/>
          <w:bCs/>
          <w:sz w:val="20"/>
          <w:szCs w:val="20"/>
        </w:rPr>
        <w:t>PARENT OR GUARDIAN CREDENTIAL UNDERSTANDING AND RELEASE</w:t>
      </w:r>
    </w:p>
    <w:p w14:paraId="66DB91F3" w14:textId="77777777" w:rsidR="00CA23A9" w:rsidRPr="00CA23A9" w:rsidRDefault="00CA23A9" w:rsidP="00CA23A9">
      <w:pPr>
        <w:jc w:val="center"/>
        <w:rPr>
          <w:sz w:val="20"/>
          <w:szCs w:val="20"/>
        </w:rPr>
      </w:pPr>
      <w:r w:rsidRPr="00CA23A9">
        <w:rPr>
          <w:sz w:val="20"/>
          <w:szCs w:val="20"/>
        </w:rPr>
        <w:t xml:space="preserve">This </w:t>
      </w:r>
      <w:r w:rsidRPr="00CA23A9">
        <w:rPr>
          <w:b/>
          <w:bCs/>
          <w:sz w:val="20"/>
          <w:szCs w:val="20"/>
        </w:rPr>
        <w:t>Credential Understanding and Release</w:t>
      </w:r>
      <w:r w:rsidRPr="00CA23A9">
        <w:rPr>
          <w:sz w:val="20"/>
          <w:szCs w:val="20"/>
        </w:rPr>
        <w:t xml:space="preserve"> (“Release”) is made and entered into as of _______________________, 2025 (the “Effective Date”), by ____________________________, an individual (“Credential Holder”), having an address at __________________________________________, in favor of </w:t>
      </w:r>
      <w:r w:rsidRPr="00CA23A9">
        <w:rPr>
          <w:b/>
          <w:bCs/>
          <w:sz w:val="20"/>
          <w:szCs w:val="20"/>
        </w:rPr>
        <w:t>The Junior Roughstock Association (“JRA”)</w:t>
      </w:r>
      <w:r w:rsidRPr="00CA23A9">
        <w:rPr>
          <w:sz w:val="20"/>
          <w:szCs w:val="20"/>
        </w:rPr>
        <w:t>.</w:t>
      </w:r>
    </w:p>
    <w:p w14:paraId="107AF205" w14:textId="77777777" w:rsidR="00CA23A9" w:rsidRPr="00CA23A9" w:rsidRDefault="000F7975" w:rsidP="00CA23A9">
      <w:pPr>
        <w:rPr>
          <w:sz w:val="20"/>
          <w:szCs w:val="20"/>
        </w:rPr>
      </w:pPr>
      <w:r>
        <w:rPr>
          <w:sz w:val="20"/>
          <w:szCs w:val="20"/>
        </w:rPr>
        <w:pict w14:anchorId="5C5FE5DE">
          <v:rect id="_x0000_i1025" style="width:0;height:1.5pt" o:hrstd="t" o:hr="t" fillcolor="#a0a0a0" stroked="f"/>
        </w:pict>
      </w:r>
    </w:p>
    <w:p w14:paraId="57A35C04" w14:textId="77777777" w:rsidR="00CA23A9" w:rsidRPr="00CA23A9" w:rsidRDefault="00CA23A9" w:rsidP="00CA23A9">
      <w:pPr>
        <w:rPr>
          <w:b/>
          <w:bCs/>
          <w:sz w:val="20"/>
          <w:szCs w:val="20"/>
        </w:rPr>
      </w:pPr>
      <w:r w:rsidRPr="00CA23A9">
        <w:rPr>
          <w:b/>
          <w:bCs/>
          <w:sz w:val="20"/>
          <w:szCs w:val="20"/>
        </w:rPr>
        <w:t>RECITALS</w:t>
      </w:r>
    </w:p>
    <w:p w14:paraId="310DFA1E" w14:textId="360350A8" w:rsidR="00CA23A9" w:rsidRPr="00CA23A9" w:rsidRDefault="00CA23A9" w:rsidP="00CA23A9">
      <w:pPr>
        <w:rPr>
          <w:sz w:val="20"/>
          <w:szCs w:val="20"/>
        </w:rPr>
      </w:pPr>
      <w:r w:rsidRPr="00CA23A9">
        <w:rPr>
          <w:b/>
          <w:bCs/>
          <w:sz w:val="20"/>
          <w:szCs w:val="20"/>
        </w:rPr>
        <w:t>A.</w:t>
      </w:r>
      <w:r w:rsidRPr="00CA23A9">
        <w:rPr>
          <w:sz w:val="20"/>
          <w:szCs w:val="20"/>
        </w:rPr>
        <w:t xml:space="preserve"> From </w:t>
      </w:r>
      <w:r w:rsidRPr="00CA23A9">
        <w:rPr>
          <w:b/>
          <w:bCs/>
          <w:sz w:val="20"/>
          <w:szCs w:val="20"/>
        </w:rPr>
        <w:t>October 7, 2025, through October 10, 2025</w:t>
      </w:r>
      <w:r w:rsidRPr="00CA23A9">
        <w:rPr>
          <w:sz w:val="20"/>
          <w:szCs w:val="20"/>
        </w:rPr>
        <w:t xml:space="preserve">, JRA, in cooperation with various other organizations, is hosting the </w:t>
      </w:r>
      <w:r w:rsidRPr="00CA23A9">
        <w:rPr>
          <w:b/>
          <w:bCs/>
          <w:sz w:val="20"/>
          <w:szCs w:val="20"/>
        </w:rPr>
        <w:t>2025 Junior Roughstock Association Finals Rodeo</w:t>
      </w:r>
      <w:r w:rsidRPr="00CA23A9">
        <w:rPr>
          <w:sz w:val="20"/>
          <w:szCs w:val="20"/>
        </w:rPr>
        <w:t xml:space="preserve"> (the “Event”) at the </w:t>
      </w:r>
      <w:r w:rsidRPr="00CA23A9">
        <w:rPr>
          <w:b/>
          <w:bCs/>
          <w:sz w:val="20"/>
          <w:szCs w:val="20"/>
        </w:rPr>
        <w:t>Everett Bowman Arena</w:t>
      </w:r>
      <w:r w:rsidRPr="00CA23A9">
        <w:rPr>
          <w:sz w:val="20"/>
          <w:szCs w:val="20"/>
        </w:rPr>
        <w:t xml:space="preserve"> (the “EBA”) in Wickenburg, </w:t>
      </w:r>
      <w:r w:rsidR="000F7975">
        <w:rPr>
          <w:sz w:val="20"/>
          <w:szCs w:val="20"/>
        </w:rPr>
        <w:t>ARIZONA</w:t>
      </w:r>
      <w:r w:rsidRPr="00CA23A9">
        <w:rPr>
          <w:sz w:val="20"/>
          <w:szCs w:val="20"/>
        </w:rPr>
        <w:t>.</w:t>
      </w:r>
    </w:p>
    <w:p w14:paraId="004123A0" w14:textId="77777777" w:rsidR="00CA23A9" w:rsidRPr="00CA23A9" w:rsidRDefault="00CA23A9" w:rsidP="00CA23A9">
      <w:pPr>
        <w:rPr>
          <w:sz w:val="20"/>
          <w:szCs w:val="20"/>
        </w:rPr>
      </w:pPr>
      <w:r w:rsidRPr="00CA23A9">
        <w:rPr>
          <w:b/>
          <w:bCs/>
          <w:sz w:val="20"/>
          <w:szCs w:val="20"/>
        </w:rPr>
        <w:t>B.</w:t>
      </w:r>
      <w:r w:rsidRPr="00CA23A9">
        <w:rPr>
          <w:sz w:val="20"/>
          <w:szCs w:val="20"/>
        </w:rPr>
        <w:t xml:space="preserve"> Credential Holder will conduct certain activities during the Event that require access to restricted areas of the EBA that are not open to the general public. JRA is issuing to Credential Holder a credential (the “Credential”) to allow such access.</w:t>
      </w:r>
    </w:p>
    <w:p w14:paraId="5E00529E" w14:textId="77777777" w:rsidR="00CA23A9" w:rsidRPr="00CA23A9" w:rsidRDefault="000F7975" w:rsidP="00CA23A9">
      <w:pPr>
        <w:rPr>
          <w:sz w:val="20"/>
          <w:szCs w:val="20"/>
        </w:rPr>
      </w:pPr>
      <w:r>
        <w:rPr>
          <w:sz w:val="20"/>
          <w:szCs w:val="20"/>
        </w:rPr>
        <w:pict w14:anchorId="660257F4">
          <v:rect id="_x0000_i1026" style="width:0;height:1.5pt" o:hrstd="t" o:hr="t" fillcolor="#a0a0a0" stroked="f"/>
        </w:pict>
      </w:r>
    </w:p>
    <w:p w14:paraId="4D6E58A8" w14:textId="77777777" w:rsidR="00CA23A9" w:rsidRPr="00CA23A9" w:rsidRDefault="00CA23A9" w:rsidP="00CA23A9">
      <w:pPr>
        <w:rPr>
          <w:b/>
          <w:bCs/>
          <w:sz w:val="20"/>
          <w:szCs w:val="20"/>
        </w:rPr>
      </w:pPr>
      <w:r w:rsidRPr="00CA23A9">
        <w:rPr>
          <w:b/>
          <w:bCs/>
          <w:sz w:val="20"/>
          <w:szCs w:val="20"/>
        </w:rPr>
        <w:t>AGREEMENT</w:t>
      </w:r>
    </w:p>
    <w:p w14:paraId="1D4C046B" w14:textId="77777777" w:rsidR="00CA23A9" w:rsidRPr="00CA23A9" w:rsidRDefault="00CA23A9" w:rsidP="00CA23A9">
      <w:pPr>
        <w:rPr>
          <w:sz w:val="20"/>
          <w:szCs w:val="20"/>
        </w:rPr>
      </w:pPr>
      <w:r w:rsidRPr="00CA23A9">
        <w:rPr>
          <w:b/>
          <w:bCs/>
          <w:sz w:val="20"/>
          <w:szCs w:val="20"/>
        </w:rPr>
        <w:t>NOW, THEREFORE</w:t>
      </w:r>
      <w:r w:rsidRPr="00CA23A9">
        <w:rPr>
          <w:sz w:val="20"/>
          <w:szCs w:val="20"/>
        </w:rPr>
        <w:t>, for good and valuable consideration, the receipt and sufficiency of which are hereby acknowledged, the parties agree as follows:</w:t>
      </w:r>
    </w:p>
    <w:p w14:paraId="0852391E" w14:textId="77777777" w:rsidR="00CA23A9" w:rsidRPr="00CA23A9" w:rsidRDefault="00CA23A9" w:rsidP="00CA23A9">
      <w:pPr>
        <w:rPr>
          <w:b/>
          <w:bCs/>
          <w:sz w:val="20"/>
          <w:szCs w:val="20"/>
        </w:rPr>
      </w:pPr>
      <w:r w:rsidRPr="00CA23A9">
        <w:rPr>
          <w:b/>
          <w:bCs/>
          <w:sz w:val="20"/>
          <w:szCs w:val="20"/>
        </w:rPr>
        <w:t>1. Credential Understanding</w:t>
      </w:r>
    </w:p>
    <w:p w14:paraId="5565E8DF" w14:textId="77777777" w:rsidR="00CA23A9" w:rsidRPr="00CA23A9" w:rsidRDefault="00CA23A9" w:rsidP="00CA23A9">
      <w:pPr>
        <w:rPr>
          <w:sz w:val="20"/>
          <w:szCs w:val="20"/>
        </w:rPr>
      </w:pPr>
      <w:r w:rsidRPr="00CA23A9">
        <w:rPr>
          <w:sz w:val="20"/>
          <w:szCs w:val="20"/>
        </w:rPr>
        <w:t>Credential Holder acknowledges and agrees that:</w:t>
      </w:r>
      <w:r w:rsidRPr="00CA23A9">
        <w:rPr>
          <w:sz w:val="20"/>
          <w:szCs w:val="20"/>
        </w:rPr>
        <w:br/>
        <w:t>a. Credential Holder has received the Credential;</w:t>
      </w:r>
      <w:r w:rsidRPr="00CA23A9">
        <w:rPr>
          <w:sz w:val="20"/>
          <w:szCs w:val="20"/>
        </w:rPr>
        <w:br/>
        <w:t>b. Credential Holder must wear the Credential at all times in plain sight;</w:t>
      </w:r>
      <w:r w:rsidRPr="00CA23A9">
        <w:rPr>
          <w:sz w:val="20"/>
          <w:szCs w:val="20"/>
        </w:rPr>
        <w:br/>
        <w:t>c. The Credential is non-transferable and for the Credential Holder’s personal use only; and</w:t>
      </w:r>
      <w:r w:rsidRPr="00CA23A9">
        <w:rPr>
          <w:sz w:val="20"/>
          <w:szCs w:val="20"/>
        </w:rPr>
        <w:br/>
        <w:t>d. Failure to comply with this Section shall constitute misuse of the Credential and may result in ejection from the EBA and removal/rescission of the Credential.</w:t>
      </w:r>
    </w:p>
    <w:p w14:paraId="41A39CF6" w14:textId="77777777" w:rsidR="00CA23A9" w:rsidRPr="00CA23A9" w:rsidRDefault="000F7975" w:rsidP="00CA23A9">
      <w:pPr>
        <w:rPr>
          <w:sz w:val="20"/>
          <w:szCs w:val="20"/>
        </w:rPr>
      </w:pPr>
      <w:r>
        <w:rPr>
          <w:sz w:val="20"/>
          <w:szCs w:val="20"/>
        </w:rPr>
        <w:pict w14:anchorId="02F51179">
          <v:rect id="_x0000_i1027" style="width:0;height:1.5pt" o:hrstd="t" o:hr="t" fillcolor="#a0a0a0" stroked="f"/>
        </w:pict>
      </w:r>
    </w:p>
    <w:p w14:paraId="3CC95D10" w14:textId="77777777" w:rsidR="00CA23A9" w:rsidRPr="00CA23A9" w:rsidRDefault="00CA23A9" w:rsidP="00CA23A9">
      <w:pPr>
        <w:rPr>
          <w:b/>
          <w:bCs/>
          <w:sz w:val="20"/>
          <w:szCs w:val="20"/>
        </w:rPr>
      </w:pPr>
      <w:r w:rsidRPr="00CA23A9">
        <w:rPr>
          <w:b/>
          <w:bCs/>
          <w:sz w:val="20"/>
          <w:szCs w:val="20"/>
        </w:rPr>
        <w:t>2. Release by Credential Holder</w:t>
      </w:r>
    </w:p>
    <w:p w14:paraId="14040489" w14:textId="77777777" w:rsidR="00CA23A9" w:rsidRPr="00CA23A9" w:rsidRDefault="00CA23A9" w:rsidP="00CA23A9">
      <w:pPr>
        <w:rPr>
          <w:sz w:val="20"/>
          <w:szCs w:val="20"/>
        </w:rPr>
      </w:pPr>
      <w:r w:rsidRPr="00CA23A9">
        <w:rPr>
          <w:sz w:val="20"/>
          <w:szCs w:val="20"/>
        </w:rPr>
        <w:t xml:space="preserve">In consideration of JRA issuing the Credential, Credential Holder fully and forever releases, waives, relinquishes, and discharges JRA, the EBA, all Event sponsors, and each of their respective attorneys, representatives, partners, directors, officers, members, managers, shareholders, trustees, beneficiaries, agents, employees, contractors, affiliates, predecessors, successors, and assigns (collectively, the </w:t>
      </w:r>
      <w:r w:rsidRPr="00CA23A9">
        <w:rPr>
          <w:b/>
          <w:bCs/>
          <w:sz w:val="20"/>
          <w:szCs w:val="20"/>
        </w:rPr>
        <w:t>“Released Parties”</w:t>
      </w:r>
      <w:r w:rsidRPr="00CA23A9">
        <w:rPr>
          <w:sz w:val="20"/>
          <w:szCs w:val="20"/>
        </w:rPr>
        <w:t>) from any and all claims, causes of action, damages, liabilities, losses, or demands of any kind (whether known or unknown, present or future) arising out of or related to Credential Holder’s conduct or participation in the Event.</w:t>
      </w:r>
    </w:p>
    <w:p w14:paraId="792EA773" w14:textId="77777777" w:rsidR="00CA23A9" w:rsidRPr="00CA23A9" w:rsidRDefault="000F7975" w:rsidP="00CA23A9">
      <w:pPr>
        <w:rPr>
          <w:sz w:val="20"/>
          <w:szCs w:val="20"/>
        </w:rPr>
      </w:pPr>
      <w:r>
        <w:rPr>
          <w:sz w:val="20"/>
          <w:szCs w:val="20"/>
        </w:rPr>
        <w:pict w14:anchorId="0EABFCAB">
          <v:rect id="_x0000_i1028" style="width:0;height:1.5pt" o:hrstd="t" o:hr="t" fillcolor="#a0a0a0" stroked="f"/>
        </w:pict>
      </w:r>
    </w:p>
    <w:p w14:paraId="0DDAE303" w14:textId="77777777" w:rsidR="00CA23A9" w:rsidRPr="00CA23A9" w:rsidRDefault="00CA23A9" w:rsidP="00CA23A9">
      <w:pPr>
        <w:rPr>
          <w:b/>
          <w:bCs/>
          <w:sz w:val="20"/>
          <w:szCs w:val="20"/>
        </w:rPr>
      </w:pPr>
      <w:r w:rsidRPr="00CA23A9">
        <w:rPr>
          <w:b/>
          <w:bCs/>
          <w:sz w:val="20"/>
          <w:szCs w:val="20"/>
        </w:rPr>
        <w:lastRenderedPageBreak/>
        <w:t>3. Credential Holder’s Acknowledgment</w:t>
      </w:r>
    </w:p>
    <w:p w14:paraId="2143A3DD" w14:textId="77777777" w:rsidR="00CA23A9" w:rsidRPr="00CA23A9" w:rsidRDefault="00CA23A9" w:rsidP="00CA23A9">
      <w:pPr>
        <w:rPr>
          <w:sz w:val="20"/>
          <w:szCs w:val="20"/>
        </w:rPr>
      </w:pPr>
      <w:r w:rsidRPr="00CA23A9">
        <w:rPr>
          <w:sz w:val="20"/>
          <w:szCs w:val="20"/>
        </w:rPr>
        <w:t>Credential Holder expressly acknowledges that unknown or undiscovered facts may exist regarding matters released herein, and agrees that this Release extends to all such claims regardless of whether such facts are known at the time of signing.</w:t>
      </w:r>
    </w:p>
    <w:p w14:paraId="3AF20A7C" w14:textId="77777777" w:rsidR="00CA23A9" w:rsidRPr="00CA23A9" w:rsidRDefault="000F7975" w:rsidP="00CA23A9">
      <w:pPr>
        <w:rPr>
          <w:sz w:val="20"/>
          <w:szCs w:val="20"/>
        </w:rPr>
      </w:pPr>
      <w:r>
        <w:rPr>
          <w:sz w:val="20"/>
          <w:szCs w:val="20"/>
        </w:rPr>
        <w:pict w14:anchorId="7708D7F4">
          <v:rect id="_x0000_i1029" style="width:0;height:1.5pt" o:hrstd="t" o:hr="t" fillcolor="#a0a0a0" stroked="f"/>
        </w:pict>
      </w:r>
    </w:p>
    <w:p w14:paraId="72890F89" w14:textId="77777777" w:rsidR="00CA23A9" w:rsidRPr="00CA23A9" w:rsidRDefault="00CA23A9" w:rsidP="00CA23A9">
      <w:pPr>
        <w:rPr>
          <w:b/>
          <w:bCs/>
          <w:sz w:val="20"/>
          <w:szCs w:val="20"/>
        </w:rPr>
      </w:pPr>
      <w:r w:rsidRPr="00CA23A9">
        <w:rPr>
          <w:b/>
          <w:bCs/>
          <w:sz w:val="20"/>
          <w:szCs w:val="20"/>
        </w:rPr>
        <w:t>4. Indemnification</w:t>
      </w:r>
    </w:p>
    <w:p w14:paraId="0F25E878" w14:textId="77777777" w:rsidR="00CA23A9" w:rsidRPr="00CA23A9" w:rsidRDefault="00CA23A9" w:rsidP="00CA23A9">
      <w:pPr>
        <w:rPr>
          <w:sz w:val="20"/>
          <w:szCs w:val="20"/>
        </w:rPr>
      </w:pPr>
      <w:r w:rsidRPr="00CA23A9">
        <w:rPr>
          <w:sz w:val="20"/>
          <w:szCs w:val="20"/>
        </w:rPr>
        <w:t>Credential Holder agrees to indemnify, defend, and hold harmless the Released Parties against any claims or liabilities brought in connection with matters covered by this Release.</w:t>
      </w:r>
    </w:p>
    <w:p w14:paraId="3C53F413" w14:textId="77777777" w:rsidR="00CA23A9" w:rsidRPr="00CA23A9" w:rsidRDefault="000F7975" w:rsidP="00CA23A9">
      <w:pPr>
        <w:rPr>
          <w:sz w:val="20"/>
          <w:szCs w:val="20"/>
        </w:rPr>
      </w:pPr>
      <w:r>
        <w:rPr>
          <w:sz w:val="20"/>
          <w:szCs w:val="20"/>
        </w:rPr>
        <w:pict w14:anchorId="2951A673">
          <v:rect id="_x0000_i1030" style="width:0;height:1.5pt" o:hrstd="t" o:hr="t" fillcolor="#a0a0a0" stroked="f"/>
        </w:pict>
      </w:r>
    </w:p>
    <w:p w14:paraId="7BC74461" w14:textId="77777777" w:rsidR="00CA23A9" w:rsidRPr="00CA23A9" w:rsidRDefault="00CA23A9" w:rsidP="00CA23A9">
      <w:pPr>
        <w:rPr>
          <w:b/>
          <w:bCs/>
          <w:sz w:val="20"/>
          <w:szCs w:val="20"/>
        </w:rPr>
      </w:pPr>
      <w:r w:rsidRPr="00CA23A9">
        <w:rPr>
          <w:b/>
          <w:bCs/>
          <w:sz w:val="20"/>
          <w:szCs w:val="20"/>
        </w:rPr>
        <w:t>5. Notices</w:t>
      </w:r>
    </w:p>
    <w:p w14:paraId="26974862" w14:textId="77777777" w:rsidR="00CA23A9" w:rsidRPr="00CA23A9" w:rsidRDefault="00CA23A9" w:rsidP="00CA23A9">
      <w:pPr>
        <w:rPr>
          <w:sz w:val="20"/>
          <w:szCs w:val="20"/>
        </w:rPr>
      </w:pPr>
      <w:r w:rsidRPr="00CA23A9">
        <w:rPr>
          <w:sz w:val="20"/>
          <w:szCs w:val="20"/>
        </w:rPr>
        <w:t>Any notices required under this Release shall be in writing and delivered personally, by nationally recognized overnight courier, or by facsimile to the address provided above. Notice is deemed received upon actual delivery or confirmation of transmission. Either party may change its notice address by written notice to the other.</w:t>
      </w:r>
    </w:p>
    <w:p w14:paraId="14C096EB" w14:textId="77777777" w:rsidR="00CA23A9" w:rsidRPr="00CA23A9" w:rsidRDefault="000F7975" w:rsidP="00CA23A9">
      <w:pPr>
        <w:rPr>
          <w:sz w:val="20"/>
          <w:szCs w:val="20"/>
        </w:rPr>
      </w:pPr>
      <w:r>
        <w:rPr>
          <w:sz w:val="20"/>
          <w:szCs w:val="20"/>
        </w:rPr>
        <w:pict w14:anchorId="3C6B5887">
          <v:rect id="_x0000_i1031" style="width:0;height:1.5pt" o:hrstd="t" o:hr="t" fillcolor="#a0a0a0" stroked="f"/>
        </w:pict>
      </w:r>
    </w:p>
    <w:p w14:paraId="3B6A7B81" w14:textId="77777777" w:rsidR="00CA23A9" w:rsidRPr="00CA23A9" w:rsidRDefault="00CA23A9" w:rsidP="00CA23A9">
      <w:pPr>
        <w:rPr>
          <w:b/>
          <w:bCs/>
          <w:sz w:val="20"/>
          <w:szCs w:val="20"/>
        </w:rPr>
      </w:pPr>
      <w:r w:rsidRPr="00CA23A9">
        <w:rPr>
          <w:b/>
          <w:bCs/>
          <w:sz w:val="20"/>
          <w:szCs w:val="20"/>
        </w:rPr>
        <w:t>6. Miscellaneous</w:t>
      </w:r>
    </w:p>
    <w:p w14:paraId="7F10DE4C" w14:textId="77777777" w:rsidR="00CA23A9" w:rsidRPr="00CA23A9" w:rsidRDefault="00CA23A9" w:rsidP="00CA23A9">
      <w:pPr>
        <w:numPr>
          <w:ilvl w:val="0"/>
          <w:numId w:val="1"/>
        </w:numPr>
        <w:rPr>
          <w:sz w:val="20"/>
          <w:szCs w:val="20"/>
        </w:rPr>
      </w:pPr>
      <w:r w:rsidRPr="00CA23A9">
        <w:rPr>
          <w:sz w:val="20"/>
          <w:szCs w:val="20"/>
        </w:rPr>
        <w:t>If any provision of this Release is found invalid, the remaining provisions shall remain in full force and effect.</w:t>
      </w:r>
    </w:p>
    <w:p w14:paraId="452D1307" w14:textId="77777777" w:rsidR="00CA23A9" w:rsidRPr="00CA23A9" w:rsidRDefault="00CA23A9" w:rsidP="00CA23A9">
      <w:pPr>
        <w:numPr>
          <w:ilvl w:val="0"/>
          <w:numId w:val="1"/>
        </w:numPr>
        <w:rPr>
          <w:sz w:val="20"/>
          <w:szCs w:val="20"/>
        </w:rPr>
      </w:pPr>
      <w:r w:rsidRPr="00CA23A9">
        <w:rPr>
          <w:sz w:val="20"/>
          <w:szCs w:val="20"/>
        </w:rPr>
        <w:t>This Release may only be modified in writing, signed by both parties.</w:t>
      </w:r>
    </w:p>
    <w:p w14:paraId="6D3FD27A" w14:textId="77777777" w:rsidR="00CA23A9" w:rsidRPr="00CA23A9" w:rsidRDefault="00CA23A9" w:rsidP="00CA23A9">
      <w:pPr>
        <w:numPr>
          <w:ilvl w:val="0"/>
          <w:numId w:val="1"/>
        </w:numPr>
        <w:rPr>
          <w:sz w:val="20"/>
          <w:szCs w:val="20"/>
        </w:rPr>
      </w:pPr>
      <w:r w:rsidRPr="00CA23A9">
        <w:rPr>
          <w:sz w:val="20"/>
          <w:szCs w:val="20"/>
        </w:rPr>
        <w:t>Headings are for reference only and do not affect interpretation.</w:t>
      </w:r>
    </w:p>
    <w:p w14:paraId="447A717B" w14:textId="5FCECAA5" w:rsidR="00CA23A9" w:rsidRPr="00CA23A9" w:rsidRDefault="00CA23A9" w:rsidP="00CA23A9">
      <w:pPr>
        <w:numPr>
          <w:ilvl w:val="0"/>
          <w:numId w:val="1"/>
        </w:numPr>
        <w:rPr>
          <w:sz w:val="20"/>
          <w:szCs w:val="20"/>
        </w:rPr>
      </w:pPr>
      <w:r w:rsidRPr="00CA23A9">
        <w:rPr>
          <w:sz w:val="20"/>
          <w:szCs w:val="20"/>
        </w:rPr>
        <w:t xml:space="preserve">This Release is governed by the laws of the </w:t>
      </w:r>
      <w:r w:rsidRPr="00CA23A9">
        <w:rPr>
          <w:b/>
          <w:bCs/>
          <w:sz w:val="20"/>
          <w:szCs w:val="20"/>
        </w:rPr>
        <w:t>State of Arizona</w:t>
      </w:r>
      <w:r w:rsidRPr="00CA23A9">
        <w:rPr>
          <w:sz w:val="20"/>
          <w:szCs w:val="20"/>
        </w:rPr>
        <w:t>.</w:t>
      </w:r>
    </w:p>
    <w:p w14:paraId="28604989" w14:textId="77777777" w:rsidR="00CA23A9" w:rsidRPr="00CA23A9" w:rsidRDefault="00CA23A9" w:rsidP="00CA23A9">
      <w:pPr>
        <w:numPr>
          <w:ilvl w:val="0"/>
          <w:numId w:val="1"/>
        </w:numPr>
        <w:rPr>
          <w:sz w:val="20"/>
          <w:szCs w:val="20"/>
        </w:rPr>
      </w:pPr>
      <w:r w:rsidRPr="00CA23A9">
        <w:rPr>
          <w:sz w:val="20"/>
          <w:szCs w:val="20"/>
        </w:rPr>
        <w:t xml:space="preserve">Jurisdiction and venue for disputes lie exclusively in the </w:t>
      </w:r>
      <w:r w:rsidRPr="00CA23A9">
        <w:rPr>
          <w:b/>
          <w:bCs/>
          <w:sz w:val="20"/>
          <w:szCs w:val="20"/>
        </w:rPr>
        <w:t>state and federal courts of Maricopa County, Arizona</w:t>
      </w:r>
      <w:r w:rsidRPr="00CA23A9">
        <w:rPr>
          <w:sz w:val="20"/>
          <w:szCs w:val="20"/>
        </w:rPr>
        <w:t>.</w:t>
      </w:r>
    </w:p>
    <w:p w14:paraId="10F1DC0C" w14:textId="77777777" w:rsidR="00CA23A9" w:rsidRPr="00CA23A9" w:rsidRDefault="000F7975" w:rsidP="00CA23A9">
      <w:pPr>
        <w:rPr>
          <w:sz w:val="20"/>
          <w:szCs w:val="20"/>
        </w:rPr>
      </w:pPr>
      <w:r>
        <w:rPr>
          <w:sz w:val="20"/>
          <w:szCs w:val="20"/>
        </w:rPr>
        <w:pict w14:anchorId="7D300935">
          <v:rect id="_x0000_i1032" style="width:0;height:1.5pt" o:hrstd="t" o:hr="t" fillcolor="#a0a0a0" stroked="f"/>
        </w:pict>
      </w:r>
    </w:p>
    <w:p w14:paraId="29937295" w14:textId="77777777" w:rsidR="00CA23A9" w:rsidRPr="00CA23A9" w:rsidRDefault="00CA23A9" w:rsidP="00CA23A9">
      <w:pPr>
        <w:jc w:val="center"/>
        <w:rPr>
          <w:b/>
          <w:bCs/>
          <w:sz w:val="20"/>
          <w:szCs w:val="20"/>
        </w:rPr>
      </w:pPr>
      <w:r w:rsidRPr="00CA23A9">
        <w:rPr>
          <w:b/>
          <w:bCs/>
          <w:sz w:val="20"/>
          <w:szCs w:val="20"/>
        </w:rPr>
        <w:t>IN WITNESS WHEREOF</w:t>
      </w:r>
    </w:p>
    <w:p w14:paraId="189F76C7" w14:textId="77777777" w:rsidR="00CA23A9" w:rsidRPr="00CA23A9" w:rsidRDefault="00CA23A9" w:rsidP="00CA23A9">
      <w:pPr>
        <w:jc w:val="center"/>
        <w:rPr>
          <w:sz w:val="20"/>
          <w:szCs w:val="20"/>
        </w:rPr>
      </w:pPr>
      <w:r w:rsidRPr="00CA23A9">
        <w:rPr>
          <w:sz w:val="20"/>
          <w:szCs w:val="20"/>
        </w:rPr>
        <w:t>The undersigned has executed this Release as of the Effective Date.</w:t>
      </w:r>
    </w:p>
    <w:p w14:paraId="389C700F" w14:textId="77777777" w:rsidR="00CA23A9" w:rsidRPr="00CA23A9" w:rsidRDefault="00CA23A9" w:rsidP="00CA23A9">
      <w:pPr>
        <w:jc w:val="center"/>
        <w:rPr>
          <w:sz w:val="20"/>
          <w:szCs w:val="20"/>
        </w:rPr>
      </w:pPr>
      <w:r w:rsidRPr="00CA23A9">
        <w:rPr>
          <w:b/>
          <w:bCs/>
          <w:sz w:val="20"/>
          <w:szCs w:val="20"/>
        </w:rPr>
        <w:t>CREDENTIAL HOLDER (Parent/Guardian):</w:t>
      </w:r>
    </w:p>
    <w:p w14:paraId="6483B907" w14:textId="77777777" w:rsidR="00CA23A9" w:rsidRPr="00CA23A9" w:rsidRDefault="00CA23A9" w:rsidP="00CA23A9">
      <w:pPr>
        <w:jc w:val="center"/>
        <w:rPr>
          <w:sz w:val="20"/>
          <w:szCs w:val="20"/>
        </w:rPr>
      </w:pPr>
      <w:r w:rsidRPr="00CA23A9">
        <w:rPr>
          <w:sz w:val="20"/>
          <w:szCs w:val="20"/>
        </w:rPr>
        <w:t>Name: _________________________________________</w:t>
      </w:r>
      <w:r w:rsidRPr="00CA23A9">
        <w:rPr>
          <w:sz w:val="20"/>
          <w:szCs w:val="20"/>
        </w:rPr>
        <w:br/>
        <w:t>Signature: ______________________________________</w:t>
      </w:r>
      <w:r w:rsidRPr="00CA23A9">
        <w:rPr>
          <w:sz w:val="20"/>
          <w:szCs w:val="20"/>
        </w:rPr>
        <w:br/>
        <w:t>Date: __________________________________________</w:t>
      </w:r>
    </w:p>
    <w:p w14:paraId="4AE12702" w14:textId="0B627CF1" w:rsidR="009C6D25" w:rsidRPr="00CA23A9" w:rsidRDefault="009C6D25" w:rsidP="00CA23A9"/>
    <w:sectPr w:rsidR="009C6D25" w:rsidRPr="00CA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C06FB"/>
    <w:multiLevelType w:val="multilevel"/>
    <w:tmpl w:val="D15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53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25"/>
    <w:rsid w:val="000F7975"/>
    <w:rsid w:val="00542B6C"/>
    <w:rsid w:val="00641642"/>
    <w:rsid w:val="009C6D25"/>
    <w:rsid w:val="00CA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80B1504"/>
  <w15:chartTrackingRefBased/>
  <w15:docId w15:val="{AF60B97E-697C-4290-B9D0-80D259E1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D25"/>
    <w:rPr>
      <w:rFonts w:eastAsiaTheme="majorEastAsia" w:cstheme="majorBidi"/>
      <w:color w:val="272727" w:themeColor="text1" w:themeTint="D8"/>
    </w:rPr>
  </w:style>
  <w:style w:type="paragraph" w:styleId="Title">
    <w:name w:val="Title"/>
    <w:basedOn w:val="Normal"/>
    <w:next w:val="Normal"/>
    <w:link w:val="TitleChar"/>
    <w:uiPriority w:val="10"/>
    <w:qFormat/>
    <w:rsid w:val="009C6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D25"/>
    <w:pPr>
      <w:spacing w:before="160"/>
      <w:jc w:val="center"/>
    </w:pPr>
    <w:rPr>
      <w:i/>
      <w:iCs/>
      <w:color w:val="404040" w:themeColor="text1" w:themeTint="BF"/>
    </w:rPr>
  </w:style>
  <w:style w:type="character" w:customStyle="1" w:styleId="QuoteChar">
    <w:name w:val="Quote Char"/>
    <w:basedOn w:val="DefaultParagraphFont"/>
    <w:link w:val="Quote"/>
    <w:uiPriority w:val="29"/>
    <w:rsid w:val="009C6D25"/>
    <w:rPr>
      <w:i/>
      <w:iCs/>
      <w:color w:val="404040" w:themeColor="text1" w:themeTint="BF"/>
    </w:rPr>
  </w:style>
  <w:style w:type="paragraph" w:styleId="ListParagraph">
    <w:name w:val="List Paragraph"/>
    <w:basedOn w:val="Normal"/>
    <w:uiPriority w:val="34"/>
    <w:qFormat/>
    <w:rsid w:val="009C6D25"/>
    <w:pPr>
      <w:ind w:left="720"/>
      <w:contextualSpacing/>
    </w:pPr>
  </w:style>
  <w:style w:type="character" w:styleId="IntenseEmphasis">
    <w:name w:val="Intense Emphasis"/>
    <w:basedOn w:val="DefaultParagraphFont"/>
    <w:uiPriority w:val="21"/>
    <w:qFormat/>
    <w:rsid w:val="009C6D25"/>
    <w:rPr>
      <w:i/>
      <w:iCs/>
      <w:color w:val="0F4761" w:themeColor="accent1" w:themeShade="BF"/>
    </w:rPr>
  </w:style>
  <w:style w:type="paragraph" w:styleId="IntenseQuote">
    <w:name w:val="Intense Quote"/>
    <w:basedOn w:val="Normal"/>
    <w:next w:val="Normal"/>
    <w:link w:val="IntenseQuoteChar"/>
    <w:uiPriority w:val="30"/>
    <w:qFormat/>
    <w:rsid w:val="009C6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D25"/>
    <w:rPr>
      <w:i/>
      <w:iCs/>
      <w:color w:val="0F4761" w:themeColor="accent1" w:themeShade="BF"/>
    </w:rPr>
  </w:style>
  <w:style w:type="character" w:styleId="IntenseReference">
    <w:name w:val="Intense Reference"/>
    <w:basedOn w:val="DefaultParagraphFont"/>
    <w:uiPriority w:val="32"/>
    <w:qFormat/>
    <w:rsid w:val="009C6D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Lacie DeMers</dc:creator>
  <cp:keywords/>
  <dc:description/>
  <cp:lastModifiedBy>Lacie DeMers</cp:lastModifiedBy>
  <cp:revision>2</cp:revision>
  <dcterms:created xsi:type="dcterms:W3CDTF">2025-08-20T16:51:00Z</dcterms:created>
  <dcterms:modified xsi:type="dcterms:W3CDTF">2025-08-20T17:24:00Z</dcterms:modified>
</cp:coreProperties>
</file>