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4EF5" w14:textId="09D52062" w:rsidR="00B3285C" w:rsidRPr="00B3285C" w:rsidRDefault="00B3285C" w:rsidP="00B3285C">
      <w:pPr>
        <w:spacing w:after="60"/>
        <w:jc w:val="center"/>
        <w:rPr>
          <w:i/>
          <w:iCs/>
          <w:color w:val="666666"/>
          <w:sz w:val="22"/>
          <w:szCs w:val="22"/>
          <w:lang w:val="en-GB"/>
        </w:rPr>
      </w:pPr>
      <w:r>
        <w:rPr>
          <w:i/>
          <w:iCs/>
          <w:color w:val="666666"/>
          <w:sz w:val="22"/>
          <w:szCs w:val="22"/>
          <w:lang w:val="en-GB"/>
        </w:rPr>
        <w:br/>
      </w:r>
      <w:r w:rsidRPr="00B3285C">
        <w:rPr>
          <w:rFonts w:ascii="Segoe UI Symbol" w:hAnsi="Segoe UI Symbol" w:cs="Segoe UI Symbol"/>
          <w:i/>
          <w:iCs/>
          <w:color w:val="666666"/>
          <w:sz w:val="22"/>
          <w:szCs w:val="22"/>
          <w:lang w:val="en-GB"/>
        </w:rPr>
        <w:t>⚠</w:t>
      </w:r>
      <w:r w:rsidRPr="00B3285C">
        <w:rPr>
          <w:i/>
          <w:iCs/>
          <w:color w:val="666666"/>
          <w:sz w:val="22"/>
          <w:szCs w:val="22"/>
          <w:lang w:val="en-GB"/>
        </w:rPr>
        <w:t xml:space="preserve"> This document is a </w:t>
      </w:r>
      <w:r w:rsidR="00134EBB">
        <w:rPr>
          <w:i/>
          <w:iCs/>
          <w:color w:val="666666"/>
          <w:sz w:val="22"/>
          <w:szCs w:val="22"/>
          <w:lang w:val="en-GB"/>
        </w:rPr>
        <w:t xml:space="preserve">reference overview </w:t>
      </w:r>
      <w:r w:rsidRPr="00B3285C">
        <w:rPr>
          <w:i/>
          <w:iCs/>
          <w:color w:val="666666"/>
          <w:sz w:val="22"/>
          <w:szCs w:val="22"/>
          <w:lang w:val="en-GB"/>
        </w:rPr>
        <w:t>prepared for the Council of Repair session</w:t>
      </w:r>
      <w:r w:rsidR="00134EBB">
        <w:rPr>
          <w:i/>
          <w:iCs/>
          <w:color w:val="666666"/>
          <w:sz w:val="22"/>
          <w:szCs w:val="22"/>
          <w:lang w:val="en-GB"/>
        </w:rPr>
        <w:t xml:space="preserve"> to facilitate discussion</w:t>
      </w:r>
      <w:r w:rsidRPr="00B3285C">
        <w:rPr>
          <w:i/>
          <w:iCs/>
          <w:color w:val="666666"/>
          <w:sz w:val="22"/>
          <w:szCs w:val="22"/>
          <w:lang w:val="en-GB"/>
        </w:rPr>
        <w:t>.</w:t>
      </w:r>
      <w:r>
        <w:rPr>
          <w:i/>
          <w:iCs/>
          <w:color w:val="666666"/>
          <w:sz w:val="22"/>
          <w:szCs w:val="22"/>
          <w:lang w:val="en-GB"/>
        </w:rPr>
        <w:br/>
      </w:r>
      <w:r w:rsidRPr="00B3285C">
        <w:rPr>
          <w:i/>
          <w:iCs/>
          <w:color w:val="666666"/>
          <w:sz w:val="22"/>
          <w:szCs w:val="22"/>
          <w:lang w:val="en-GB"/>
        </w:rPr>
        <w:t xml:space="preserve"> It is NOT legal advice, nor complete.</w:t>
      </w:r>
      <w:r w:rsidR="00FB5C4A">
        <w:rPr>
          <w:i/>
          <w:iCs/>
          <w:color w:val="666666"/>
          <w:sz w:val="22"/>
          <w:szCs w:val="22"/>
          <w:lang w:val="en-GB"/>
        </w:rPr>
        <w:t xml:space="preserve"> </w:t>
      </w:r>
      <w:r w:rsidR="00FB5C4A" w:rsidRPr="00B3285C">
        <w:rPr>
          <w:rFonts w:ascii="Segoe UI Symbol" w:hAnsi="Segoe UI Symbol" w:cs="Segoe UI Symbol"/>
          <w:i/>
          <w:iCs/>
          <w:color w:val="666666"/>
          <w:sz w:val="22"/>
          <w:szCs w:val="22"/>
          <w:lang w:val="en-GB"/>
        </w:rPr>
        <w:t>⚠</w:t>
      </w:r>
    </w:p>
    <w:p w14:paraId="66699D2B" w14:textId="77777777" w:rsidR="00AD77A2" w:rsidRDefault="00800035">
      <w:pPr>
        <w:pStyle w:val="Kop1"/>
      </w:pPr>
      <w:r>
        <w:t>1. Key Framework Regulations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99"/>
        <w:gridCol w:w="2200"/>
        <w:gridCol w:w="5971"/>
      </w:tblGrid>
      <w:tr w:rsidR="00AD77A2" w14:paraId="764B9A91" w14:textId="77777777" w:rsidTr="00B76E2D">
        <w:tc>
          <w:tcPr>
            <w:tcW w:w="2599" w:type="dxa"/>
            <w:tcBorders>
              <w:top w:val="single" w:sz="1" w:space="0" w:color="666666"/>
              <w:left w:val="single" w:sz="1" w:space="0" w:color="666666"/>
              <w:bottom w:val="single" w:sz="1" w:space="0" w:color="666666"/>
              <w:right w:val="single" w:sz="1" w:space="0" w:color="666666"/>
            </w:tcBorders>
            <w:shd w:val="clear" w:color="auto" w:fill="1B4F72"/>
            <w:tcMar>
              <w:top w:w="80" w:type="dxa"/>
              <w:left w:w="100" w:type="dxa"/>
              <w:bottom w:w="80" w:type="dxa"/>
              <w:right w:w="100" w:type="dxa"/>
            </w:tcMar>
          </w:tcPr>
          <w:p w14:paraId="7CBF57C1" w14:textId="77777777" w:rsidR="00AD77A2" w:rsidRPr="002B6F90" w:rsidRDefault="00800035">
            <w:r w:rsidRPr="002B6F90">
              <w:rPr>
                <w:b/>
                <w:bCs/>
                <w:color w:val="FFFFFF"/>
              </w:rPr>
              <w:t>Regulation</w:t>
            </w:r>
          </w:p>
        </w:tc>
        <w:tc>
          <w:tcPr>
            <w:tcW w:w="2200" w:type="dxa"/>
            <w:tcBorders>
              <w:top w:val="single" w:sz="1" w:space="0" w:color="666666"/>
              <w:left w:val="single" w:sz="1" w:space="0" w:color="666666"/>
              <w:bottom w:val="single" w:sz="1" w:space="0" w:color="666666"/>
              <w:right w:val="single" w:sz="1" w:space="0" w:color="666666"/>
            </w:tcBorders>
            <w:shd w:val="clear" w:color="auto" w:fill="1B4F72"/>
            <w:tcMar>
              <w:top w:w="80" w:type="dxa"/>
              <w:left w:w="100" w:type="dxa"/>
              <w:bottom w:w="80" w:type="dxa"/>
              <w:right w:w="100" w:type="dxa"/>
            </w:tcMar>
          </w:tcPr>
          <w:p w14:paraId="53967ED9" w14:textId="77777777" w:rsidR="00AD77A2" w:rsidRPr="002B6F90" w:rsidRDefault="00800035">
            <w:r w:rsidRPr="002B6F90">
              <w:rPr>
                <w:b/>
                <w:bCs/>
                <w:color w:val="FFFFFF"/>
              </w:rPr>
              <w:t>Status</w:t>
            </w:r>
          </w:p>
        </w:tc>
        <w:tc>
          <w:tcPr>
            <w:tcW w:w="5971" w:type="dxa"/>
            <w:tcBorders>
              <w:top w:val="single" w:sz="1" w:space="0" w:color="666666"/>
              <w:left w:val="single" w:sz="1" w:space="0" w:color="666666"/>
              <w:bottom w:val="single" w:sz="1" w:space="0" w:color="666666"/>
              <w:right w:val="single" w:sz="1" w:space="0" w:color="666666"/>
            </w:tcBorders>
            <w:shd w:val="clear" w:color="auto" w:fill="1B4F72"/>
            <w:tcMar>
              <w:top w:w="80" w:type="dxa"/>
              <w:left w:w="100" w:type="dxa"/>
              <w:bottom w:w="80" w:type="dxa"/>
              <w:right w:w="100" w:type="dxa"/>
            </w:tcMar>
          </w:tcPr>
          <w:p w14:paraId="4F8D2EDC" w14:textId="77777777" w:rsidR="00AD77A2" w:rsidRPr="002B6F90" w:rsidRDefault="00800035">
            <w:r w:rsidRPr="002B6F90">
              <w:rPr>
                <w:b/>
                <w:bCs/>
                <w:color w:val="FFFFFF"/>
              </w:rPr>
              <w:t>Key Points</w:t>
            </w:r>
          </w:p>
        </w:tc>
      </w:tr>
      <w:tr w:rsidR="00AD77A2" w:rsidRPr="0054788D" w14:paraId="27772D68" w14:textId="77777777" w:rsidTr="00B76E2D">
        <w:tc>
          <w:tcPr>
            <w:tcW w:w="2599" w:type="dxa"/>
            <w:tcBorders>
              <w:top w:val="single" w:sz="1" w:space="0" w:color="666666"/>
              <w:left w:val="single" w:sz="1" w:space="0" w:color="666666"/>
              <w:bottom w:val="single" w:sz="1" w:space="0" w:color="666666"/>
              <w:right w:val="single" w:sz="1" w:space="0" w:color="666666"/>
            </w:tcBorders>
            <w:shd w:val="clear" w:color="auto" w:fill="EBF5FB"/>
            <w:tcMar>
              <w:top w:w="50" w:type="dxa"/>
              <w:left w:w="80" w:type="dxa"/>
              <w:bottom w:w="50" w:type="dxa"/>
              <w:right w:w="80" w:type="dxa"/>
            </w:tcMar>
          </w:tcPr>
          <w:p w14:paraId="4D75950D" w14:textId="77777777" w:rsidR="00AD77A2" w:rsidRPr="002B6F90" w:rsidRDefault="00800035">
            <w:pPr>
              <w:rPr>
                <w:lang w:val="en-GB"/>
              </w:rPr>
            </w:pPr>
            <w:r w:rsidRPr="002B6F90">
              <w:rPr>
                <w:b/>
                <w:bCs/>
                <w:lang w:val="en-GB"/>
              </w:rPr>
              <w:t>Right to Repair Directive (EU) 2024/1799</w:t>
            </w:r>
          </w:p>
        </w:tc>
        <w:tc>
          <w:tcPr>
            <w:tcW w:w="2200" w:type="dxa"/>
            <w:tcBorders>
              <w:top w:val="single" w:sz="1" w:space="0" w:color="666666"/>
              <w:left w:val="single" w:sz="1" w:space="0" w:color="666666"/>
              <w:bottom w:val="single" w:sz="1" w:space="0" w:color="666666"/>
              <w:right w:val="single" w:sz="1" w:space="0" w:color="666666"/>
            </w:tcBorders>
            <w:shd w:val="clear" w:color="auto" w:fill="EBF5FB"/>
            <w:tcMar>
              <w:top w:w="50" w:type="dxa"/>
              <w:left w:w="80" w:type="dxa"/>
              <w:bottom w:w="50" w:type="dxa"/>
              <w:right w:w="80" w:type="dxa"/>
            </w:tcMar>
          </w:tcPr>
          <w:p w14:paraId="32E3EE9D" w14:textId="77777777" w:rsidR="00AD77A2" w:rsidRPr="002B6F90" w:rsidRDefault="00800035">
            <w:pPr>
              <w:rPr>
                <w:lang w:val="en-GB"/>
              </w:rPr>
            </w:pPr>
            <w:r w:rsidRPr="002B6F90">
              <w:rPr>
                <w:lang w:val="en-GB"/>
              </w:rPr>
              <w:t>In force: 30 July 2024 Transpose*: 31 July 2026</w:t>
            </w:r>
          </w:p>
        </w:tc>
        <w:tc>
          <w:tcPr>
            <w:tcW w:w="5971" w:type="dxa"/>
            <w:tcBorders>
              <w:top w:val="single" w:sz="1" w:space="0" w:color="666666"/>
              <w:left w:val="single" w:sz="1" w:space="0" w:color="666666"/>
              <w:bottom w:val="single" w:sz="1" w:space="0" w:color="666666"/>
              <w:right w:val="single" w:sz="1" w:space="0" w:color="666666"/>
            </w:tcBorders>
            <w:shd w:val="clear" w:color="auto" w:fill="EBF5FB"/>
            <w:tcMar>
              <w:top w:w="50" w:type="dxa"/>
              <w:left w:w="80" w:type="dxa"/>
              <w:bottom w:w="50" w:type="dxa"/>
              <w:right w:w="80" w:type="dxa"/>
            </w:tcMar>
          </w:tcPr>
          <w:p w14:paraId="6D45BD2C" w14:textId="77777777" w:rsidR="00AD77A2" w:rsidRPr="002B6F90" w:rsidRDefault="00800035">
            <w:pPr>
              <w:rPr>
                <w:lang w:val="en-GB"/>
              </w:rPr>
            </w:pPr>
            <w:r w:rsidRPr="002B6F90">
              <w:rPr>
                <w:lang w:val="en-GB"/>
              </w:rPr>
              <w:t>Manufacturers must repair Ecodesign-covered products; European Repair Information Form; EU repair platform under development; 12-month warranty extension if repair chosen</w:t>
            </w:r>
          </w:p>
        </w:tc>
      </w:tr>
      <w:tr w:rsidR="00AD77A2" w:rsidRPr="0054788D" w14:paraId="3F590DAC" w14:textId="77777777" w:rsidTr="00B76E2D">
        <w:tc>
          <w:tcPr>
            <w:tcW w:w="2599" w:type="dxa"/>
            <w:tcBorders>
              <w:top w:val="single" w:sz="1" w:space="0" w:color="666666"/>
              <w:left w:val="single" w:sz="1" w:space="0" w:color="666666"/>
              <w:bottom w:val="single" w:sz="1" w:space="0" w:color="666666"/>
              <w:right w:val="single" w:sz="1" w:space="0" w:color="666666"/>
            </w:tcBorders>
            <w:tcMar>
              <w:top w:w="50" w:type="dxa"/>
              <w:left w:w="80" w:type="dxa"/>
              <w:bottom w:w="50" w:type="dxa"/>
              <w:right w:w="80" w:type="dxa"/>
            </w:tcMar>
          </w:tcPr>
          <w:p w14:paraId="2215C254" w14:textId="77777777" w:rsidR="00AD77A2" w:rsidRPr="002B6F90" w:rsidRDefault="00800035">
            <w:pPr>
              <w:rPr>
                <w:lang w:val="en-GB"/>
              </w:rPr>
            </w:pPr>
            <w:r w:rsidRPr="002B6F90">
              <w:rPr>
                <w:b/>
                <w:bCs/>
                <w:lang w:val="en-GB"/>
              </w:rPr>
              <w:t>ESPR – Ecodesign for Sustainable Products (EU) 2024/1781</w:t>
            </w:r>
          </w:p>
        </w:tc>
        <w:tc>
          <w:tcPr>
            <w:tcW w:w="2200" w:type="dxa"/>
            <w:tcBorders>
              <w:top w:val="single" w:sz="1" w:space="0" w:color="666666"/>
              <w:left w:val="single" w:sz="1" w:space="0" w:color="666666"/>
              <w:bottom w:val="single" w:sz="1" w:space="0" w:color="666666"/>
              <w:right w:val="single" w:sz="1" w:space="0" w:color="666666"/>
            </w:tcBorders>
            <w:tcMar>
              <w:top w:w="50" w:type="dxa"/>
              <w:left w:w="80" w:type="dxa"/>
              <w:bottom w:w="50" w:type="dxa"/>
              <w:right w:w="80" w:type="dxa"/>
            </w:tcMar>
          </w:tcPr>
          <w:p w14:paraId="37CCD84C" w14:textId="77777777" w:rsidR="00AD77A2" w:rsidRPr="002B6F90" w:rsidRDefault="00800035">
            <w:pPr>
              <w:rPr>
                <w:lang w:val="en-GB"/>
              </w:rPr>
            </w:pPr>
            <w:r w:rsidRPr="002B6F90">
              <w:rPr>
                <w:lang w:val="en-GB"/>
              </w:rPr>
              <w:t>In force: 18 July 2024 First acts: 2025-2026</w:t>
            </w:r>
          </w:p>
        </w:tc>
        <w:tc>
          <w:tcPr>
            <w:tcW w:w="5971" w:type="dxa"/>
            <w:tcBorders>
              <w:top w:val="single" w:sz="1" w:space="0" w:color="666666"/>
              <w:left w:val="single" w:sz="1" w:space="0" w:color="666666"/>
              <w:bottom w:val="single" w:sz="1" w:space="0" w:color="666666"/>
              <w:right w:val="single" w:sz="1" w:space="0" w:color="666666"/>
            </w:tcBorders>
            <w:tcMar>
              <w:top w:w="50" w:type="dxa"/>
              <w:left w:w="80" w:type="dxa"/>
              <w:bottom w:w="50" w:type="dxa"/>
              <w:right w:w="80" w:type="dxa"/>
            </w:tcMar>
          </w:tcPr>
          <w:p w14:paraId="4892B5E6" w14:textId="77777777" w:rsidR="00AD77A2" w:rsidRPr="002B6F90" w:rsidRDefault="00800035">
            <w:pPr>
              <w:rPr>
                <w:lang w:val="en-GB"/>
              </w:rPr>
            </w:pPr>
            <w:r w:rsidRPr="002B6F90">
              <w:rPr>
                <w:lang w:val="en-GB"/>
              </w:rPr>
              <w:t>Framework for all physical products; Digital Product Passport; Ban on destruction of unsold textiles/footwear; Priority: textiles, furniture, electronics, batteries</w:t>
            </w:r>
          </w:p>
        </w:tc>
      </w:tr>
      <w:tr w:rsidR="00AD77A2" w:rsidRPr="0054788D" w14:paraId="03FDF5EA" w14:textId="77777777" w:rsidTr="00B76E2D">
        <w:tc>
          <w:tcPr>
            <w:tcW w:w="2599" w:type="dxa"/>
            <w:tcBorders>
              <w:top w:val="single" w:sz="1" w:space="0" w:color="666666"/>
              <w:left w:val="single" w:sz="1" w:space="0" w:color="666666"/>
              <w:bottom w:val="single" w:sz="1" w:space="0" w:color="666666"/>
              <w:right w:val="single" w:sz="1" w:space="0" w:color="666666"/>
            </w:tcBorders>
            <w:shd w:val="clear" w:color="auto" w:fill="EBF5FB"/>
            <w:tcMar>
              <w:top w:w="50" w:type="dxa"/>
              <w:left w:w="80" w:type="dxa"/>
              <w:bottom w:w="50" w:type="dxa"/>
              <w:right w:w="80" w:type="dxa"/>
            </w:tcMar>
          </w:tcPr>
          <w:p w14:paraId="566E6682" w14:textId="77777777" w:rsidR="00AD77A2" w:rsidRPr="002B6F90" w:rsidRDefault="00800035">
            <w:r w:rsidRPr="002B6F90">
              <w:rPr>
                <w:b/>
                <w:bCs/>
              </w:rPr>
              <w:t>EU Battery Regulation (EU) 2023/1542</w:t>
            </w:r>
          </w:p>
        </w:tc>
        <w:tc>
          <w:tcPr>
            <w:tcW w:w="2200" w:type="dxa"/>
            <w:tcBorders>
              <w:top w:val="single" w:sz="1" w:space="0" w:color="666666"/>
              <w:left w:val="single" w:sz="1" w:space="0" w:color="666666"/>
              <w:bottom w:val="single" w:sz="1" w:space="0" w:color="666666"/>
              <w:right w:val="single" w:sz="1" w:space="0" w:color="666666"/>
            </w:tcBorders>
            <w:shd w:val="clear" w:color="auto" w:fill="EBF5FB"/>
            <w:tcMar>
              <w:top w:w="50" w:type="dxa"/>
              <w:left w:w="80" w:type="dxa"/>
              <w:bottom w:w="50" w:type="dxa"/>
              <w:right w:w="80" w:type="dxa"/>
            </w:tcMar>
          </w:tcPr>
          <w:p w14:paraId="645F8010" w14:textId="77777777" w:rsidR="00AD77A2" w:rsidRPr="002B6F90" w:rsidRDefault="00800035">
            <w:pPr>
              <w:rPr>
                <w:lang w:val="en-GB"/>
              </w:rPr>
            </w:pPr>
            <w:r w:rsidRPr="002B6F90">
              <w:rPr>
                <w:lang w:val="en-GB"/>
              </w:rPr>
              <w:t>In force: 18 Feb 2024 Full effect: Aug 2025</w:t>
            </w:r>
          </w:p>
        </w:tc>
        <w:tc>
          <w:tcPr>
            <w:tcW w:w="5971" w:type="dxa"/>
            <w:tcBorders>
              <w:top w:val="single" w:sz="1" w:space="0" w:color="666666"/>
              <w:left w:val="single" w:sz="1" w:space="0" w:color="666666"/>
              <w:bottom w:val="single" w:sz="1" w:space="0" w:color="666666"/>
              <w:right w:val="single" w:sz="1" w:space="0" w:color="666666"/>
            </w:tcBorders>
            <w:shd w:val="clear" w:color="auto" w:fill="EBF5FB"/>
            <w:tcMar>
              <w:top w:w="50" w:type="dxa"/>
              <w:left w:w="80" w:type="dxa"/>
              <w:bottom w:w="50" w:type="dxa"/>
              <w:right w:w="80" w:type="dxa"/>
            </w:tcMar>
          </w:tcPr>
          <w:p w14:paraId="3EC0C2CD" w14:textId="1E143AD1" w:rsidR="00AD77A2" w:rsidRPr="002B6F90" w:rsidRDefault="00800035">
            <w:pPr>
              <w:rPr>
                <w:lang w:val="en-GB"/>
              </w:rPr>
            </w:pPr>
            <w:r w:rsidRPr="002B6F90">
              <w:rPr>
                <w:lang w:val="en-GB"/>
              </w:rPr>
              <w:t>Applies to e-bikes, EVs, industrial batteries; Recycled content targets; Battery Passport mandatory from Feb 2027</w:t>
            </w:r>
          </w:p>
        </w:tc>
      </w:tr>
      <w:tr w:rsidR="00B76E2D" w:rsidRPr="00B76E2D" w14:paraId="5DA403D7" w14:textId="77777777" w:rsidTr="00AC0AED">
        <w:tc>
          <w:tcPr>
            <w:tcW w:w="2599" w:type="dxa"/>
            <w:tcBorders>
              <w:top w:val="single" w:sz="1" w:space="0" w:color="666666"/>
              <w:left w:val="single" w:sz="1" w:space="0" w:color="666666"/>
              <w:bottom w:val="single" w:sz="1" w:space="0" w:color="666666"/>
              <w:right w:val="single" w:sz="1" w:space="0" w:color="666666"/>
            </w:tcBorders>
            <w:tcMar>
              <w:top w:w="50" w:type="dxa"/>
              <w:left w:w="80" w:type="dxa"/>
              <w:bottom w:w="50" w:type="dxa"/>
              <w:right w:w="80" w:type="dxa"/>
            </w:tcMar>
          </w:tcPr>
          <w:p w14:paraId="2F769CE1" w14:textId="0D1DC91C" w:rsidR="00B76E2D" w:rsidRPr="002B6F90" w:rsidRDefault="00B76E2D">
            <w:pPr>
              <w:rPr>
                <w:b/>
                <w:bCs/>
                <w:lang w:val="en-GB"/>
              </w:rPr>
            </w:pPr>
            <w:r w:rsidRPr="002B6F90">
              <w:rPr>
                <w:b/>
                <w:bCs/>
                <w:lang w:val="en-GB"/>
              </w:rPr>
              <w:t>Digital Product Passport (DPP)</w:t>
            </w:r>
          </w:p>
        </w:tc>
        <w:tc>
          <w:tcPr>
            <w:tcW w:w="2200" w:type="dxa"/>
            <w:tcBorders>
              <w:top w:val="single" w:sz="1" w:space="0" w:color="666666"/>
              <w:left w:val="single" w:sz="1" w:space="0" w:color="666666"/>
              <w:bottom w:val="single" w:sz="1" w:space="0" w:color="666666"/>
              <w:right w:val="single" w:sz="1" w:space="0" w:color="666666"/>
            </w:tcBorders>
            <w:tcMar>
              <w:top w:w="50" w:type="dxa"/>
              <w:left w:w="80" w:type="dxa"/>
              <w:bottom w:w="50" w:type="dxa"/>
              <w:right w:w="80" w:type="dxa"/>
            </w:tcMar>
          </w:tcPr>
          <w:p w14:paraId="746D2260" w14:textId="47C293E9" w:rsidR="00B76E2D" w:rsidRPr="002B6F90" w:rsidRDefault="00B76E2D">
            <w:pPr>
              <w:rPr>
                <w:lang w:val="en-GB"/>
              </w:rPr>
            </w:pPr>
            <w:r w:rsidRPr="002B6F90">
              <w:rPr>
                <w:lang w:val="en-GB"/>
              </w:rPr>
              <w:t>Per product category</w:t>
            </w:r>
            <w:r w:rsidR="00AC0AED" w:rsidRPr="002B6F90">
              <w:rPr>
                <w:lang w:val="en-GB"/>
              </w:rPr>
              <w:t>,</w:t>
            </w:r>
            <w:r w:rsidRPr="002B6F90">
              <w:rPr>
                <w:lang w:val="en-GB"/>
              </w:rPr>
              <w:t xml:space="preserve"> different date&gt; first expected as of 2027</w:t>
            </w:r>
          </w:p>
        </w:tc>
        <w:tc>
          <w:tcPr>
            <w:tcW w:w="5971" w:type="dxa"/>
            <w:tcBorders>
              <w:top w:val="single" w:sz="1" w:space="0" w:color="666666"/>
              <w:left w:val="single" w:sz="1" w:space="0" w:color="666666"/>
              <w:bottom w:val="single" w:sz="1" w:space="0" w:color="666666"/>
              <w:right w:val="single" w:sz="1" w:space="0" w:color="666666"/>
            </w:tcBorders>
            <w:tcMar>
              <w:top w:w="50" w:type="dxa"/>
              <w:left w:w="80" w:type="dxa"/>
              <w:bottom w:w="50" w:type="dxa"/>
              <w:right w:w="80" w:type="dxa"/>
            </w:tcMar>
          </w:tcPr>
          <w:p w14:paraId="19CCB763" w14:textId="7EE7CEC4" w:rsidR="00B76E2D" w:rsidRPr="002B6F90" w:rsidRDefault="00C819FF">
            <w:pPr>
              <w:rPr>
                <w:b/>
                <w:bCs/>
                <w:lang w:val="en-GB"/>
              </w:rPr>
            </w:pPr>
            <w:r w:rsidRPr="002B6F90">
              <w:rPr>
                <w:lang w:val="en-GB"/>
              </w:rPr>
              <w:t xml:space="preserve">Enables consumers, repairers, and recyclers to access product information throughout </w:t>
            </w:r>
            <w:r w:rsidR="00AC0AED" w:rsidRPr="002B6F90">
              <w:rPr>
                <w:lang w:val="en-GB"/>
              </w:rPr>
              <w:t xml:space="preserve">the </w:t>
            </w:r>
            <w:r w:rsidRPr="002B6F90">
              <w:rPr>
                <w:lang w:val="en-GB"/>
              </w:rPr>
              <w:t>lifecycle. Concerns key requirements data, specific for different categories (battery/ textiles/ electronics/ furniture…), like</w:t>
            </w:r>
            <w:r w:rsidR="00D25FA1" w:rsidRPr="002B6F90">
              <w:rPr>
                <w:lang w:val="en-GB"/>
              </w:rPr>
              <w:t xml:space="preserve"> material composition, carbon footprint, recycled content, fibre composition, country of manufacture, durability/repairability info, care instructions, spare parts availability, disassembly instructions and/or end-of-life guidance</w:t>
            </w:r>
            <w:r w:rsidR="00AC0AED" w:rsidRPr="002B6F90">
              <w:rPr>
                <w:lang w:val="en-GB"/>
              </w:rPr>
              <w:t>.</w:t>
            </w:r>
            <w:r w:rsidRPr="002B6F90">
              <w:rPr>
                <w:lang w:val="en-GB"/>
              </w:rPr>
              <w:t xml:space="preserve"> It should be accessible via e.g. QR code, NFC chip, or RFID tag on product/packaging. Machine-readable, linked to EU registry. </w:t>
            </w:r>
          </w:p>
        </w:tc>
      </w:tr>
      <w:tr w:rsidR="002B6F90" w:rsidRPr="0054788D" w14:paraId="49DFF9BC" w14:textId="77777777" w:rsidTr="00E12543">
        <w:tc>
          <w:tcPr>
            <w:tcW w:w="2599" w:type="dxa"/>
            <w:tcBorders>
              <w:top w:val="single" w:sz="1" w:space="0" w:color="666666"/>
              <w:left w:val="single" w:sz="1" w:space="0" w:color="666666"/>
              <w:bottom w:val="single" w:sz="1" w:space="0" w:color="666666"/>
              <w:right w:val="single" w:sz="1" w:space="0" w:color="666666"/>
            </w:tcBorders>
            <w:shd w:val="clear" w:color="auto" w:fill="EBF5FB"/>
            <w:tcMar>
              <w:top w:w="50" w:type="dxa"/>
              <w:left w:w="80" w:type="dxa"/>
              <w:bottom w:w="50" w:type="dxa"/>
              <w:right w:w="80" w:type="dxa"/>
            </w:tcMar>
          </w:tcPr>
          <w:p w14:paraId="5EF62D52" w14:textId="2CB3D92A" w:rsidR="002B6F90" w:rsidRPr="002B6F90" w:rsidRDefault="002B6F90" w:rsidP="002B6F90">
            <w:pPr>
              <w:rPr>
                <w:b/>
                <w:bCs/>
                <w:lang w:val="en-GB"/>
              </w:rPr>
            </w:pPr>
            <w:r w:rsidRPr="002B6F90">
              <w:rPr>
                <w:b/>
                <w:bCs/>
                <w:lang w:val="en-GB"/>
              </w:rPr>
              <w:t>General Product Safety Regulation (GPSR) (EU) 2023/988</w:t>
            </w:r>
          </w:p>
        </w:tc>
        <w:tc>
          <w:tcPr>
            <w:tcW w:w="2200" w:type="dxa"/>
            <w:tcBorders>
              <w:top w:val="single" w:sz="1" w:space="0" w:color="666666"/>
              <w:left w:val="single" w:sz="1" w:space="0" w:color="666666"/>
              <w:bottom w:val="single" w:sz="1" w:space="0" w:color="666666"/>
              <w:right w:val="single" w:sz="1" w:space="0" w:color="666666"/>
            </w:tcBorders>
            <w:shd w:val="clear" w:color="auto" w:fill="EBF5FB"/>
            <w:tcMar>
              <w:top w:w="50" w:type="dxa"/>
              <w:left w:w="80" w:type="dxa"/>
              <w:bottom w:w="50" w:type="dxa"/>
              <w:right w:w="80" w:type="dxa"/>
            </w:tcMar>
            <w:vAlign w:val="center"/>
          </w:tcPr>
          <w:p w14:paraId="2535944F" w14:textId="224F4D42" w:rsidR="002B6F90" w:rsidRPr="002B6F90" w:rsidRDefault="002B6F90" w:rsidP="002B6F90">
            <w:pPr>
              <w:rPr>
                <w:lang w:val="en-GB"/>
              </w:rPr>
            </w:pPr>
            <w:r w:rsidRPr="002B6F90">
              <w:t>In force: 13 Dec 2024</w:t>
            </w:r>
          </w:p>
        </w:tc>
        <w:tc>
          <w:tcPr>
            <w:tcW w:w="5971" w:type="dxa"/>
            <w:tcBorders>
              <w:top w:val="single" w:sz="1" w:space="0" w:color="666666"/>
              <w:left w:val="single" w:sz="1" w:space="0" w:color="666666"/>
              <w:bottom w:val="single" w:sz="1" w:space="0" w:color="666666"/>
              <w:right w:val="single" w:sz="1" w:space="0" w:color="666666"/>
            </w:tcBorders>
            <w:shd w:val="clear" w:color="auto" w:fill="EBF5FB"/>
            <w:tcMar>
              <w:top w:w="50" w:type="dxa"/>
              <w:left w:w="80" w:type="dxa"/>
              <w:bottom w:w="50" w:type="dxa"/>
              <w:right w:w="80" w:type="dxa"/>
            </w:tcMar>
            <w:vAlign w:val="center"/>
          </w:tcPr>
          <w:p w14:paraId="1387554C" w14:textId="57539492" w:rsidR="002B6F90" w:rsidRPr="002B6F90" w:rsidRDefault="002B6F90" w:rsidP="002B6F90">
            <w:pPr>
              <w:rPr>
                <w:lang w:val="en-GB"/>
              </w:rPr>
            </w:pPr>
            <w:r w:rsidRPr="002B6F90">
              <w:rPr>
                <w:lang w:val="en-GB"/>
              </w:rPr>
              <w:t xml:space="preserve">Applies to new, used, repaired &amp; reconditioned products; </w:t>
            </w:r>
            <w:r w:rsidRPr="00E5543E">
              <w:rPr>
                <w:lang w:val="en-GB"/>
              </w:rPr>
              <w:t xml:space="preserve">Product recalls must offer repair/replacement/refund; </w:t>
            </w:r>
            <w:r w:rsidRPr="002B6F90">
              <w:rPr>
                <w:lang w:val="en-GB"/>
              </w:rPr>
              <w:t>Repaired products re-entering market must meet safety standards; Safety Gate Portal for alerts; Impacts repair cafés &amp; second-hand sales</w:t>
            </w:r>
          </w:p>
        </w:tc>
      </w:tr>
      <w:tr w:rsidR="002B6F90" w14:paraId="7AD59A60" w14:textId="77777777" w:rsidTr="00B76E2D">
        <w:tc>
          <w:tcPr>
            <w:tcW w:w="10770" w:type="dxa"/>
            <w:gridSpan w:val="3"/>
            <w:tcBorders>
              <w:top w:val="single" w:sz="1" w:space="0" w:color="666666"/>
              <w:left w:val="single" w:sz="1" w:space="0" w:color="666666"/>
              <w:bottom w:val="single" w:sz="1" w:space="0" w:color="666666"/>
              <w:right w:val="single" w:sz="1" w:space="0" w:color="666666"/>
            </w:tcBorders>
            <w:shd w:val="clear" w:color="auto" w:fill="D5F5E3"/>
            <w:tcMar>
              <w:top w:w="80" w:type="dxa"/>
              <w:left w:w="120" w:type="dxa"/>
              <w:bottom w:w="80" w:type="dxa"/>
              <w:right w:w="120" w:type="dxa"/>
            </w:tcMar>
          </w:tcPr>
          <w:p w14:paraId="40CFB167" w14:textId="77777777" w:rsidR="002B6F90" w:rsidRPr="002B6F90" w:rsidRDefault="002B6F90" w:rsidP="002B6F90">
            <w:r w:rsidRPr="002B6F90">
              <w:rPr>
                <w:b/>
                <w:bCs/>
                <w:lang w:val="en-GB"/>
              </w:rPr>
              <w:t xml:space="preserve">*Transpose = </w:t>
            </w:r>
            <w:r w:rsidRPr="002B6F90">
              <w:rPr>
                <w:lang w:val="en-GB"/>
              </w:rPr>
              <w:t xml:space="preserve">EU Directives must be converted into national law by each Member State. Unlike Regulations (directly applicable), Directives set goals that countries implement through their own legislation. The Netherlands must pass national laws implementing the Right to Repair Directive by 31 July 2026. </w:t>
            </w:r>
            <w:r w:rsidRPr="002B6F90">
              <w:t>Until then, the directive's requirements are not directly enforceable.</w:t>
            </w:r>
          </w:p>
        </w:tc>
      </w:tr>
    </w:tbl>
    <w:p w14:paraId="0DD500C2" w14:textId="77777777" w:rsidR="00AD77A2" w:rsidRPr="00B3285C" w:rsidRDefault="00800035">
      <w:pPr>
        <w:pStyle w:val="Kop1"/>
        <w:rPr>
          <w:lang w:val="en-GB"/>
        </w:rPr>
      </w:pPr>
      <w:r w:rsidRPr="00B3285C">
        <w:rPr>
          <w:lang w:val="en-GB"/>
        </w:rPr>
        <w:t>2. Dutch Consumer Law – Conformiteit (Conformity)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7570"/>
      </w:tblGrid>
      <w:tr w:rsidR="00AD77A2" w14:paraId="51D7A20E" w14:textId="77777777" w:rsidTr="00BF3546">
        <w:tc>
          <w:tcPr>
            <w:tcW w:w="3200" w:type="dxa"/>
            <w:tcBorders>
              <w:top w:val="single" w:sz="1" w:space="0" w:color="666666"/>
              <w:left w:val="single" w:sz="1" w:space="0" w:color="666666"/>
              <w:bottom w:val="single" w:sz="1" w:space="0" w:color="666666"/>
              <w:right w:val="single" w:sz="1" w:space="0" w:color="666666"/>
            </w:tcBorders>
            <w:shd w:val="clear" w:color="auto" w:fill="1B4F72"/>
            <w:tcMar>
              <w:top w:w="80" w:type="dxa"/>
              <w:left w:w="100" w:type="dxa"/>
              <w:bottom w:w="80" w:type="dxa"/>
              <w:right w:w="100" w:type="dxa"/>
            </w:tcMar>
          </w:tcPr>
          <w:p w14:paraId="3F8AD5FD" w14:textId="77777777" w:rsidR="00AD77A2" w:rsidRDefault="00800035">
            <w:r>
              <w:rPr>
                <w:b/>
                <w:bCs/>
                <w:color w:val="FFFFFF"/>
                <w:sz w:val="18"/>
                <w:szCs w:val="18"/>
              </w:rPr>
              <w:t>Dutch Law / Nederlandse Wet</w:t>
            </w:r>
          </w:p>
        </w:tc>
        <w:tc>
          <w:tcPr>
            <w:tcW w:w="7570" w:type="dxa"/>
            <w:tcBorders>
              <w:top w:val="single" w:sz="1" w:space="0" w:color="666666"/>
              <w:left w:val="single" w:sz="1" w:space="0" w:color="666666"/>
              <w:bottom w:val="single" w:sz="1" w:space="0" w:color="666666"/>
              <w:right w:val="single" w:sz="1" w:space="0" w:color="666666"/>
            </w:tcBorders>
            <w:shd w:val="clear" w:color="auto" w:fill="1B4F72"/>
            <w:tcMar>
              <w:top w:w="80" w:type="dxa"/>
              <w:left w:w="100" w:type="dxa"/>
              <w:bottom w:w="80" w:type="dxa"/>
              <w:right w:w="100" w:type="dxa"/>
            </w:tcMar>
          </w:tcPr>
          <w:p w14:paraId="4C4017A3" w14:textId="77777777" w:rsidR="00AD77A2" w:rsidRDefault="00800035">
            <w:r>
              <w:rPr>
                <w:b/>
                <w:bCs/>
                <w:color w:val="FFFFFF"/>
                <w:sz w:val="18"/>
                <w:szCs w:val="18"/>
              </w:rPr>
              <w:t>Summary / Samenvatting</w:t>
            </w:r>
          </w:p>
        </w:tc>
      </w:tr>
      <w:tr w:rsidR="00AD77A2" w:rsidRPr="0054788D" w14:paraId="1F8855E0" w14:textId="77777777" w:rsidTr="00BF3546">
        <w:tc>
          <w:tcPr>
            <w:tcW w:w="3200" w:type="dxa"/>
            <w:tcBorders>
              <w:top w:val="single" w:sz="1" w:space="0" w:color="666666"/>
              <w:left w:val="single" w:sz="1" w:space="0" w:color="666666"/>
              <w:bottom w:val="single" w:sz="1" w:space="0" w:color="666666"/>
              <w:right w:val="single" w:sz="1" w:space="0" w:color="666666"/>
            </w:tcBorders>
            <w:shd w:val="clear" w:color="auto" w:fill="EBF5FB"/>
            <w:tcMar>
              <w:top w:w="50" w:type="dxa"/>
              <w:left w:w="80" w:type="dxa"/>
              <w:bottom w:w="50" w:type="dxa"/>
              <w:right w:w="80" w:type="dxa"/>
            </w:tcMar>
          </w:tcPr>
          <w:p w14:paraId="5870C4C2" w14:textId="77777777" w:rsidR="00AD77A2" w:rsidRDefault="00800035">
            <w:r>
              <w:rPr>
                <w:b/>
                <w:bCs/>
                <w:sz w:val="16"/>
                <w:szCs w:val="16"/>
              </w:rPr>
              <w:t>Art. 7:17 BW Conformiteit</w:t>
            </w:r>
          </w:p>
        </w:tc>
        <w:tc>
          <w:tcPr>
            <w:tcW w:w="7570" w:type="dxa"/>
            <w:tcBorders>
              <w:top w:val="single" w:sz="1" w:space="0" w:color="666666"/>
              <w:left w:val="single" w:sz="1" w:space="0" w:color="666666"/>
              <w:bottom w:val="single" w:sz="1" w:space="0" w:color="666666"/>
              <w:right w:val="single" w:sz="1" w:space="0" w:color="666666"/>
            </w:tcBorders>
            <w:shd w:val="clear" w:color="auto" w:fill="EBF5FB"/>
            <w:tcMar>
              <w:top w:w="50" w:type="dxa"/>
              <w:left w:w="80" w:type="dxa"/>
              <w:bottom w:w="50" w:type="dxa"/>
              <w:right w:w="80" w:type="dxa"/>
            </w:tcMar>
          </w:tcPr>
          <w:p w14:paraId="79391FDD" w14:textId="092133E1" w:rsidR="00AD77A2" w:rsidRPr="00B3285C" w:rsidRDefault="00800035">
            <w:pPr>
              <w:rPr>
                <w:lang w:val="en-GB"/>
              </w:rPr>
            </w:pPr>
            <w:r>
              <w:rPr>
                <w:sz w:val="16"/>
                <w:szCs w:val="16"/>
              </w:rPr>
              <w:t xml:space="preserve">NL: De afgeleverde zaak moet aan de overeenkomst beantwoorden. De koper mag verwachten dat het product de eigenschappen bezit die hij op grond van de overeenkomst mocht verwachten.  </w:t>
            </w:r>
            <w:r w:rsidR="00B3285C">
              <w:rPr>
                <w:sz w:val="16"/>
                <w:szCs w:val="16"/>
              </w:rPr>
              <w:br/>
            </w:r>
            <w:r w:rsidRPr="00B3285C">
              <w:rPr>
                <w:sz w:val="16"/>
                <w:szCs w:val="16"/>
                <w:lang w:val="en-GB"/>
              </w:rPr>
              <w:t>EN: The delivered item must conform to the contract. The buyer may expect the product to have the properties reasonably expected based on the agreement.</w:t>
            </w:r>
          </w:p>
        </w:tc>
      </w:tr>
      <w:tr w:rsidR="00AD77A2" w:rsidRPr="0054788D" w14:paraId="36D33B9D" w14:textId="77777777" w:rsidTr="00BF3546">
        <w:tc>
          <w:tcPr>
            <w:tcW w:w="3200" w:type="dxa"/>
            <w:tcBorders>
              <w:top w:val="single" w:sz="1" w:space="0" w:color="666666"/>
              <w:left w:val="single" w:sz="1" w:space="0" w:color="666666"/>
              <w:bottom w:val="single" w:sz="1" w:space="0" w:color="666666"/>
              <w:right w:val="single" w:sz="1" w:space="0" w:color="666666"/>
            </w:tcBorders>
            <w:tcMar>
              <w:top w:w="50" w:type="dxa"/>
              <w:left w:w="80" w:type="dxa"/>
              <w:bottom w:w="50" w:type="dxa"/>
              <w:right w:w="80" w:type="dxa"/>
            </w:tcMar>
          </w:tcPr>
          <w:p w14:paraId="4C533E21" w14:textId="4D3BCCC1" w:rsidR="00AD77A2" w:rsidRDefault="00800035">
            <w:hyperlink r:id="rId7" w:history="1">
              <w:r w:rsidRPr="009552D9">
                <w:rPr>
                  <w:rStyle w:val="Hyperlink"/>
                  <w:b/>
                  <w:bCs/>
                  <w:sz w:val="16"/>
                  <w:szCs w:val="16"/>
                </w:rPr>
                <w:t>Art. 7:18a lid 2 BW Bewijslast / Burden of Proof</w:t>
              </w:r>
            </w:hyperlink>
            <w:r w:rsidR="009552D9">
              <w:rPr>
                <w:b/>
                <w:bCs/>
                <w:sz w:val="16"/>
                <w:szCs w:val="16"/>
              </w:rPr>
              <w:br/>
              <w:t>Art. 7:21 BW Herstel of Vervanging</w:t>
            </w:r>
          </w:p>
        </w:tc>
        <w:tc>
          <w:tcPr>
            <w:tcW w:w="7570" w:type="dxa"/>
            <w:tcBorders>
              <w:top w:val="single" w:sz="1" w:space="0" w:color="666666"/>
              <w:left w:val="single" w:sz="1" w:space="0" w:color="666666"/>
              <w:bottom w:val="single" w:sz="1" w:space="0" w:color="666666"/>
              <w:right w:val="single" w:sz="1" w:space="0" w:color="666666"/>
            </w:tcBorders>
            <w:tcMar>
              <w:top w:w="50" w:type="dxa"/>
              <w:left w:w="80" w:type="dxa"/>
              <w:bottom w:w="50" w:type="dxa"/>
              <w:right w:w="80" w:type="dxa"/>
            </w:tcMar>
          </w:tcPr>
          <w:p w14:paraId="308343F8" w14:textId="1B593B99" w:rsidR="00AD77A2" w:rsidRPr="00C2481F" w:rsidRDefault="00800035">
            <w:pPr>
              <w:rPr>
                <w:lang w:val="en-GB"/>
              </w:rPr>
            </w:pPr>
            <w:r>
              <w:rPr>
                <w:sz w:val="16"/>
                <w:szCs w:val="16"/>
              </w:rPr>
              <w:t xml:space="preserve">NL: Bij consumentenkoop wordt vermoed dat een gebrek dat zich binnen 1 jaar na aflevering openbaart, al bij aflevering bestond. </w:t>
            </w:r>
            <w:r w:rsidRPr="004B3F04">
              <w:rPr>
                <w:sz w:val="16"/>
                <w:szCs w:val="16"/>
              </w:rPr>
              <w:t xml:space="preserve">Verkoper moet bewijzen dat gebrek later is ontstaan.  </w:t>
            </w:r>
            <w:r w:rsidR="00C2481F" w:rsidRPr="004B3F04">
              <w:rPr>
                <w:sz w:val="16"/>
                <w:szCs w:val="16"/>
              </w:rPr>
              <w:t>Consument heeft recht op herstel of vervanging bij non-conformiteit, tenzij dit onmogelijk of onevenredig is</w:t>
            </w:r>
            <w:r w:rsidR="00B3285C" w:rsidRPr="004B3F04">
              <w:rPr>
                <w:sz w:val="16"/>
                <w:szCs w:val="16"/>
              </w:rPr>
              <w:br/>
            </w:r>
            <w:r w:rsidRPr="004B3F04">
              <w:rPr>
                <w:sz w:val="16"/>
                <w:szCs w:val="16"/>
              </w:rPr>
              <w:t xml:space="preserve">EN: For consumer purchases, defects appearing within 1 year of delivery are presumed to have existed at delivery. </w:t>
            </w:r>
            <w:r w:rsidRPr="00C2481F">
              <w:rPr>
                <w:sz w:val="16"/>
                <w:szCs w:val="16"/>
                <w:lang w:val="en-GB"/>
              </w:rPr>
              <w:t>Seller must prove otherwise.</w:t>
            </w:r>
            <w:r w:rsidR="003E6AD1">
              <w:rPr>
                <w:sz w:val="16"/>
                <w:szCs w:val="16"/>
                <w:lang w:val="en-GB"/>
              </w:rPr>
              <w:t xml:space="preserve"> </w:t>
            </w:r>
            <w:r w:rsidR="00C2481F" w:rsidRPr="00B3285C">
              <w:rPr>
                <w:sz w:val="16"/>
                <w:szCs w:val="16"/>
                <w:lang w:val="en-GB"/>
              </w:rPr>
              <w:t xml:space="preserve">Consumer has right to repair or replacement for non-conformity, unless impossible or disproportionate. </w:t>
            </w:r>
          </w:p>
        </w:tc>
      </w:tr>
      <w:tr w:rsidR="00856645" w:rsidRPr="0054788D" w14:paraId="7AA25905" w14:textId="77777777" w:rsidTr="00BF3546">
        <w:tc>
          <w:tcPr>
            <w:tcW w:w="3200" w:type="dxa"/>
            <w:tcBorders>
              <w:top w:val="single" w:sz="1" w:space="0" w:color="666666"/>
              <w:left w:val="single" w:sz="1" w:space="0" w:color="666666"/>
              <w:bottom w:val="single" w:sz="1" w:space="0" w:color="666666"/>
              <w:right w:val="single" w:sz="1" w:space="0" w:color="666666"/>
            </w:tcBorders>
            <w:tcMar>
              <w:top w:w="50" w:type="dxa"/>
              <w:left w:w="80" w:type="dxa"/>
              <w:bottom w:w="50" w:type="dxa"/>
              <w:right w:w="80" w:type="dxa"/>
            </w:tcMar>
          </w:tcPr>
          <w:p w14:paraId="57380C94" w14:textId="0FD7EC4D" w:rsidR="00856645" w:rsidRDefault="00856645" w:rsidP="00856645">
            <w:hyperlink r:id="rId8" w:history="1">
              <w:r w:rsidRPr="00D27F27">
                <w:rPr>
                  <w:rStyle w:val="Hyperlink"/>
                  <w:b/>
                  <w:bCs/>
                  <w:sz w:val="16"/>
                  <w:szCs w:val="16"/>
                </w:rPr>
                <w:t>Besluit UPV Textiel Staatsblad 2023, 132</w:t>
              </w:r>
            </w:hyperlink>
            <w:r>
              <w:rPr>
                <w:b/>
                <w:bCs/>
                <w:sz w:val="16"/>
                <w:szCs w:val="16"/>
              </w:rPr>
              <w:t>v</w:t>
            </w:r>
          </w:p>
        </w:tc>
        <w:tc>
          <w:tcPr>
            <w:tcW w:w="7570" w:type="dxa"/>
            <w:tcBorders>
              <w:top w:val="single" w:sz="1" w:space="0" w:color="666666"/>
              <w:left w:val="single" w:sz="1" w:space="0" w:color="666666"/>
              <w:bottom w:val="single" w:sz="1" w:space="0" w:color="666666"/>
              <w:right w:val="single" w:sz="1" w:space="0" w:color="666666"/>
            </w:tcBorders>
            <w:tcMar>
              <w:top w:w="50" w:type="dxa"/>
              <w:left w:w="80" w:type="dxa"/>
              <w:bottom w:w="50" w:type="dxa"/>
              <w:right w:w="80" w:type="dxa"/>
            </w:tcMar>
          </w:tcPr>
          <w:p w14:paraId="2EF4DBBC" w14:textId="77777777" w:rsidR="00C54310" w:rsidRPr="00C54310" w:rsidRDefault="00856645" w:rsidP="00C54310">
            <w:pPr>
              <w:rPr>
                <w:sz w:val="16"/>
                <w:szCs w:val="16"/>
              </w:rPr>
            </w:pPr>
            <w:r>
              <w:rPr>
                <w:sz w:val="16"/>
                <w:szCs w:val="16"/>
              </w:rPr>
              <w:t>NL: Uitgebreide producentenverantwoordelijkheid voor textiel. Producenten verantwoordelijk voor afvalfase van kleding en huishoudtextiel.</w:t>
            </w:r>
            <w:r w:rsidR="00C54310">
              <w:rPr>
                <w:sz w:val="16"/>
                <w:szCs w:val="16"/>
              </w:rPr>
              <w:t xml:space="preserve"> </w:t>
            </w:r>
            <w:r w:rsidR="00C54310" w:rsidRPr="00C54310">
              <w:rPr>
                <w:sz w:val="16"/>
                <w:szCs w:val="16"/>
              </w:rPr>
              <w:t>Het Besluit UPV Textiel stimuleert indirect de reparatie-infrastructuur (sorteerders, kringloopbedrijven), maar biedt geen directe ondersteuning voor reparatie van kleding die nog in gebruik is. De toekomstige ESPR-delegated acts (verwacht ~2027) zouden dit moeten adresseren met:</w:t>
            </w:r>
          </w:p>
          <w:p w14:paraId="029E7AB1" w14:textId="77777777" w:rsidR="00C54310" w:rsidRPr="00C54310" w:rsidRDefault="00C54310" w:rsidP="00C54310">
            <w:pPr>
              <w:pStyle w:val="Lijstalinea"/>
              <w:numPr>
                <w:ilvl w:val="0"/>
                <w:numId w:val="5"/>
              </w:numPr>
              <w:rPr>
                <w:sz w:val="16"/>
                <w:szCs w:val="16"/>
              </w:rPr>
            </w:pPr>
            <w:r w:rsidRPr="00C54310">
              <w:rPr>
                <w:sz w:val="16"/>
                <w:szCs w:val="16"/>
              </w:rPr>
              <w:t>Digital Product Passport met reparatie-instructies</w:t>
            </w:r>
          </w:p>
          <w:p w14:paraId="14D57F0B" w14:textId="77777777" w:rsidR="00C54310" w:rsidRPr="00C54310" w:rsidRDefault="00C54310" w:rsidP="00C54310">
            <w:pPr>
              <w:pStyle w:val="Lijstalinea"/>
              <w:numPr>
                <w:ilvl w:val="0"/>
                <w:numId w:val="5"/>
              </w:numPr>
              <w:rPr>
                <w:sz w:val="16"/>
                <w:szCs w:val="16"/>
              </w:rPr>
            </w:pPr>
            <w:r w:rsidRPr="00C54310">
              <w:rPr>
                <w:sz w:val="16"/>
                <w:szCs w:val="16"/>
              </w:rPr>
              <w:t>Verplichte beschikbaarheid van onderdelen</w:t>
            </w:r>
          </w:p>
          <w:p w14:paraId="5D7778F3" w14:textId="77777777" w:rsidR="00C54310" w:rsidRPr="00C54310" w:rsidRDefault="00C54310" w:rsidP="00C54310">
            <w:pPr>
              <w:pStyle w:val="Lijstalinea"/>
              <w:numPr>
                <w:ilvl w:val="0"/>
                <w:numId w:val="5"/>
              </w:numPr>
              <w:rPr>
                <w:sz w:val="16"/>
                <w:szCs w:val="16"/>
              </w:rPr>
            </w:pPr>
            <w:r w:rsidRPr="00C54310">
              <w:rPr>
                <w:sz w:val="16"/>
                <w:szCs w:val="16"/>
              </w:rPr>
              <w:t>Levensduur-labelling</w:t>
            </w:r>
          </w:p>
          <w:p w14:paraId="2B462171" w14:textId="01E1E03F" w:rsidR="00C174D5" w:rsidRPr="00C174D5" w:rsidRDefault="00856645" w:rsidP="00C174D5">
            <w:pPr>
              <w:rPr>
                <w:sz w:val="16"/>
                <w:szCs w:val="16"/>
                <w:lang w:val="en"/>
              </w:rPr>
            </w:pPr>
            <w:r w:rsidRPr="00856645">
              <w:rPr>
                <w:sz w:val="16"/>
                <w:szCs w:val="16"/>
                <w:lang w:val="en-GB"/>
              </w:rPr>
              <w:t xml:space="preserve">EN: Extended Producer Responsibility for textiles. </w:t>
            </w:r>
            <w:r w:rsidRPr="00B3285C">
              <w:rPr>
                <w:sz w:val="16"/>
                <w:szCs w:val="16"/>
                <w:lang w:val="en-GB"/>
              </w:rPr>
              <w:t>Producers responsible for end-of-life management of clothing and household textiles.</w:t>
            </w:r>
            <w:r w:rsidR="00C174D5">
              <w:rPr>
                <w:sz w:val="16"/>
                <w:szCs w:val="16"/>
                <w:lang w:val="en-GB"/>
              </w:rPr>
              <w:t xml:space="preserve"> </w:t>
            </w:r>
            <w:r w:rsidR="00C174D5" w:rsidRPr="00C174D5">
              <w:rPr>
                <w:sz w:val="16"/>
                <w:szCs w:val="16"/>
                <w:lang w:val="en"/>
              </w:rPr>
              <w:t xml:space="preserve">The </w:t>
            </w:r>
            <w:r w:rsidR="00C174D5">
              <w:rPr>
                <w:sz w:val="16"/>
                <w:szCs w:val="16"/>
                <w:lang w:val="en"/>
              </w:rPr>
              <w:t>E</w:t>
            </w:r>
            <w:r w:rsidR="00C174D5" w:rsidRPr="00C174D5">
              <w:rPr>
                <w:sz w:val="16"/>
                <w:szCs w:val="16"/>
                <w:lang w:val="en"/>
              </w:rPr>
              <w:t>PR Textile Decree indirectly stimulates repair infrastructure (sorters, recycling companies), but does not directly support the repair of clothing that is still in use. Future delegated acts from the ESPR (expected around 2027) should address this with:</w:t>
            </w:r>
          </w:p>
          <w:p w14:paraId="3C7DAE70" w14:textId="77777777" w:rsidR="00C174D5" w:rsidRPr="00C174D5" w:rsidRDefault="00C174D5" w:rsidP="00C174D5">
            <w:pPr>
              <w:rPr>
                <w:sz w:val="16"/>
                <w:szCs w:val="16"/>
                <w:lang w:val="en"/>
              </w:rPr>
            </w:pPr>
            <w:r w:rsidRPr="00C174D5">
              <w:rPr>
                <w:sz w:val="16"/>
                <w:szCs w:val="16"/>
                <w:lang w:val="en"/>
              </w:rPr>
              <w:t>• Digital Product Passport with repair instructions</w:t>
            </w:r>
          </w:p>
          <w:p w14:paraId="3C99D5FB" w14:textId="77777777" w:rsidR="00C174D5" w:rsidRPr="00C174D5" w:rsidRDefault="00C174D5" w:rsidP="00C174D5">
            <w:pPr>
              <w:rPr>
                <w:sz w:val="16"/>
                <w:szCs w:val="16"/>
                <w:lang w:val="en"/>
              </w:rPr>
            </w:pPr>
            <w:r w:rsidRPr="00C174D5">
              <w:rPr>
                <w:sz w:val="16"/>
                <w:szCs w:val="16"/>
                <w:lang w:val="en"/>
              </w:rPr>
              <w:t>• Mandatory availability of spare parts</w:t>
            </w:r>
          </w:p>
          <w:p w14:paraId="1C476960" w14:textId="362CAFF8" w:rsidR="00856645" w:rsidRPr="00B3285C" w:rsidRDefault="00C174D5" w:rsidP="008476D6">
            <w:pPr>
              <w:rPr>
                <w:lang w:val="en-GB"/>
              </w:rPr>
            </w:pPr>
            <w:r w:rsidRPr="00C174D5">
              <w:rPr>
                <w:sz w:val="16"/>
                <w:szCs w:val="16"/>
                <w:lang w:val="en"/>
              </w:rPr>
              <w:t>• Lifespan labeling</w:t>
            </w:r>
          </w:p>
        </w:tc>
      </w:tr>
      <w:tr w:rsidR="00856645" w:rsidRPr="0054788D" w14:paraId="36F68465" w14:textId="77777777" w:rsidTr="00BF3546">
        <w:tc>
          <w:tcPr>
            <w:tcW w:w="3200" w:type="dxa"/>
            <w:tcBorders>
              <w:top w:val="single" w:sz="1" w:space="0" w:color="666666"/>
              <w:left w:val="single" w:sz="1" w:space="0" w:color="666666"/>
              <w:bottom w:val="single" w:sz="1" w:space="0" w:color="666666"/>
              <w:right w:val="single" w:sz="1" w:space="0" w:color="666666"/>
            </w:tcBorders>
            <w:shd w:val="clear" w:color="auto" w:fill="EBF5FB"/>
            <w:tcMar>
              <w:top w:w="50" w:type="dxa"/>
              <w:left w:w="80" w:type="dxa"/>
              <w:bottom w:w="50" w:type="dxa"/>
              <w:right w:w="80" w:type="dxa"/>
            </w:tcMar>
          </w:tcPr>
          <w:p w14:paraId="413E0A28" w14:textId="28E821F0" w:rsidR="00856645" w:rsidRDefault="00856645" w:rsidP="00856645">
            <w:r>
              <w:rPr>
                <w:b/>
                <w:bCs/>
                <w:sz w:val="16"/>
                <w:szCs w:val="16"/>
              </w:rPr>
              <w:t>'Verwachte levensduur'</w:t>
            </w:r>
            <w:r w:rsidR="001C3FCC">
              <w:rPr>
                <w:b/>
                <w:bCs/>
                <w:sz w:val="16"/>
                <w:szCs w:val="16"/>
              </w:rPr>
              <w:br/>
            </w:r>
            <w:r w:rsidR="00214F58">
              <w:rPr>
                <w:b/>
                <w:bCs/>
                <w:sz w:val="16"/>
                <w:szCs w:val="16"/>
              </w:rPr>
              <w:t xml:space="preserve"> Expected lifespan</w:t>
            </w:r>
          </w:p>
        </w:tc>
        <w:tc>
          <w:tcPr>
            <w:tcW w:w="7570" w:type="dxa"/>
            <w:tcBorders>
              <w:top w:val="single" w:sz="1" w:space="0" w:color="666666"/>
              <w:left w:val="single" w:sz="1" w:space="0" w:color="666666"/>
              <w:bottom w:val="single" w:sz="1" w:space="0" w:color="666666"/>
              <w:right w:val="single" w:sz="1" w:space="0" w:color="666666"/>
            </w:tcBorders>
            <w:shd w:val="clear" w:color="auto" w:fill="EBF5FB"/>
            <w:tcMar>
              <w:top w:w="50" w:type="dxa"/>
              <w:left w:w="80" w:type="dxa"/>
              <w:bottom w:w="50" w:type="dxa"/>
              <w:right w:w="80" w:type="dxa"/>
            </w:tcMar>
          </w:tcPr>
          <w:p w14:paraId="04186565" w14:textId="334599E2" w:rsidR="00856645" w:rsidRPr="00B3285C" w:rsidRDefault="00856645" w:rsidP="00856645">
            <w:pPr>
              <w:rPr>
                <w:lang w:val="en-GB"/>
              </w:rPr>
            </w:pPr>
            <w:r>
              <w:rPr>
                <w:sz w:val="16"/>
                <w:szCs w:val="16"/>
              </w:rPr>
              <w:t xml:space="preserve">NL: Non-conformiteit kan zich manifesteren zolang de verwachte levensduur van het product nog niet is verstreken. </w:t>
            </w:r>
            <w:r w:rsidRPr="00816717">
              <w:rPr>
                <w:sz w:val="16"/>
                <w:szCs w:val="16"/>
                <w:lang w:val="en-GB"/>
              </w:rPr>
              <w:t>Z</w:t>
            </w:r>
            <w:r>
              <w:rPr>
                <w:sz w:val="16"/>
                <w:szCs w:val="16"/>
                <w:lang w:val="en-GB"/>
              </w:rPr>
              <w:t xml:space="preserve">ie </w:t>
            </w:r>
            <w:hyperlink r:id="rId9" w:history="1">
              <w:r w:rsidRPr="004A4122">
                <w:rPr>
                  <w:rStyle w:val="Hyperlink"/>
                  <w:sz w:val="16"/>
                  <w:szCs w:val="16"/>
                  <w:lang w:val="en-GB"/>
                </w:rPr>
                <w:t>UNETO-VNI tabel</w:t>
              </w:r>
            </w:hyperlink>
            <w:r>
              <w:rPr>
                <w:sz w:val="16"/>
                <w:szCs w:val="16"/>
                <w:lang w:val="en-GB"/>
              </w:rPr>
              <w:t xml:space="preserve"> met gemiddelde gebruiksduurverwachting.</w:t>
            </w:r>
            <w:r w:rsidRPr="00816717">
              <w:rPr>
                <w:sz w:val="16"/>
                <w:szCs w:val="16"/>
                <w:lang w:val="en-GB"/>
              </w:rPr>
              <w:br/>
            </w:r>
            <w:r w:rsidRPr="00B3285C">
              <w:rPr>
                <w:sz w:val="16"/>
                <w:szCs w:val="16"/>
                <w:lang w:val="en-GB"/>
              </w:rPr>
              <w:t xml:space="preserve">EN: Non-conformity claims </w:t>
            </w:r>
            <w:r>
              <w:rPr>
                <w:sz w:val="16"/>
                <w:szCs w:val="16"/>
                <w:lang w:val="en-GB"/>
              </w:rPr>
              <w:t xml:space="preserve">are </w:t>
            </w:r>
            <w:r w:rsidRPr="00B3285C">
              <w:rPr>
                <w:sz w:val="16"/>
                <w:szCs w:val="16"/>
                <w:lang w:val="en-GB"/>
              </w:rPr>
              <w:t xml:space="preserve">possible throughout </w:t>
            </w:r>
            <w:r>
              <w:rPr>
                <w:sz w:val="16"/>
                <w:szCs w:val="16"/>
                <w:lang w:val="en-GB"/>
              </w:rPr>
              <w:t xml:space="preserve">the </w:t>
            </w:r>
            <w:r w:rsidRPr="00B3285C">
              <w:rPr>
                <w:sz w:val="16"/>
                <w:szCs w:val="16"/>
                <w:lang w:val="en-GB"/>
              </w:rPr>
              <w:t>product's expected lifespan (washing machine: ~10 years, smartphone: ~4-5 years).</w:t>
            </w:r>
            <w:r w:rsidR="00214F58">
              <w:rPr>
                <w:sz w:val="16"/>
                <w:szCs w:val="16"/>
                <w:lang w:val="en-GB"/>
              </w:rPr>
              <w:t xml:space="preserve">See </w:t>
            </w:r>
            <w:hyperlink r:id="rId10" w:history="1">
              <w:r w:rsidR="00214F58" w:rsidRPr="004A4122">
                <w:rPr>
                  <w:rStyle w:val="Hyperlink"/>
                  <w:sz w:val="16"/>
                  <w:szCs w:val="16"/>
                  <w:lang w:val="en-GB"/>
                </w:rPr>
                <w:t>UNETO-VNI tabel</w:t>
              </w:r>
            </w:hyperlink>
            <w:r w:rsidR="00214F58">
              <w:rPr>
                <w:sz w:val="16"/>
                <w:szCs w:val="16"/>
                <w:lang w:val="en-GB"/>
              </w:rPr>
              <w:t xml:space="preserve"> for an indication on expected lifespan.</w:t>
            </w:r>
          </w:p>
        </w:tc>
      </w:tr>
    </w:tbl>
    <w:p w14:paraId="3543C758" w14:textId="77777777" w:rsidR="00214F58" w:rsidRDefault="00214F58">
      <w:pPr>
        <w:pStyle w:val="Kop1"/>
        <w:rPr>
          <w:lang w:val="en-GB"/>
        </w:rPr>
      </w:pPr>
    </w:p>
    <w:p w14:paraId="44F5501A" w14:textId="3A16EA11" w:rsidR="00AD77A2" w:rsidRPr="00AC0AED" w:rsidRDefault="00214F58" w:rsidP="008476D6">
      <w:pPr>
        <w:pStyle w:val="Kop1"/>
        <w:rPr>
          <w:lang w:val="en-GB"/>
        </w:rPr>
      </w:pPr>
      <w:r>
        <w:rPr>
          <w:lang w:val="en-GB"/>
        </w:rPr>
        <w:br/>
      </w:r>
      <w:r w:rsidR="001B63D3" w:rsidRPr="00AC0AED">
        <w:rPr>
          <w:lang w:val="en-GB"/>
        </w:rPr>
        <w:t>3</w:t>
      </w:r>
      <w:r w:rsidR="00800035" w:rsidRPr="00AC0AED">
        <w:rPr>
          <w:lang w:val="en-GB"/>
        </w:rPr>
        <w:t xml:space="preserve">. </w:t>
      </w:r>
      <w:commentRangeStart w:id="0"/>
      <w:r w:rsidR="00AC0AED" w:rsidRPr="00AC0AED">
        <w:rPr>
          <w:lang w:val="en-GB"/>
        </w:rPr>
        <w:t xml:space="preserve">Inspiration from National Repair </w:t>
      </w:r>
      <w:r w:rsidR="00AC0AED">
        <w:rPr>
          <w:lang w:val="en-GB"/>
        </w:rPr>
        <w:t>initiatives</w:t>
      </w:r>
      <w:commentRangeEnd w:id="0"/>
      <w:r w:rsidRPr="00AC0AED">
        <w:rPr>
          <w:rStyle w:val="Verwijzingopmerking"/>
          <w:sz w:val="28"/>
          <w:szCs w:val="28"/>
          <w:lang w:val="en-GB"/>
        </w:rPr>
        <w:commentReference w:id="0"/>
      </w:r>
    </w:p>
    <w:p w14:paraId="536B1005" w14:textId="77777777" w:rsidR="00422071" w:rsidRPr="0004295B" w:rsidRDefault="00422071" w:rsidP="00422071">
      <w:pPr>
        <w:spacing w:before="80" w:after="80"/>
        <w:rPr>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13"/>
        <w:gridCol w:w="2972"/>
        <w:gridCol w:w="5885"/>
      </w:tblGrid>
      <w:tr w:rsidR="00422071" w:rsidRPr="0004295B" w14:paraId="218F6AD6" w14:textId="77777777" w:rsidTr="001C59A2">
        <w:tc>
          <w:tcPr>
            <w:tcW w:w="1712" w:type="dxa"/>
            <w:tcBorders>
              <w:top w:val="single" w:sz="1" w:space="0" w:color="666666"/>
              <w:left w:val="single" w:sz="1" w:space="0" w:color="666666"/>
              <w:bottom w:val="single" w:sz="1" w:space="0" w:color="666666"/>
              <w:right w:val="single" w:sz="1" w:space="0" w:color="666666"/>
            </w:tcBorders>
            <w:shd w:val="clear" w:color="auto" w:fill="1B4F72"/>
            <w:tcMar>
              <w:top w:w="80" w:type="dxa"/>
              <w:left w:w="100" w:type="dxa"/>
              <w:bottom w:w="80" w:type="dxa"/>
              <w:right w:w="100" w:type="dxa"/>
            </w:tcMar>
          </w:tcPr>
          <w:p w14:paraId="4D526F20" w14:textId="77777777" w:rsidR="00422071" w:rsidRPr="0004295B" w:rsidRDefault="00422071" w:rsidP="001C59A2">
            <w:pPr>
              <w:rPr>
                <w:sz w:val="24"/>
                <w:szCs w:val="24"/>
              </w:rPr>
            </w:pPr>
            <w:r w:rsidRPr="0004295B">
              <w:rPr>
                <w:b/>
                <w:bCs/>
                <w:color w:val="FFFFFF"/>
                <w:sz w:val="24"/>
                <w:szCs w:val="24"/>
              </w:rPr>
              <w:t>Country</w:t>
            </w:r>
          </w:p>
        </w:tc>
        <w:tc>
          <w:tcPr>
            <w:tcW w:w="2659" w:type="dxa"/>
            <w:tcBorders>
              <w:top w:val="single" w:sz="1" w:space="0" w:color="666666"/>
              <w:left w:val="single" w:sz="1" w:space="0" w:color="666666"/>
              <w:bottom w:val="single" w:sz="1" w:space="0" w:color="666666"/>
              <w:right w:val="single" w:sz="1" w:space="0" w:color="666666"/>
            </w:tcBorders>
            <w:shd w:val="clear" w:color="auto" w:fill="1B4F72"/>
            <w:tcMar>
              <w:top w:w="80" w:type="dxa"/>
              <w:left w:w="100" w:type="dxa"/>
              <w:bottom w:w="80" w:type="dxa"/>
              <w:right w:w="100" w:type="dxa"/>
            </w:tcMar>
          </w:tcPr>
          <w:p w14:paraId="6E7DFA43" w14:textId="77777777" w:rsidR="00422071" w:rsidRPr="0004295B" w:rsidRDefault="00422071" w:rsidP="001C59A2">
            <w:pPr>
              <w:rPr>
                <w:sz w:val="24"/>
                <w:szCs w:val="24"/>
              </w:rPr>
            </w:pPr>
            <w:r w:rsidRPr="0004295B">
              <w:rPr>
                <w:b/>
                <w:bCs/>
                <w:color w:val="FFFFFF"/>
                <w:sz w:val="24"/>
                <w:szCs w:val="24"/>
              </w:rPr>
              <w:t>Initiative</w:t>
            </w:r>
          </w:p>
        </w:tc>
        <w:tc>
          <w:tcPr>
            <w:tcW w:w="5265" w:type="dxa"/>
            <w:tcBorders>
              <w:top w:val="single" w:sz="1" w:space="0" w:color="666666"/>
              <w:left w:val="single" w:sz="1" w:space="0" w:color="666666"/>
              <w:bottom w:val="single" w:sz="1" w:space="0" w:color="666666"/>
              <w:right w:val="single" w:sz="1" w:space="0" w:color="666666"/>
            </w:tcBorders>
            <w:shd w:val="clear" w:color="auto" w:fill="1B4F72"/>
            <w:tcMar>
              <w:top w:w="80" w:type="dxa"/>
              <w:left w:w="100" w:type="dxa"/>
              <w:bottom w:w="80" w:type="dxa"/>
              <w:right w:w="100" w:type="dxa"/>
            </w:tcMar>
          </w:tcPr>
          <w:p w14:paraId="71F6BBCC" w14:textId="77777777" w:rsidR="00422071" w:rsidRPr="0004295B" w:rsidRDefault="00422071" w:rsidP="001C59A2">
            <w:pPr>
              <w:rPr>
                <w:sz w:val="24"/>
                <w:szCs w:val="24"/>
              </w:rPr>
            </w:pPr>
            <w:r w:rsidRPr="0004295B">
              <w:rPr>
                <w:b/>
                <w:bCs/>
                <w:color w:val="FFFFFF"/>
                <w:sz w:val="24"/>
                <w:szCs w:val="24"/>
              </w:rPr>
              <w:t>Details</w:t>
            </w:r>
          </w:p>
        </w:tc>
      </w:tr>
      <w:tr w:rsidR="00422071" w:rsidRPr="0004295B" w14:paraId="5453FE97" w14:textId="77777777" w:rsidTr="001C59A2">
        <w:tc>
          <w:tcPr>
            <w:tcW w:w="1712" w:type="dxa"/>
            <w:tcBorders>
              <w:top w:val="single" w:sz="1" w:space="0" w:color="666666"/>
              <w:left w:val="single" w:sz="1" w:space="0" w:color="666666"/>
              <w:bottom w:val="single" w:sz="1" w:space="0" w:color="666666"/>
              <w:right w:val="single" w:sz="1" w:space="0" w:color="666666"/>
            </w:tcBorders>
            <w:shd w:val="clear" w:color="auto" w:fill="EBF5FB"/>
            <w:tcMar>
              <w:top w:w="60" w:type="dxa"/>
              <w:left w:w="100" w:type="dxa"/>
              <w:bottom w:w="60" w:type="dxa"/>
              <w:right w:w="100" w:type="dxa"/>
            </w:tcMar>
          </w:tcPr>
          <w:p w14:paraId="1602529C" w14:textId="77777777" w:rsidR="00422071" w:rsidRPr="0004295B" w:rsidRDefault="00422071" w:rsidP="001C59A2">
            <w:pPr>
              <w:rPr>
                <w:sz w:val="24"/>
                <w:szCs w:val="24"/>
              </w:rPr>
            </w:pPr>
            <w:r w:rsidRPr="0004295B">
              <w:rPr>
                <w:b/>
                <w:bCs/>
                <w:sz w:val="24"/>
                <w:szCs w:val="24"/>
              </w:rPr>
              <w:t>France</w:t>
            </w:r>
          </w:p>
        </w:tc>
        <w:tc>
          <w:tcPr>
            <w:tcW w:w="2659" w:type="dxa"/>
            <w:tcBorders>
              <w:top w:val="single" w:sz="1" w:space="0" w:color="666666"/>
              <w:left w:val="single" w:sz="1" w:space="0" w:color="666666"/>
              <w:bottom w:val="single" w:sz="1" w:space="0" w:color="666666"/>
              <w:right w:val="single" w:sz="1" w:space="0" w:color="666666"/>
            </w:tcBorders>
            <w:shd w:val="clear" w:color="auto" w:fill="EBF5FB"/>
            <w:tcMar>
              <w:top w:w="60" w:type="dxa"/>
              <w:left w:w="100" w:type="dxa"/>
              <w:bottom w:w="60" w:type="dxa"/>
              <w:right w:w="100" w:type="dxa"/>
            </w:tcMar>
          </w:tcPr>
          <w:p w14:paraId="7227ED5B" w14:textId="403A9E4E" w:rsidR="00422071" w:rsidRPr="0004295B" w:rsidRDefault="00422071" w:rsidP="001C59A2">
            <w:pPr>
              <w:rPr>
                <w:sz w:val="24"/>
                <w:szCs w:val="24"/>
                <w:lang w:val="en-GB"/>
              </w:rPr>
            </w:pPr>
            <w:r w:rsidRPr="0004295B">
              <w:rPr>
                <w:sz w:val="24"/>
                <w:szCs w:val="24"/>
                <w:lang w:val="en-GB"/>
              </w:rPr>
              <w:t>Repair Index (</w:t>
            </w:r>
            <w:hyperlink r:id="rId15" w:history="1">
              <w:r w:rsidRPr="005B3F3D">
                <w:rPr>
                  <w:rStyle w:val="Hyperlink"/>
                  <w:sz w:val="24"/>
                  <w:szCs w:val="24"/>
                  <w:lang w:val="en-GB"/>
                </w:rPr>
                <w:t>Indice de Réparabilité</w:t>
              </w:r>
            </w:hyperlink>
            <w:r w:rsidRPr="0004295B">
              <w:rPr>
                <w:sz w:val="24"/>
                <w:szCs w:val="24"/>
                <w:lang w:val="en-GB"/>
              </w:rPr>
              <w:t>)</w:t>
            </w:r>
          </w:p>
        </w:tc>
        <w:tc>
          <w:tcPr>
            <w:tcW w:w="5265" w:type="dxa"/>
            <w:tcBorders>
              <w:top w:val="single" w:sz="1" w:space="0" w:color="666666"/>
              <w:left w:val="single" w:sz="1" w:space="0" w:color="666666"/>
              <w:bottom w:val="single" w:sz="1" w:space="0" w:color="666666"/>
              <w:right w:val="single" w:sz="1" w:space="0" w:color="666666"/>
            </w:tcBorders>
            <w:shd w:val="clear" w:color="auto" w:fill="EBF5FB"/>
            <w:tcMar>
              <w:top w:w="60" w:type="dxa"/>
              <w:left w:w="100" w:type="dxa"/>
              <w:bottom w:w="60" w:type="dxa"/>
              <w:right w:w="100" w:type="dxa"/>
            </w:tcMar>
          </w:tcPr>
          <w:p w14:paraId="00C9AF3A" w14:textId="77777777" w:rsidR="00422071" w:rsidRPr="0004295B" w:rsidRDefault="00422071" w:rsidP="001C59A2">
            <w:pPr>
              <w:rPr>
                <w:sz w:val="24"/>
                <w:szCs w:val="24"/>
              </w:rPr>
            </w:pPr>
            <w:r w:rsidRPr="0004295B">
              <w:rPr>
                <w:sz w:val="24"/>
                <w:szCs w:val="24"/>
                <w:lang w:val="en-GB"/>
              </w:rPr>
              <w:t xml:space="preserve">Mandatory since 2021 for smartphones, laptops, washing machines, TVs, lawnmowers. </w:t>
            </w:r>
            <w:r w:rsidRPr="0004295B">
              <w:rPr>
                <w:sz w:val="24"/>
                <w:szCs w:val="24"/>
              </w:rPr>
              <w:t>Score 1-10. Evolving to Durability Index.</w:t>
            </w:r>
          </w:p>
        </w:tc>
      </w:tr>
      <w:tr w:rsidR="00422071" w:rsidRPr="0004295B" w14:paraId="701F1A06" w14:textId="77777777" w:rsidTr="001C59A2">
        <w:tc>
          <w:tcPr>
            <w:tcW w:w="1712" w:type="dxa"/>
            <w:tcBorders>
              <w:top w:val="single" w:sz="1" w:space="0" w:color="666666"/>
              <w:left w:val="single" w:sz="1" w:space="0" w:color="666666"/>
              <w:bottom w:val="single" w:sz="1" w:space="0" w:color="666666"/>
              <w:right w:val="single" w:sz="1" w:space="0" w:color="666666"/>
            </w:tcBorders>
            <w:tcMar>
              <w:top w:w="60" w:type="dxa"/>
              <w:left w:w="100" w:type="dxa"/>
              <w:bottom w:w="60" w:type="dxa"/>
              <w:right w:w="100" w:type="dxa"/>
            </w:tcMar>
          </w:tcPr>
          <w:p w14:paraId="355ABB60" w14:textId="77777777" w:rsidR="00422071" w:rsidRPr="0004295B" w:rsidRDefault="00422071" w:rsidP="001C59A2">
            <w:pPr>
              <w:rPr>
                <w:sz w:val="24"/>
                <w:szCs w:val="24"/>
              </w:rPr>
            </w:pPr>
            <w:r w:rsidRPr="0004295B">
              <w:rPr>
                <w:b/>
                <w:bCs/>
                <w:sz w:val="24"/>
                <w:szCs w:val="24"/>
              </w:rPr>
              <w:t>France</w:t>
            </w:r>
          </w:p>
        </w:tc>
        <w:tc>
          <w:tcPr>
            <w:tcW w:w="2659" w:type="dxa"/>
            <w:tcBorders>
              <w:top w:val="single" w:sz="1" w:space="0" w:color="666666"/>
              <w:left w:val="single" w:sz="1" w:space="0" w:color="666666"/>
              <w:bottom w:val="single" w:sz="1" w:space="0" w:color="666666"/>
              <w:right w:val="single" w:sz="1" w:space="0" w:color="666666"/>
            </w:tcBorders>
            <w:tcMar>
              <w:top w:w="60" w:type="dxa"/>
              <w:left w:w="100" w:type="dxa"/>
              <w:bottom w:w="60" w:type="dxa"/>
              <w:right w:w="100" w:type="dxa"/>
            </w:tcMar>
          </w:tcPr>
          <w:p w14:paraId="74D332FB" w14:textId="77777777" w:rsidR="00422071" w:rsidRPr="0004295B" w:rsidRDefault="00422071" w:rsidP="001C59A2">
            <w:pPr>
              <w:rPr>
                <w:sz w:val="24"/>
                <w:szCs w:val="24"/>
              </w:rPr>
            </w:pPr>
            <w:r w:rsidRPr="0004295B">
              <w:rPr>
                <w:sz w:val="24"/>
                <w:szCs w:val="24"/>
              </w:rPr>
              <w:t>Repair Bonus (Bonus Réparation)</w:t>
            </w:r>
          </w:p>
        </w:tc>
        <w:tc>
          <w:tcPr>
            <w:tcW w:w="5265" w:type="dxa"/>
            <w:tcBorders>
              <w:top w:val="single" w:sz="1" w:space="0" w:color="666666"/>
              <w:left w:val="single" w:sz="1" w:space="0" w:color="666666"/>
              <w:bottom w:val="single" w:sz="1" w:space="0" w:color="666666"/>
              <w:right w:val="single" w:sz="1" w:space="0" w:color="666666"/>
            </w:tcBorders>
            <w:tcMar>
              <w:top w:w="60" w:type="dxa"/>
              <w:left w:w="100" w:type="dxa"/>
              <w:bottom w:w="60" w:type="dxa"/>
              <w:right w:w="100" w:type="dxa"/>
            </w:tcMar>
          </w:tcPr>
          <w:p w14:paraId="6557B09B" w14:textId="77777777" w:rsidR="00422071" w:rsidRPr="0004295B" w:rsidRDefault="00422071" w:rsidP="001C59A2">
            <w:pPr>
              <w:rPr>
                <w:sz w:val="24"/>
                <w:szCs w:val="24"/>
              </w:rPr>
            </w:pPr>
            <w:r w:rsidRPr="0004295B">
              <w:rPr>
                <w:sz w:val="24"/>
                <w:szCs w:val="24"/>
                <w:lang w:val="en-GB"/>
              </w:rPr>
              <w:t xml:space="preserve">Electronics: €15-60 depending on product. Textiles: €7-25 for repairs. </w:t>
            </w:r>
            <w:r w:rsidRPr="0004295B">
              <w:rPr>
                <w:sz w:val="24"/>
                <w:szCs w:val="24"/>
              </w:rPr>
              <w:t>Via labelled QualiRépar repairers.</w:t>
            </w:r>
          </w:p>
        </w:tc>
      </w:tr>
      <w:tr w:rsidR="00422071" w:rsidRPr="0054788D" w14:paraId="3817571F" w14:textId="77777777" w:rsidTr="001C59A2">
        <w:tc>
          <w:tcPr>
            <w:tcW w:w="1712" w:type="dxa"/>
            <w:tcBorders>
              <w:top w:val="single" w:sz="1" w:space="0" w:color="666666"/>
              <w:left w:val="single" w:sz="1" w:space="0" w:color="666666"/>
              <w:bottom w:val="single" w:sz="1" w:space="0" w:color="666666"/>
              <w:right w:val="single" w:sz="1" w:space="0" w:color="666666"/>
            </w:tcBorders>
            <w:shd w:val="clear" w:color="auto" w:fill="EBF5FB"/>
            <w:tcMar>
              <w:top w:w="60" w:type="dxa"/>
              <w:left w:w="100" w:type="dxa"/>
              <w:bottom w:w="60" w:type="dxa"/>
              <w:right w:w="100" w:type="dxa"/>
            </w:tcMar>
          </w:tcPr>
          <w:p w14:paraId="743651B6" w14:textId="77777777" w:rsidR="00422071" w:rsidRPr="0004295B" w:rsidRDefault="00422071" w:rsidP="001C59A2">
            <w:pPr>
              <w:rPr>
                <w:sz w:val="24"/>
                <w:szCs w:val="24"/>
              </w:rPr>
            </w:pPr>
            <w:r w:rsidRPr="0004295B">
              <w:rPr>
                <w:b/>
                <w:bCs/>
                <w:sz w:val="24"/>
                <w:szCs w:val="24"/>
              </w:rPr>
              <w:t>Austria</w:t>
            </w:r>
          </w:p>
        </w:tc>
        <w:tc>
          <w:tcPr>
            <w:tcW w:w="2659" w:type="dxa"/>
            <w:tcBorders>
              <w:top w:val="single" w:sz="1" w:space="0" w:color="666666"/>
              <w:left w:val="single" w:sz="1" w:space="0" w:color="666666"/>
              <w:bottom w:val="single" w:sz="1" w:space="0" w:color="666666"/>
              <w:right w:val="single" w:sz="1" w:space="0" w:color="666666"/>
            </w:tcBorders>
            <w:shd w:val="clear" w:color="auto" w:fill="EBF5FB"/>
            <w:tcMar>
              <w:top w:w="60" w:type="dxa"/>
              <w:left w:w="100" w:type="dxa"/>
              <w:bottom w:w="60" w:type="dxa"/>
              <w:right w:w="100" w:type="dxa"/>
            </w:tcMar>
          </w:tcPr>
          <w:p w14:paraId="62E9A4EE" w14:textId="42DE1095" w:rsidR="00422071" w:rsidRPr="0004295B" w:rsidRDefault="00422071" w:rsidP="001C59A2">
            <w:pPr>
              <w:rPr>
                <w:sz w:val="24"/>
                <w:szCs w:val="24"/>
              </w:rPr>
            </w:pPr>
            <w:hyperlink r:id="rId16" w:history="1">
              <w:r w:rsidRPr="00214F58">
                <w:rPr>
                  <w:rStyle w:val="Hyperlink"/>
                  <w:sz w:val="24"/>
                  <w:szCs w:val="24"/>
                </w:rPr>
                <w:t>Repair Voucher</w:t>
              </w:r>
            </w:hyperlink>
            <w:r w:rsidRPr="0004295B">
              <w:rPr>
                <w:sz w:val="24"/>
                <w:szCs w:val="24"/>
              </w:rPr>
              <w:t xml:space="preserve"> (Reparaturbonus)</w:t>
            </w:r>
          </w:p>
        </w:tc>
        <w:tc>
          <w:tcPr>
            <w:tcW w:w="5265" w:type="dxa"/>
            <w:tcBorders>
              <w:top w:val="single" w:sz="1" w:space="0" w:color="666666"/>
              <w:left w:val="single" w:sz="1" w:space="0" w:color="666666"/>
              <w:bottom w:val="single" w:sz="1" w:space="0" w:color="666666"/>
              <w:right w:val="single" w:sz="1" w:space="0" w:color="666666"/>
            </w:tcBorders>
            <w:shd w:val="clear" w:color="auto" w:fill="EBF5FB"/>
            <w:tcMar>
              <w:top w:w="60" w:type="dxa"/>
              <w:left w:w="100" w:type="dxa"/>
              <w:bottom w:w="60" w:type="dxa"/>
              <w:right w:w="100" w:type="dxa"/>
            </w:tcMar>
          </w:tcPr>
          <w:p w14:paraId="38693B5E" w14:textId="77777777" w:rsidR="00422071" w:rsidRPr="0004295B" w:rsidRDefault="00422071" w:rsidP="001C59A2">
            <w:pPr>
              <w:rPr>
                <w:sz w:val="24"/>
                <w:szCs w:val="24"/>
                <w:lang w:val="en-GB"/>
              </w:rPr>
            </w:pPr>
            <w:r w:rsidRPr="0004295B">
              <w:rPr>
                <w:sz w:val="24"/>
                <w:szCs w:val="24"/>
                <w:lang w:val="en-GB"/>
              </w:rPr>
              <w:t>Up to 50% of repair costs (max €200 total, €30 for estimates). €130M funding through 2026. reparaturbonus.at</w:t>
            </w:r>
          </w:p>
        </w:tc>
      </w:tr>
      <w:tr w:rsidR="00422071" w:rsidRPr="0054788D" w14:paraId="30C85081" w14:textId="77777777" w:rsidTr="001C59A2">
        <w:tc>
          <w:tcPr>
            <w:tcW w:w="1712" w:type="dxa"/>
            <w:tcBorders>
              <w:top w:val="single" w:sz="1" w:space="0" w:color="666666"/>
              <w:left w:val="single" w:sz="1" w:space="0" w:color="666666"/>
              <w:bottom w:val="single" w:sz="1" w:space="0" w:color="666666"/>
              <w:right w:val="single" w:sz="1" w:space="0" w:color="666666"/>
            </w:tcBorders>
            <w:tcMar>
              <w:top w:w="60" w:type="dxa"/>
              <w:left w:w="100" w:type="dxa"/>
              <w:bottom w:w="60" w:type="dxa"/>
              <w:right w:w="100" w:type="dxa"/>
            </w:tcMar>
          </w:tcPr>
          <w:p w14:paraId="72760F29" w14:textId="77777777" w:rsidR="00422071" w:rsidRPr="0004295B" w:rsidRDefault="00422071" w:rsidP="001C59A2">
            <w:pPr>
              <w:rPr>
                <w:sz w:val="24"/>
                <w:szCs w:val="24"/>
              </w:rPr>
            </w:pPr>
            <w:r w:rsidRPr="0004295B">
              <w:rPr>
                <w:b/>
                <w:bCs/>
                <w:sz w:val="24"/>
                <w:szCs w:val="24"/>
              </w:rPr>
              <w:t>Belgium</w:t>
            </w:r>
          </w:p>
        </w:tc>
        <w:tc>
          <w:tcPr>
            <w:tcW w:w="2659" w:type="dxa"/>
            <w:tcBorders>
              <w:top w:val="single" w:sz="1" w:space="0" w:color="666666"/>
              <w:left w:val="single" w:sz="1" w:space="0" w:color="666666"/>
              <w:bottom w:val="single" w:sz="1" w:space="0" w:color="666666"/>
              <w:right w:val="single" w:sz="1" w:space="0" w:color="666666"/>
            </w:tcBorders>
            <w:tcMar>
              <w:top w:w="60" w:type="dxa"/>
              <w:left w:w="100" w:type="dxa"/>
              <w:bottom w:w="60" w:type="dxa"/>
              <w:right w:w="100" w:type="dxa"/>
            </w:tcMar>
          </w:tcPr>
          <w:p w14:paraId="36307C00" w14:textId="6CB08E5A" w:rsidR="00422071" w:rsidRPr="0004295B" w:rsidRDefault="00FF3C2E" w:rsidP="001C59A2">
            <w:pPr>
              <w:rPr>
                <w:sz w:val="24"/>
                <w:szCs w:val="24"/>
              </w:rPr>
            </w:pPr>
            <w:hyperlink r:id="rId17" w:history="1">
              <w:r w:rsidR="00422071" w:rsidRPr="00FF3C2E">
                <w:rPr>
                  <w:rStyle w:val="Hyperlink"/>
                  <w:sz w:val="24"/>
                  <w:szCs w:val="24"/>
                </w:rPr>
                <w:t>Reduced VAT</w:t>
              </w:r>
            </w:hyperlink>
          </w:p>
        </w:tc>
        <w:tc>
          <w:tcPr>
            <w:tcW w:w="5265" w:type="dxa"/>
            <w:tcBorders>
              <w:top w:val="single" w:sz="1" w:space="0" w:color="666666"/>
              <w:left w:val="single" w:sz="1" w:space="0" w:color="666666"/>
              <w:bottom w:val="single" w:sz="1" w:space="0" w:color="666666"/>
              <w:right w:val="single" w:sz="1" w:space="0" w:color="666666"/>
            </w:tcBorders>
            <w:tcMar>
              <w:top w:w="60" w:type="dxa"/>
              <w:left w:w="100" w:type="dxa"/>
              <w:bottom w:w="60" w:type="dxa"/>
              <w:right w:w="100" w:type="dxa"/>
            </w:tcMar>
          </w:tcPr>
          <w:p w14:paraId="7D11D93F" w14:textId="5091F236" w:rsidR="00422071" w:rsidRPr="0004295B" w:rsidRDefault="00422071" w:rsidP="001C59A2">
            <w:pPr>
              <w:rPr>
                <w:sz w:val="24"/>
                <w:szCs w:val="24"/>
                <w:lang w:val="en-GB"/>
              </w:rPr>
            </w:pPr>
            <w:r w:rsidRPr="0004295B">
              <w:rPr>
                <w:sz w:val="24"/>
                <w:szCs w:val="24"/>
                <w:lang w:val="en-GB"/>
              </w:rPr>
              <w:t xml:space="preserve">6% VAT on repairs to </w:t>
            </w:r>
            <w:r w:rsidR="00FF3C2E">
              <w:rPr>
                <w:sz w:val="24"/>
                <w:szCs w:val="24"/>
                <w:lang w:val="en-GB"/>
              </w:rPr>
              <w:t xml:space="preserve">(non-electrical) </w:t>
            </w:r>
            <w:r w:rsidRPr="0004295B">
              <w:rPr>
                <w:sz w:val="24"/>
                <w:szCs w:val="24"/>
                <w:lang w:val="en-GB"/>
              </w:rPr>
              <w:t>bicycles, shoes, leather goods, clothing</w:t>
            </w:r>
          </w:p>
        </w:tc>
      </w:tr>
    </w:tbl>
    <w:p w14:paraId="26D0C1AF" w14:textId="77777777" w:rsidR="00AC0AED" w:rsidRDefault="00AC0AED" w:rsidP="00422071">
      <w:pPr>
        <w:pStyle w:val="Kop1"/>
        <w:rPr>
          <w:sz w:val="24"/>
          <w:szCs w:val="24"/>
          <w:lang w:val="en-GB"/>
        </w:rPr>
      </w:pPr>
    </w:p>
    <w:p w14:paraId="4CE5604E" w14:textId="00F779E6" w:rsidR="005F5E90" w:rsidRPr="005F5E90" w:rsidRDefault="00AC0AED" w:rsidP="005F5E90">
      <w:pPr>
        <w:pStyle w:val="Kop1"/>
        <w:rPr>
          <w:lang w:val="en-GB"/>
        </w:rPr>
      </w:pPr>
      <w:r>
        <w:rPr>
          <w:lang w:val="en-GB"/>
        </w:rPr>
        <w:t>4</w:t>
      </w:r>
      <w:r w:rsidRPr="00AC0AED">
        <w:rPr>
          <w:lang w:val="en-GB"/>
        </w:rPr>
        <w:t xml:space="preserve">. </w:t>
      </w:r>
      <w:r w:rsidR="005F5E90" w:rsidRPr="005F5E90">
        <w:rPr>
          <w:lang w:val="en-GB"/>
        </w:rPr>
        <w:t xml:space="preserve">Product Repair Trade-offs </w:t>
      </w:r>
      <w:commentRangeStart w:id="1"/>
      <w:r w:rsidR="005F5E90" w:rsidRPr="005F5E90">
        <w:rPr>
          <w:lang w:val="en-GB"/>
        </w:rPr>
        <w:t>– Tensions for Debate</w:t>
      </w:r>
      <w:commentRangeEnd w:id="1"/>
      <w:r w:rsidR="009669A2" w:rsidRPr="005F5E90">
        <w:rPr>
          <w:rStyle w:val="Verwijzingopmerking"/>
          <w:sz w:val="28"/>
          <w:szCs w:val="28"/>
          <w:lang w:val="en-GB"/>
        </w:rPr>
        <w:commentReference w:id="1"/>
      </w:r>
    </w:p>
    <w:p w14:paraId="16AC67B5" w14:textId="3F58F14C" w:rsidR="005F5E90" w:rsidRPr="005F5E90" w:rsidRDefault="005F5E90" w:rsidP="005F5E90">
      <w:pPr>
        <w:spacing w:after="120"/>
        <w:rPr>
          <w:lang w:val="en-GB"/>
        </w:rPr>
      </w:pPr>
      <w:r w:rsidRPr="005F5E90">
        <w:rPr>
          <w:i/>
          <w:iCs/>
          <w:lang w:val="en-GB"/>
        </w:rPr>
        <w:t xml:space="preserve">The following tensions represent dilemmas where different stakeholder interests </w:t>
      </w:r>
      <w:r>
        <w:rPr>
          <w:i/>
          <w:iCs/>
          <w:lang w:val="en-GB"/>
        </w:rPr>
        <w:t xml:space="preserve">might </w:t>
      </w:r>
      <w:r w:rsidRPr="005F5E90">
        <w:rPr>
          <w:i/>
          <w:iCs/>
          <w:lang w:val="en-GB"/>
        </w:rPr>
        <w:t xml:space="preserve">collide. These </w:t>
      </w:r>
      <w:r w:rsidR="009D17F4">
        <w:rPr>
          <w:i/>
          <w:iCs/>
          <w:lang w:val="en-GB"/>
        </w:rPr>
        <w:t xml:space="preserve">tensions can be used as input to stimulate the argumentation for the </w:t>
      </w:r>
      <w:r w:rsidRPr="005F5E90">
        <w:rPr>
          <w:i/>
          <w:iCs/>
          <w:lang w:val="en-GB"/>
        </w:rPr>
        <w:t xml:space="preserve">Council of Repair debate </w:t>
      </w:r>
      <w:r w:rsidR="009D17F4">
        <w:rPr>
          <w:i/>
          <w:iCs/>
          <w:lang w:val="en-GB"/>
        </w:rPr>
        <w:t>propositions</w:t>
      </w:r>
      <w:r w:rsidRPr="005F5E90">
        <w:rPr>
          <w:i/>
          <w:iCs/>
          <w:lang w:val="en-GB"/>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7600"/>
      </w:tblGrid>
      <w:tr w:rsidR="005F5E90" w14:paraId="2CBF1FCA" w14:textId="77777777" w:rsidTr="009D17F4">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60" w:type="dxa"/>
              <w:left w:w="100" w:type="dxa"/>
              <w:bottom w:w="60" w:type="dxa"/>
              <w:right w:w="100" w:type="dxa"/>
            </w:tcMar>
            <w:vAlign w:val="center"/>
          </w:tcPr>
          <w:p w14:paraId="6F133649" w14:textId="77777777" w:rsidR="005F5E90" w:rsidRDefault="005F5E90" w:rsidP="00BC1AE8">
            <w:pPr>
              <w:jc w:val="center"/>
            </w:pPr>
            <w:r>
              <w:rPr>
                <w:b/>
                <w:bCs/>
              </w:rPr>
              <w:t>Repair Challenge</w:t>
            </w:r>
          </w:p>
        </w:tc>
        <w:tc>
          <w:tcPr>
            <w:tcW w:w="7600" w:type="dxa"/>
            <w:tcBorders>
              <w:top w:val="single" w:sz="1" w:space="0" w:color="CCCCCC"/>
              <w:left w:val="single" w:sz="1" w:space="0" w:color="CCCCCC"/>
              <w:bottom w:val="single" w:sz="1" w:space="0" w:color="CCCCCC"/>
              <w:right w:val="single" w:sz="1" w:space="0" w:color="CCCCCC"/>
            </w:tcBorders>
            <w:shd w:val="clear" w:color="auto" w:fill="E8E8E8" w:themeFill="background2"/>
            <w:tcMar>
              <w:top w:w="60" w:type="dxa"/>
              <w:left w:w="100" w:type="dxa"/>
              <w:bottom w:w="60" w:type="dxa"/>
              <w:right w:w="100" w:type="dxa"/>
            </w:tcMar>
            <w:vAlign w:val="center"/>
          </w:tcPr>
          <w:p w14:paraId="4F167CD0" w14:textId="38CCF3D6" w:rsidR="005F5E90" w:rsidRDefault="005F5E90" w:rsidP="00BC1AE8">
            <w:pPr>
              <w:jc w:val="center"/>
            </w:pPr>
            <w:r>
              <w:rPr>
                <w:b/>
                <w:bCs/>
              </w:rPr>
              <w:t xml:space="preserve"> Tensions</w:t>
            </w:r>
          </w:p>
        </w:tc>
      </w:tr>
      <w:tr w:rsidR="005F5E90" w14:paraId="20A2318C" w14:textId="77777777" w:rsidTr="00BC1AE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3B335543" w14:textId="77777777" w:rsidR="005F5E90" w:rsidRPr="005F5E90" w:rsidRDefault="005F5E90" w:rsidP="00BC1AE8">
            <w:pPr>
              <w:rPr>
                <w:lang w:val="en-GB"/>
              </w:rPr>
            </w:pPr>
            <w:r w:rsidRPr="005F5E90">
              <w:rPr>
                <w:b/>
                <w:bCs/>
                <w:lang w:val="en-GB"/>
              </w:rPr>
              <w:t>Price vs. Repairability</w:t>
            </w:r>
            <w:r w:rsidRPr="005F5E90">
              <w:rPr>
                <w:sz w:val="18"/>
                <w:szCs w:val="18"/>
                <w:lang w:val="en-GB"/>
              </w:rPr>
              <w:t xml:space="preserve"> (Expensive vs. Cheap/Virgin Cost)</w:t>
            </w:r>
          </w:p>
        </w:tc>
        <w:tc>
          <w:tcPr>
            <w:tcW w:w="76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3B5AACC1" w14:textId="77777777" w:rsidR="005F5E90" w:rsidRDefault="005F5E90" w:rsidP="00BC1AE8">
            <w:r w:rsidRPr="005F5E90">
              <w:rPr>
                <w:lang w:val="en-GB"/>
              </w:rPr>
              <w:t xml:space="preserve">Cheap products often use virgin materials and non-repairable design; expensive products may justify repair investment but exclude lower-income consumers. </w:t>
            </w:r>
            <w:r>
              <w:t>Where is the economic threshold for 'worth repairing'?</w:t>
            </w:r>
          </w:p>
        </w:tc>
      </w:tr>
      <w:tr w:rsidR="005F5E90" w14:paraId="36B288F6" w14:textId="77777777" w:rsidTr="00BC1AE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9537BA3" w14:textId="77777777" w:rsidR="005F5E90" w:rsidRPr="005F5E90" w:rsidRDefault="005F5E90" w:rsidP="00BC1AE8">
            <w:pPr>
              <w:rPr>
                <w:lang w:val="en-GB"/>
              </w:rPr>
            </w:pPr>
            <w:r w:rsidRPr="005F5E90">
              <w:rPr>
                <w:b/>
                <w:bCs/>
                <w:lang w:val="en-GB"/>
              </w:rPr>
              <w:t>Repair vs. Maintenance</w:t>
            </w:r>
            <w:r w:rsidRPr="005F5E90">
              <w:rPr>
                <w:sz w:val="18"/>
                <w:szCs w:val="18"/>
                <w:lang w:val="en-GB"/>
              </w:rPr>
              <w:t xml:space="preserve"> (Care/Maintenance as 'Repair-objection')</w:t>
            </w:r>
          </w:p>
        </w:tc>
        <w:tc>
          <w:tcPr>
            <w:tcW w:w="7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2BAE365" w14:textId="77777777" w:rsidR="005F5E90" w:rsidRDefault="005F5E90" w:rsidP="00BC1AE8">
            <w:r w:rsidRPr="005F5E90">
              <w:rPr>
                <w:lang w:val="en-GB"/>
              </w:rPr>
              <w:t xml:space="preserve">Should regular maintenance (cleaning, oiling) be considered part of repair culture? Manufacturers may argue products fail due to lack of care, not design flaws. </w:t>
            </w:r>
            <w:r>
              <w:t>Where does consumer responsibility end?</w:t>
            </w:r>
          </w:p>
        </w:tc>
      </w:tr>
      <w:tr w:rsidR="005F5E90" w:rsidRPr="005F5E90" w14:paraId="1A455753" w14:textId="77777777" w:rsidTr="00BC1AE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vAlign w:val="center"/>
          </w:tcPr>
          <w:p w14:paraId="7A3D1516" w14:textId="173E8FEB" w:rsidR="005F5E90" w:rsidRPr="005F5E90" w:rsidRDefault="005F5E90" w:rsidP="00BC1AE8">
            <w:pPr>
              <w:rPr>
                <w:lang w:val="en-GB"/>
              </w:rPr>
            </w:pPr>
            <w:r w:rsidRPr="005F5E90">
              <w:rPr>
                <w:b/>
                <w:bCs/>
                <w:lang w:val="en-GB"/>
              </w:rPr>
              <w:t>Business Models</w:t>
            </w:r>
            <w:r w:rsidRPr="005F5E90">
              <w:rPr>
                <w:sz w:val="18"/>
                <w:szCs w:val="18"/>
                <w:lang w:val="en-GB"/>
              </w:rPr>
              <w:t xml:space="preserve"> (Coffee machines, printers)</w:t>
            </w:r>
          </w:p>
        </w:tc>
        <w:tc>
          <w:tcPr>
            <w:tcW w:w="76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vAlign w:val="center"/>
          </w:tcPr>
          <w:p w14:paraId="145EF763" w14:textId="77777777" w:rsidR="005F5E90" w:rsidRPr="005F5E90" w:rsidRDefault="005F5E90" w:rsidP="00BC1AE8">
            <w:pPr>
              <w:rPr>
                <w:lang w:val="en-GB"/>
              </w:rPr>
            </w:pPr>
            <w:r w:rsidRPr="005F5E90">
              <w:rPr>
                <w:lang w:val="en-GB"/>
              </w:rPr>
              <w:t>Products sold cheaply with expensive consumables (coffee pods, ink cartridges). Business model relies on replacement, not longevity. How to regulate without killing innovation in service models?</w:t>
            </w:r>
          </w:p>
        </w:tc>
      </w:tr>
      <w:tr w:rsidR="005F5E90" w14:paraId="6B41CCFA" w14:textId="77777777" w:rsidTr="00BC1AE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7133D421" w14:textId="77777777" w:rsidR="005F5E90" w:rsidRPr="005F5E90" w:rsidRDefault="005F5E90" w:rsidP="00BC1AE8">
            <w:pPr>
              <w:rPr>
                <w:lang w:val="en-GB"/>
              </w:rPr>
            </w:pPr>
            <w:r w:rsidRPr="005F5E90">
              <w:rPr>
                <w:b/>
                <w:bCs/>
                <w:lang w:val="en-GB"/>
              </w:rPr>
              <w:t>Design vs. Repairability</w:t>
            </w:r>
            <w:r w:rsidRPr="005F5E90">
              <w:rPr>
                <w:sz w:val="18"/>
                <w:szCs w:val="18"/>
                <w:lang w:val="en-GB"/>
              </w:rPr>
              <w:t xml:space="preserve"> (Thin design vs. Modularity)</w:t>
            </w:r>
          </w:p>
        </w:tc>
        <w:tc>
          <w:tcPr>
            <w:tcW w:w="76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6C5DF30B" w14:textId="77777777" w:rsidR="005F5E90" w:rsidRDefault="005F5E90" w:rsidP="00BC1AE8">
            <w:r w:rsidRPr="005F5E90">
              <w:rPr>
                <w:lang w:val="en-GB"/>
              </w:rPr>
              <w:t xml:space="preserve">Consumers want sleek, thin, waterproof devices. Repairability requires accessible components, thicker designs, removable parts. </w:t>
            </w:r>
            <w:r>
              <w:t>Trade-off between design/customization and repair access.</w:t>
            </w:r>
          </w:p>
        </w:tc>
      </w:tr>
      <w:tr w:rsidR="005F5E90" w:rsidRPr="005F5E90" w14:paraId="38EA482B" w14:textId="77777777" w:rsidTr="00BC1AE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66186E2" w14:textId="77777777" w:rsidR="005F5E90" w:rsidRPr="005F5E90" w:rsidRDefault="005F5E90" w:rsidP="00BC1AE8">
            <w:pPr>
              <w:rPr>
                <w:lang w:val="en-GB"/>
              </w:rPr>
            </w:pPr>
            <w:r w:rsidRPr="005F5E90">
              <w:rPr>
                <w:b/>
                <w:bCs/>
                <w:lang w:val="en-GB"/>
              </w:rPr>
              <w:t>Glued/Sealed Construction</w:t>
            </w:r>
            <w:r w:rsidRPr="005F5E90">
              <w:rPr>
                <w:sz w:val="18"/>
                <w:szCs w:val="18"/>
                <w:lang w:val="en-GB"/>
              </w:rPr>
              <w:t xml:space="preserve"> (Mono-stream materials)</w:t>
            </w:r>
          </w:p>
        </w:tc>
        <w:tc>
          <w:tcPr>
            <w:tcW w:w="7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68073E0" w14:textId="77777777" w:rsidR="005F5E90" w:rsidRPr="005F5E90" w:rsidRDefault="005F5E90" w:rsidP="00BC1AE8">
            <w:pPr>
              <w:rPr>
                <w:lang w:val="en-GB"/>
              </w:rPr>
            </w:pPr>
            <w:r w:rsidRPr="005F5E90">
              <w:rPr>
                <w:lang w:val="en-GB"/>
              </w:rPr>
              <w:t>Glued construction enables water resistance and durability but prevents disassembly. Mono-material design aids recycling but limits component replacement. Performance vs. repair access.</w:t>
            </w:r>
          </w:p>
        </w:tc>
      </w:tr>
      <w:tr w:rsidR="005F5E90" w14:paraId="27A7FA16" w14:textId="77777777" w:rsidTr="00BC1AE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vAlign w:val="center"/>
          </w:tcPr>
          <w:p w14:paraId="0EDF73C3" w14:textId="77777777" w:rsidR="005F5E90" w:rsidRPr="005F5E90" w:rsidRDefault="005F5E90" w:rsidP="00BC1AE8">
            <w:pPr>
              <w:rPr>
                <w:lang w:val="en-GB"/>
              </w:rPr>
            </w:pPr>
            <w:r w:rsidRPr="005F5E90">
              <w:rPr>
                <w:b/>
                <w:bCs/>
                <w:lang w:val="en-GB"/>
              </w:rPr>
              <w:t>Personal/Emotional Value</w:t>
            </w:r>
            <w:r w:rsidRPr="005F5E90">
              <w:rPr>
                <w:sz w:val="18"/>
                <w:szCs w:val="18"/>
                <w:lang w:val="en-GB"/>
              </w:rPr>
              <w:t xml:space="preserve"> (Old-fashioned vs. Sturdy)</w:t>
            </w:r>
          </w:p>
        </w:tc>
        <w:tc>
          <w:tcPr>
            <w:tcW w:w="76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vAlign w:val="center"/>
          </w:tcPr>
          <w:p w14:paraId="2D68C706" w14:textId="77777777" w:rsidR="005F5E90" w:rsidRDefault="005F5E90" w:rsidP="00BC1AE8">
            <w:r w:rsidRPr="005F5E90">
              <w:rPr>
                <w:lang w:val="en-GB"/>
              </w:rPr>
              <w:t xml:space="preserve">Some products carry emotional value (grandmother's sewing machine) justifying any repair cost. Fashion/style preferences ('old-fashioned') may discourage repair of functional items. </w:t>
            </w:r>
            <w:r>
              <w:t>Who decides 'worth keeping'?</w:t>
            </w:r>
          </w:p>
        </w:tc>
      </w:tr>
      <w:tr w:rsidR="005F5E90" w:rsidRPr="005F5E90" w14:paraId="4CD18CF2" w14:textId="77777777" w:rsidTr="00BC1AE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7231EDB7" w14:textId="77777777" w:rsidR="005F5E90" w:rsidRDefault="005F5E90" w:rsidP="00BC1AE8">
            <w:r>
              <w:rPr>
                <w:b/>
                <w:bCs/>
              </w:rPr>
              <w:t>Software Locks &amp; Parts Pairing</w:t>
            </w:r>
          </w:p>
        </w:tc>
        <w:tc>
          <w:tcPr>
            <w:tcW w:w="76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00796984" w14:textId="77777777" w:rsidR="005F5E90" w:rsidRPr="005F5E90" w:rsidRDefault="005F5E90" w:rsidP="00BC1AE8">
            <w:pPr>
              <w:rPr>
                <w:lang w:val="en-GB"/>
              </w:rPr>
            </w:pPr>
            <w:r w:rsidRPr="005F5E90">
              <w:rPr>
                <w:lang w:val="en-GB"/>
              </w:rPr>
              <w:t>Manufacturers pair components via software (screens, batteries). Claimed for security/authenticity but prevents third-party repair. Innovation/IP protection vs. consumer ownership rights.</w:t>
            </w:r>
          </w:p>
        </w:tc>
      </w:tr>
      <w:tr w:rsidR="005F5E90" w:rsidRPr="005F5E90" w14:paraId="267BA53F" w14:textId="77777777" w:rsidTr="00BC1AE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E190F43" w14:textId="77777777" w:rsidR="005F5E90" w:rsidRPr="005F5E90" w:rsidRDefault="005F5E90" w:rsidP="00BC1AE8">
            <w:pPr>
              <w:rPr>
                <w:lang w:val="en-GB"/>
              </w:rPr>
            </w:pPr>
            <w:r w:rsidRPr="005F5E90">
              <w:rPr>
                <w:b/>
                <w:bCs/>
                <w:lang w:val="en-GB"/>
              </w:rPr>
              <w:t>Spare Parts Availability</w:t>
            </w:r>
            <w:r w:rsidRPr="005F5E90">
              <w:rPr>
                <w:sz w:val="18"/>
                <w:szCs w:val="18"/>
                <w:lang w:val="en-GB"/>
              </w:rPr>
              <w:t xml:space="preserve"> (Local repair capacity)</w:t>
            </w:r>
          </w:p>
        </w:tc>
        <w:tc>
          <w:tcPr>
            <w:tcW w:w="7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26B3922" w14:textId="77777777" w:rsidR="005F5E90" w:rsidRPr="005F5E90" w:rsidRDefault="005F5E90" w:rsidP="00BC1AE8">
            <w:pPr>
              <w:rPr>
                <w:lang w:val="en-GB"/>
              </w:rPr>
            </w:pPr>
            <w:r w:rsidRPr="005F5E90">
              <w:rPr>
                <w:lang w:val="en-GB"/>
              </w:rPr>
              <w:t>Cost of stocking parts for years vs. economic viability. Local repair shops struggle to source parts. Too many products, too few standardized components. Scale materials, timeline, protocol all factor in.</w:t>
            </w:r>
          </w:p>
        </w:tc>
      </w:tr>
      <w:tr w:rsidR="005F5E90" w:rsidRPr="005F5E90" w14:paraId="74D8A25B" w14:textId="77777777" w:rsidTr="00BC1AE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vAlign w:val="center"/>
          </w:tcPr>
          <w:p w14:paraId="707F17D5" w14:textId="77777777" w:rsidR="005F5E90" w:rsidRDefault="005F5E90" w:rsidP="00BC1AE8">
            <w:r>
              <w:rPr>
                <w:b/>
                <w:bCs/>
              </w:rPr>
              <w:t>Soldered Components &amp; Firmware</w:t>
            </w:r>
          </w:p>
        </w:tc>
        <w:tc>
          <w:tcPr>
            <w:tcW w:w="76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vAlign w:val="center"/>
          </w:tcPr>
          <w:p w14:paraId="56C23E30" w14:textId="77777777" w:rsidR="005F5E90" w:rsidRPr="005F5E90" w:rsidRDefault="005F5E90" w:rsidP="00BC1AE8">
            <w:pPr>
              <w:rPr>
                <w:lang w:val="en-GB"/>
              </w:rPr>
            </w:pPr>
            <w:r w:rsidRPr="005F5E90">
              <w:rPr>
                <w:lang w:val="en-GB"/>
              </w:rPr>
              <w:t>Soldered RAM/storage reduces cost and size but prevents upgrades. Firmware updates may disable third-party parts. Security patching vs. repair openness.</w:t>
            </w:r>
          </w:p>
        </w:tc>
      </w:tr>
      <w:tr w:rsidR="005F5E90" w:rsidRPr="005F5E90" w14:paraId="5169B7F5" w14:textId="77777777" w:rsidTr="00BC1AE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35D984FB" w14:textId="77777777" w:rsidR="005F5E90" w:rsidRPr="005F5E90" w:rsidRDefault="005F5E90" w:rsidP="00BC1AE8">
            <w:pPr>
              <w:rPr>
                <w:lang w:val="en-GB"/>
              </w:rPr>
            </w:pPr>
            <w:r w:rsidRPr="005F5E90">
              <w:rPr>
                <w:b/>
                <w:bCs/>
                <w:lang w:val="en-GB"/>
              </w:rPr>
              <w:lastRenderedPageBreak/>
              <w:t>Battery Replacement &amp; Safety</w:t>
            </w:r>
            <w:r w:rsidRPr="005F5E90">
              <w:rPr>
                <w:sz w:val="18"/>
                <w:szCs w:val="18"/>
                <w:lang w:val="en-GB"/>
              </w:rPr>
              <w:t xml:space="preserve"> (Fire risk, certification)</w:t>
            </w:r>
          </w:p>
        </w:tc>
        <w:tc>
          <w:tcPr>
            <w:tcW w:w="76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74CF57D7" w14:textId="77777777" w:rsidR="005F5E90" w:rsidRPr="005F5E90" w:rsidRDefault="005F5E90" w:rsidP="00BC1AE8">
            <w:pPr>
              <w:rPr>
                <w:lang w:val="en-GB"/>
              </w:rPr>
            </w:pPr>
            <w:r w:rsidRPr="005F5E90">
              <w:rPr>
                <w:lang w:val="en-GB"/>
              </w:rPr>
              <w:t>DIY battery replacement poses fire/explosion risks. Safety certification requirements vs. consumer right to replace. Battery recycling infrastructure needed. Products with batteries face unique challenges.</w:t>
            </w:r>
          </w:p>
        </w:tc>
      </w:tr>
      <w:tr w:rsidR="005F5E90" w:rsidRPr="005F5E90" w14:paraId="212F8DEB" w14:textId="77777777" w:rsidTr="00BC1AE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FC31EB9" w14:textId="77777777" w:rsidR="005F5E90" w:rsidRPr="005F5E90" w:rsidRDefault="005F5E90" w:rsidP="00BC1AE8">
            <w:pPr>
              <w:rPr>
                <w:lang w:val="en-GB"/>
              </w:rPr>
            </w:pPr>
            <w:r w:rsidRPr="005F5E90">
              <w:rPr>
                <w:b/>
                <w:bCs/>
                <w:lang w:val="en-GB"/>
              </w:rPr>
              <w:t>Sealed Cooling Systems</w:t>
            </w:r>
            <w:r w:rsidRPr="005F5E90">
              <w:rPr>
                <w:sz w:val="18"/>
                <w:szCs w:val="18"/>
                <w:lang w:val="en-GB"/>
              </w:rPr>
              <w:t xml:space="preserve"> (Refrigerant regulations)</w:t>
            </w:r>
          </w:p>
        </w:tc>
        <w:tc>
          <w:tcPr>
            <w:tcW w:w="7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B7E8E8D" w14:textId="77777777" w:rsidR="005F5E90" w:rsidRPr="005F5E90" w:rsidRDefault="005F5E90" w:rsidP="00BC1AE8">
            <w:pPr>
              <w:rPr>
                <w:lang w:val="en-GB"/>
              </w:rPr>
            </w:pPr>
            <w:r w:rsidRPr="005F5E90">
              <w:rPr>
                <w:lang w:val="en-GB"/>
              </w:rPr>
              <w:t>Refrigerators, AC units contain regulated refrigerants. Energy efficiency requires sealed systems. Only certified technicians can legally repair. Consumer access vs. environmental safety.</w:t>
            </w:r>
          </w:p>
        </w:tc>
      </w:tr>
      <w:tr w:rsidR="005F5E90" w:rsidRPr="0070075C" w14:paraId="1187104B" w14:textId="77777777" w:rsidTr="00BC1AE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vAlign w:val="center"/>
          </w:tcPr>
          <w:p w14:paraId="081EDA9A" w14:textId="40700786" w:rsidR="005F5E90" w:rsidRPr="005F5E90" w:rsidRDefault="005F5E90" w:rsidP="00BC1AE8">
            <w:pPr>
              <w:rPr>
                <w:lang w:val="en-GB"/>
              </w:rPr>
            </w:pPr>
            <w:r w:rsidRPr="005F5E90">
              <w:rPr>
                <w:b/>
                <w:bCs/>
                <w:lang w:val="en-GB"/>
              </w:rPr>
              <w:t>Small Inexpensive Items</w:t>
            </w:r>
            <w:r w:rsidRPr="005F5E90">
              <w:rPr>
                <w:sz w:val="18"/>
                <w:szCs w:val="18"/>
                <w:lang w:val="en-GB"/>
              </w:rPr>
              <w:t xml:space="preserve"> </w:t>
            </w:r>
            <w:r w:rsidR="0070075C">
              <w:rPr>
                <w:sz w:val="18"/>
                <w:szCs w:val="18"/>
                <w:lang w:val="en-GB"/>
              </w:rPr>
              <w:br/>
            </w:r>
            <w:r w:rsidRPr="005F5E90">
              <w:rPr>
                <w:sz w:val="18"/>
                <w:szCs w:val="18"/>
                <w:lang w:val="en-GB"/>
              </w:rPr>
              <w:t xml:space="preserve">(Cheap </w:t>
            </w:r>
            <w:r w:rsidR="0070075C">
              <w:rPr>
                <w:sz w:val="18"/>
                <w:szCs w:val="18"/>
                <w:lang w:val="en-GB"/>
              </w:rPr>
              <w:t>consumables (textiles/ electronics</w:t>
            </w:r>
            <w:r w:rsidRPr="005F5E90">
              <w:rPr>
                <w:sz w:val="18"/>
                <w:szCs w:val="18"/>
                <w:lang w:val="en-GB"/>
              </w:rPr>
              <w:t xml:space="preserve"> under €50)</w:t>
            </w:r>
          </w:p>
        </w:tc>
        <w:tc>
          <w:tcPr>
            <w:tcW w:w="760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00" w:type="dxa"/>
              <w:bottom w:w="60" w:type="dxa"/>
              <w:right w:w="100" w:type="dxa"/>
            </w:tcMar>
            <w:vAlign w:val="center"/>
          </w:tcPr>
          <w:p w14:paraId="22B4EA23" w14:textId="2A433BB5" w:rsidR="005F5E90" w:rsidRPr="0070075C" w:rsidRDefault="005F5E90" w:rsidP="00BC1AE8">
            <w:pPr>
              <w:rPr>
                <w:lang w:val="en-GB"/>
              </w:rPr>
            </w:pPr>
            <w:r w:rsidRPr="005F5E90">
              <w:rPr>
                <w:lang w:val="en-GB"/>
              </w:rPr>
              <w:t xml:space="preserve">Hair dryers, alarm clocks, small tools – repair cost often exceeds product price. </w:t>
            </w:r>
            <w:r w:rsidR="0070075C" w:rsidRPr="005F5E90">
              <w:rPr>
                <w:lang w:val="en-GB"/>
              </w:rPr>
              <w:t>Cheap textiles with weak seams</w:t>
            </w:r>
            <w:r w:rsidR="0070075C">
              <w:rPr>
                <w:lang w:val="en-GB"/>
              </w:rPr>
              <w:t xml:space="preserve"> and</w:t>
            </w:r>
            <w:r w:rsidR="0070075C" w:rsidRPr="005F5E90">
              <w:rPr>
                <w:lang w:val="en-GB"/>
              </w:rPr>
              <w:t xml:space="preserve"> non-replaceable zippers. Repair cost often exceeds replacement cost.</w:t>
            </w:r>
            <w:r w:rsidR="0070075C">
              <w:rPr>
                <w:lang w:val="en-GB"/>
              </w:rPr>
              <w:t xml:space="preserve"> </w:t>
            </w:r>
            <w:r w:rsidRPr="005F5E90">
              <w:rPr>
                <w:lang w:val="en-GB"/>
              </w:rPr>
              <w:t xml:space="preserve">'Too many products' problem. Should minimum repairability apply to all price points? </w:t>
            </w:r>
            <w:r w:rsidRPr="0070075C">
              <w:rPr>
                <w:lang w:val="en-GB"/>
              </w:rPr>
              <w:t>At what threshold?</w:t>
            </w:r>
            <w:r w:rsidR="0070075C" w:rsidRPr="0070075C">
              <w:rPr>
                <w:lang w:val="en-GB"/>
              </w:rPr>
              <w:t xml:space="preserve"> Plea for s</w:t>
            </w:r>
            <w:r w:rsidR="0070075C" w:rsidRPr="005F5E90">
              <w:rPr>
                <w:lang w:val="en-GB"/>
              </w:rPr>
              <w:t>tandardized components (buttons, zippers) vs. design freedom</w:t>
            </w:r>
          </w:p>
        </w:tc>
      </w:tr>
      <w:tr w:rsidR="005F5E90" w:rsidRPr="00F564AB" w14:paraId="01C2C499" w14:textId="77777777" w:rsidTr="00BC1AE8">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0588BCFB" w14:textId="77777777" w:rsidR="005F5E90" w:rsidRPr="005F5E90" w:rsidRDefault="005F5E90" w:rsidP="00BC1AE8">
            <w:pPr>
              <w:rPr>
                <w:lang w:val="en-GB"/>
              </w:rPr>
            </w:pPr>
            <w:r w:rsidRPr="005F5E90">
              <w:rPr>
                <w:b/>
                <w:bCs/>
                <w:lang w:val="en-GB"/>
              </w:rPr>
              <w:t>Products with Daily Use vs. Infrequent</w:t>
            </w:r>
            <w:r w:rsidRPr="005F5E90">
              <w:rPr>
                <w:sz w:val="18"/>
                <w:szCs w:val="18"/>
                <w:lang w:val="en-GB"/>
              </w:rPr>
              <w:t xml:space="preserve"> (Urgency of repair)</w:t>
            </w:r>
          </w:p>
        </w:tc>
        <w:tc>
          <w:tcPr>
            <w:tcW w:w="76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vAlign w:val="center"/>
          </w:tcPr>
          <w:p w14:paraId="69C69158" w14:textId="0F2D70E6" w:rsidR="005F5E90" w:rsidRPr="00F564AB" w:rsidRDefault="005F5E90" w:rsidP="00BC1AE8">
            <w:pPr>
              <w:rPr>
                <w:lang w:val="en-GB"/>
              </w:rPr>
            </w:pPr>
            <w:r w:rsidRPr="005F5E90">
              <w:rPr>
                <w:lang w:val="en-GB"/>
              </w:rPr>
              <w:t xml:space="preserve">Daily-use items (phones, washing machines) create urgency → </w:t>
            </w:r>
            <w:r w:rsidR="00946DC6">
              <w:rPr>
                <w:lang w:val="en-GB"/>
              </w:rPr>
              <w:t>repair must be instant – within a 48hr time frame</w:t>
            </w:r>
            <w:r w:rsidRPr="005F5E90">
              <w:rPr>
                <w:lang w:val="en-GB"/>
              </w:rPr>
              <w:t xml:space="preserve">. Infrequent items (drill, sewing machine) can wait for repair but may be forgotten. </w:t>
            </w:r>
            <w:r w:rsidRPr="00F564AB">
              <w:rPr>
                <w:lang w:val="en-GB"/>
              </w:rPr>
              <w:t>Usage patterns affect repair decisions.</w:t>
            </w:r>
            <w:r w:rsidR="00F564AB" w:rsidRPr="00F564AB">
              <w:rPr>
                <w:lang w:val="en-GB"/>
              </w:rPr>
              <w:t xml:space="preserve"> Should fast repair be a premium</w:t>
            </w:r>
            <w:r w:rsidR="00946DC6" w:rsidRPr="00F564AB">
              <w:rPr>
                <w:lang w:val="en-GB"/>
              </w:rPr>
              <w:t>?</w:t>
            </w:r>
            <w:r w:rsidR="00F564AB" w:rsidRPr="00F564AB">
              <w:rPr>
                <w:lang w:val="en-GB"/>
              </w:rPr>
              <w:t xml:space="preserve"> </w:t>
            </w:r>
            <w:r w:rsidR="00F564AB">
              <w:rPr>
                <w:lang w:val="en-GB"/>
              </w:rPr>
              <w:t xml:space="preserve">Should repair offer replacement? </w:t>
            </w:r>
          </w:p>
        </w:tc>
      </w:tr>
    </w:tbl>
    <w:p w14:paraId="109D7B03" w14:textId="6B2FD68D" w:rsidR="00AC0AED" w:rsidRPr="00AC0AED" w:rsidRDefault="001C3FCC" w:rsidP="00AC0AED">
      <w:pPr>
        <w:pStyle w:val="Kop1"/>
        <w:rPr>
          <w:lang w:val="en-GB"/>
        </w:rPr>
      </w:pPr>
      <w:r>
        <w:rPr>
          <w:lang w:val="en-GB"/>
        </w:rPr>
        <w:br/>
      </w:r>
      <w:r w:rsidR="00AC0AED" w:rsidRPr="00AC0AED">
        <w:rPr>
          <w:lang w:val="en-GB"/>
        </w:rPr>
        <w:t xml:space="preserve">Sources for </w:t>
      </w:r>
      <w:r w:rsidR="00AC0AED">
        <w:rPr>
          <w:lang w:val="en-GB"/>
        </w:rPr>
        <w:t>m</w:t>
      </w:r>
      <w:r w:rsidR="00AC0AED" w:rsidRPr="00AC0AED">
        <w:rPr>
          <w:lang w:val="en-GB"/>
        </w:rPr>
        <w:t>ore information</w:t>
      </w:r>
    </w:p>
    <w:p w14:paraId="0484E7ED" w14:textId="094FF936" w:rsidR="00AC0AED" w:rsidRPr="00B3285C" w:rsidRDefault="00AC0AED" w:rsidP="00522866">
      <w:pPr>
        <w:pStyle w:val="Lijstalinea"/>
        <w:numPr>
          <w:ilvl w:val="0"/>
          <w:numId w:val="3"/>
        </w:numPr>
        <w:spacing w:after="80" w:line="276" w:lineRule="auto"/>
        <w:rPr>
          <w:lang w:val="en-GB"/>
        </w:rPr>
      </w:pPr>
      <w:r w:rsidRPr="00B3285C">
        <w:rPr>
          <w:b/>
          <w:bCs/>
          <w:lang w:val="en-GB"/>
        </w:rPr>
        <w:t xml:space="preserve">EUR-Lex: </w:t>
      </w:r>
      <w:hyperlink r:id="rId18" w:history="1">
        <w:r w:rsidRPr="00211A16">
          <w:rPr>
            <w:rStyle w:val="Hyperlink"/>
            <w:lang w:val="en-GB"/>
          </w:rPr>
          <w:t>eur-lex.europa.eu</w:t>
        </w:r>
      </w:hyperlink>
      <w:r w:rsidRPr="00B3285C">
        <w:rPr>
          <w:lang w:val="en-GB"/>
        </w:rPr>
        <w:t xml:space="preserve"> – Full regulation texts</w:t>
      </w:r>
    </w:p>
    <w:p w14:paraId="79C22DA9" w14:textId="24A302C0" w:rsidR="00AC0AED" w:rsidRDefault="00AC0AED" w:rsidP="00522866">
      <w:pPr>
        <w:pStyle w:val="Lijstalinea"/>
        <w:numPr>
          <w:ilvl w:val="0"/>
          <w:numId w:val="3"/>
        </w:numPr>
        <w:spacing w:after="80" w:line="276" w:lineRule="auto"/>
        <w:rPr>
          <w:lang w:val="en-GB"/>
        </w:rPr>
      </w:pPr>
      <w:r w:rsidRPr="00B3285C">
        <w:rPr>
          <w:b/>
          <w:bCs/>
          <w:lang w:val="en-GB"/>
        </w:rPr>
        <w:t xml:space="preserve">EC Product Bureau: </w:t>
      </w:r>
      <w:hyperlink r:id="rId19" w:history="1">
        <w:r w:rsidRPr="00A340E1">
          <w:rPr>
            <w:rStyle w:val="Hyperlink"/>
            <w:lang w:val="en-GB"/>
          </w:rPr>
          <w:t>energy-efficient-products.ec.europa.eu</w:t>
        </w:r>
      </w:hyperlink>
      <w:r w:rsidRPr="00B3285C">
        <w:rPr>
          <w:lang w:val="en-GB"/>
        </w:rPr>
        <w:t xml:space="preserve"> – Product-specific requirements</w:t>
      </w:r>
    </w:p>
    <w:p w14:paraId="63A98452" w14:textId="708D2177" w:rsidR="006C024D" w:rsidRPr="006C024D" w:rsidRDefault="006C024D" w:rsidP="00522866">
      <w:pPr>
        <w:pStyle w:val="Lijstalinea"/>
        <w:numPr>
          <w:ilvl w:val="0"/>
          <w:numId w:val="3"/>
        </w:numPr>
        <w:spacing w:line="276" w:lineRule="auto"/>
        <w:rPr>
          <w:lang w:val="en-GB"/>
        </w:rPr>
      </w:pPr>
      <w:r w:rsidRPr="006C024D">
        <w:rPr>
          <w:b/>
          <w:bCs/>
          <w:lang w:val="en-GB"/>
        </w:rPr>
        <w:t xml:space="preserve">GPSR Full Text: </w:t>
      </w:r>
      <w:hyperlink r:id="rId20" w:history="1">
        <w:r w:rsidRPr="006C024D">
          <w:rPr>
            <w:rStyle w:val="Hyperlink"/>
            <w:sz w:val="18"/>
            <w:szCs w:val="18"/>
            <w:lang w:val="en-GB"/>
          </w:rPr>
          <w:t>CELEX:32023R0988</w:t>
        </w:r>
      </w:hyperlink>
      <w:r w:rsidRPr="006C024D">
        <w:rPr>
          <w:lang w:val="en-GB"/>
        </w:rPr>
        <w:t xml:space="preserve"> – General Product Safety Regulation</w:t>
      </w:r>
    </w:p>
    <w:p w14:paraId="44285043" w14:textId="239E6037" w:rsidR="00F3685B" w:rsidRPr="00522866" w:rsidRDefault="00F3685B" w:rsidP="00522866">
      <w:pPr>
        <w:pStyle w:val="Lijstalinea"/>
        <w:numPr>
          <w:ilvl w:val="0"/>
          <w:numId w:val="3"/>
        </w:numPr>
        <w:spacing w:after="80" w:line="276" w:lineRule="auto"/>
        <w:rPr>
          <w:lang w:val="en-GB"/>
        </w:rPr>
      </w:pPr>
      <w:r w:rsidRPr="00B3285C">
        <w:rPr>
          <w:b/>
          <w:bCs/>
          <w:lang w:val="en-GB"/>
        </w:rPr>
        <w:t xml:space="preserve">Right to Repair Europe: </w:t>
      </w:r>
      <w:hyperlink r:id="rId21" w:history="1">
        <w:r w:rsidRPr="00A340E1">
          <w:rPr>
            <w:rStyle w:val="Hyperlink"/>
            <w:lang w:val="en-GB"/>
          </w:rPr>
          <w:t>repair.eu</w:t>
        </w:r>
      </w:hyperlink>
      <w:r w:rsidR="00A340E1">
        <w:rPr>
          <w:lang w:val="en-GB"/>
        </w:rPr>
        <w:t>v</w:t>
      </w:r>
      <w:r w:rsidRPr="00522866">
        <w:rPr>
          <w:lang w:val="en-GB"/>
        </w:rPr>
        <w:t xml:space="preserve"> – Advocacy coalition analysis</w:t>
      </w:r>
    </w:p>
    <w:p w14:paraId="380D5913" w14:textId="7D57C55F" w:rsidR="006C024D" w:rsidRPr="006C024D" w:rsidRDefault="006C024D" w:rsidP="00522866">
      <w:pPr>
        <w:pStyle w:val="Lijstalinea"/>
        <w:numPr>
          <w:ilvl w:val="0"/>
          <w:numId w:val="3"/>
        </w:numPr>
        <w:spacing w:line="276" w:lineRule="auto"/>
        <w:rPr>
          <w:lang w:val="en-GB"/>
        </w:rPr>
      </w:pPr>
      <w:r w:rsidRPr="006C024D">
        <w:rPr>
          <w:b/>
          <w:bCs/>
          <w:lang w:val="en-GB"/>
        </w:rPr>
        <w:t xml:space="preserve">The Repair Association: </w:t>
      </w:r>
      <w:hyperlink r:id="rId22" w:history="1">
        <w:r w:rsidRPr="006C024D">
          <w:rPr>
            <w:rStyle w:val="Hyperlink"/>
            <w:sz w:val="18"/>
            <w:szCs w:val="18"/>
            <w:lang w:val="en-GB"/>
          </w:rPr>
          <w:t>repair.org/world</w:t>
        </w:r>
      </w:hyperlink>
      <w:r w:rsidRPr="006C024D">
        <w:rPr>
          <w:lang w:val="en-GB"/>
        </w:rPr>
        <w:t xml:space="preserve"> – Global right to repair tracker</w:t>
      </w:r>
    </w:p>
    <w:p w14:paraId="731F0F75" w14:textId="64854D46" w:rsidR="006C024D" w:rsidRPr="006C024D" w:rsidRDefault="006C024D" w:rsidP="00522866">
      <w:pPr>
        <w:pStyle w:val="Lijstalinea"/>
        <w:numPr>
          <w:ilvl w:val="0"/>
          <w:numId w:val="3"/>
        </w:numPr>
        <w:spacing w:line="276" w:lineRule="auto"/>
        <w:rPr>
          <w:lang w:val="en-GB"/>
        </w:rPr>
      </w:pPr>
      <w:r w:rsidRPr="006C024D">
        <w:rPr>
          <w:b/>
          <w:bCs/>
          <w:lang w:val="en-GB"/>
        </w:rPr>
        <w:t xml:space="preserve">iFixit Right to Repair: </w:t>
      </w:r>
      <w:hyperlink r:id="rId23" w:history="1">
        <w:r w:rsidRPr="006C024D">
          <w:rPr>
            <w:rStyle w:val="Hyperlink"/>
            <w:sz w:val="18"/>
            <w:szCs w:val="18"/>
            <w:lang w:val="en-GB"/>
          </w:rPr>
          <w:t>ifixit.com/Right-to-Repair</w:t>
        </w:r>
      </w:hyperlink>
      <w:r w:rsidRPr="006C024D">
        <w:rPr>
          <w:lang w:val="en-GB"/>
        </w:rPr>
        <w:t xml:space="preserve"> – </w:t>
      </w:r>
      <w:r w:rsidR="00522866" w:rsidRPr="00522866">
        <w:rPr>
          <w:b/>
          <w:bCs/>
          <w:lang w:val="en-GB"/>
        </w:rPr>
        <w:t> </w:t>
      </w:r>
      <w:r w:rsidR="00522866" w:rsidRPr="00522866">
        <w:rPr>
          <w:lang w:val="en-GB"/>
        </w:rPr>
        <w:t>G</w:t>
      </w:r>
      <w:r w:rsidR="00522866" w:rsidRPr="00522866">
        <w:rPr>
          <w:lang w:val="en-GB"/>
        </w:rPr>
        <w:t>lobal community of people helping each other repair things</w:t>
      </w:r>
    </w:p>
    <w:p w14:paraId="19C1AC6C" w14:textId="77777777" w:rsidR="00463EA6" w:rsidRPr="00522866" w:rsidRDefault="00463EA6" w:rsidP="00522866">
      <w:pPr>
        <w:spacing w:after="80"/>
        <w:ind w:left="360"/>
        <w:rPr>
          <w:lang w:val="en-GB"/>
        </w:rPr>
      </w:pPr>
    </w:p>
    <w:sectPr w:rsidR="00463EA6" w:rsidRPr="00522866">
      <w:headerReference w:type="default" r:id="rId24"/>
      <w:footerReference w:type="default" r:id="rId25"/>
      <w:pgSz w:w="11906" w:h="16838"/>
      <w:pgMar w:top="567" w:right="567" w:bottom="567" w:left="56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ja Groenewoud van Vliet" w:date="2026-02-13T11:11:00Z" w:initials="LG">
    <w:p w14:paraId="11142D4E" w14:textId="77777777" w:rsidR="00214F58" w:rsidRDefault="00214F58" w:rsidP="00214F58">
      <w:pPr>
        <w:pStyle w:val="Tekstopmerking"/>
      </w:pPr>
      <w:r>
        <w:rPr>
          <w:rStyle w:val="Verwijzingopmerking"/>
        </w:rPr>
        <w:annotationRef/>
      </w:r>
      <w:r>
        <w:t>@pascal - mocht je nog andere weten - graag aanvullen. Denk dat het fijn is om zo’n overzichtje erbij te hebben hoe ander landen stimuleren en wat ze daarvoor inzetten</w:t>
      </w:r>
    </w:p>
  </w:comment>
  <w:comment w:id="1" w:author="Lija Groenewoud van Vliet" w:date="2026-02-13T12:41:00Z" w:initials="LG">
    <w:p w14:paraId="3815EB5F" w14:textId="77777777" w:rsidR="009669A2" w:rsidRDefault="009669A2" w:rsidP="009669A2">
      <w:pPr>
        <w:pStyle w:val="Tekstopmerking"/>
      </w:pPr>
      <w:r>
        <w:rPr>
          <w:rStyle w:val="Verwijzingopmerking"/>
        </w:rPr>
        <w:annotationRef/>
      </w:r>
      <w:r>
        <w:t>Ik heb dit wat uitgebreid, nalv van discussie en post-its bij kick-off. Het liefst zou ik dit document 2 paginas hebben, maar als julie denken dat het handig is om dit integraal hier te houden als munitie voor debat - kan doet.</w:t>
      </w:r>
      <w:r>
        <w:br/>
        <w:t>Maar wees scherp/ vul aan/ verwijder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142D4E" w15:done="0"/>
  <w15:commentEx w15:paraId="3815EB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C5558B" w16cex:dateUtc="2026-02-13T10:11:00Z"/>
  <w16cex:commentExtensible w16cex:durableId="109CFAE2" w16cex:dateUtc="2026-02-13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142D4E" w16cid:durableId="0CC5558B"/>
  <w16cid:commentId w16cid:paraId="3815EB5F" w16cid:durableId="109CFA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F114" w14:textId="77777777" w:rsidR="00251F8B" w:rsidRDefault="00251F8B">
      <w:r>
        <w:separator/>
      </w:r>
    </w:p>
  </w:endnote>
  <w:endnote w:type="continuationSeparator" w:id="0">
    <w:p w14:paraId="350D1D33" w14:textId="77777777" w:rsidR="00251F8B" w:rsidRDefault="0025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A38F" w14:textId="4BDF1E73" w:rsidR="00AD77A2" w:rsidRPr="00B3285C" w:rsidRDefault="00800035">
    <w:pPr>
      <w:jc w:val="center"/>
      <w:rPr>
        <w:lang w:val="en-GB"/>
      </w:rPr>
    </w:pPr>
    <w:r w:rsidRPr="00B3285C">
      <w:rPr>
        <w:color w:val="666666"/>
        <w:sz w:val="14"/>
        <w:szCs w:val="14"/>
        <w:lang w:val="en-GB"/>
      </w:rPr>
      <w:t xml:space="preserve">Page </w:t>
    </w:r>
    <w:r>
      <w:rPr>
        <w:color w:val="666666"/>
        <w:sz w:val="14"/>
        <w:szCs w:val="14"/>
      </w:rPr>
      <w:fldChar w:fldCharType="begin"/>
    </w:r>
    <w:r w:rsidRPr="00B3285C">
      <w:rPr>
        <w:color w:val="666666"/>
        <w:sz w:val="14"/>
        <w:szCs w:val="14"/>
        <w:lang w:val="en-GB"/>
      </w:rPr>
      <w:instrText>PAGE</w:instrText>
    </w:r>
    <w:r>
      <w:rPr>
        <w:color w:val="666666"/>
        <w:sz w:val="14"/>
        <w:szCs w:val="14"/>
      </w:rPr>
      <w:fldChar w:fldCharType="separate"/>
    </w:r>
    <w:r w:rsidR="00B3285C" w:rsidRPr="00B3285C">
      <w:rPr>
        <w:noProof/>
        <w:color w:val="666666"/>
        <w:sz w:val="14"/>
        <w:szCs w:val="14"/>
        <w:lang w:val="en-GB"/>
      </w:rPr>
      <w:t>1</w:t>
    </w:r>
    <w:r>
      <w:rPr>
        <w:color w:val="666666"/>
        <w:sz w:val="14"/>
        <w:szCs w:val="14"/>
      </w:rPr>
      <w:fldChar w:fldCharType="end"/>
    </w:r>
    <w:r w:rsidRPr="00B3285C">
      <w:rPr>
        <w:color w:val="666666"/>
        <w:sz w:val="14"/>
        <w:szCs w:val="14"/>
        <w:lang w:val="en-GB"/>
      </w:rPr>
      <w:t xml:space="preserve"> | </w:t>
    </w:r>
    <w:r w:rsidR="00B72F3E">
      <w:rPr>
        <w:color w:val="666666"/>
        <w:sz w:val="14"/>
        <w:szCs w:val="14"/>
        <w:lang w:val="en-GB"/>
      </w:rPr>
      <w:t>LDE Thesis Lab ‘Future of Repair’ support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152D" w14:textId="77777777" w:rsidR="00251F8B" w:rsidRDefault="00251F8B">
      <w:r>
        <w:separator/>
      </w:r>
    </w:p>
  </w:footnote>
  <w:footnote w:type="continuationSeparator" w:id="0">
    <w:p w14:paraId="45473EE4" w14:textId="77777777" w:rsidR="00251F8B" w:rsidRDefault="0025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264B" w14:textId="4DF9A602" w:rsidR="00AD77A2" w:rsidRPr="00B3285C" w:rsidRDefault="00CF15F8">
    <w:pPr>
      <w:jc w:val="center"/>
      <w:rPr>
        <w:lang w:val="en-GB"/>
      </w:rPr>
    </w:pPr>
    <w:r>
      <w:rPr>
        <w:b/>
        <w:bCs/>
        <w:color w:val="1B4F72"/>
        <w:sz w:val="16"/>
        <w:szCs w:val="16"/>
        <w:lang w:val="en-GB"/>
      </w:rPr>
      <w:t xml:space="preserve">REPAIR </w:t>
    </w:r>
    <w:r w:rsidR="00800035" w:rsidRPr="00B3285C">
      <w:rPr>
        <w:b/>
        <w:bCs/>
        <w:color w:val="1B4F72"/>
        <w:sz w:val="16"/>
        <w:szCs w:val="16"/>
        <w:lang w:val="en-GB"/>
      </w:rPr>
      <w:t xml:space="preserve">REGULATION REFERENCE | </w:t>
    </w:r>
    <w:r w:rsidR="00A41E5C">
      <w:rPr>
        <w:b/>
        <w:bCs/>
        <w:color w:val="1B4F72"/>
        <w:sz w:val="16"/>
        <w:szCs w:val="16"/>
        <w:lang w:val="en-GB"/>
      </w:rPr>
      <w:t>LDE FUTURE OF REPAIR</w:t>
    </w:r>
    <w:r w:rsidR="00800035" w:rsidRPr="00B3285C">
      <w:rPr>
        <w:b/>
        <w:bCs/>
        <w:color w:val="1B4F72"/>
        <w:sz w:val="16"/>
        <w:szCs w:val="16"/>
        <w:lang w:val="en-GB"/>
      </w:rPr>
      <w:t xml:space="preserve"> S</w:t>
    </w:r>
    <w:r w:rsidR="00A41E5C">
      <w:rPr>
        <w:b/>
        <w:bCs/>
        <w:color w:val="1B4F72"/>
        <w:sz w:val="16"/>
        <w:szCs w:val="16"/>
        <w:lang w:val="en-GB"/>
      </w:rPr>
      <w:t>ESSION 3</w:t>
    </w:r>
    <w:r w:rsidR="00800035" w:rsidRPr="00B3285C">
      <w:rPr>
        <w:b/>
        <w:bCs/>
        <w:color w:val="1B4F72"/>
        <w:sz w:val="16"/>
        <w:szCs w:val="16"/>
        <w:lang w:val="en-GB"/>
      </w:rPr>
      <w:t xml:space="preserve"> | 19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22F3"/>
    <w:multiLevelType w:val="multilevel"/>
    <w:tmpl w:val="E208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A418C"/>
    <w:multiLevelType w:val="hybridMultilevel"/>
    <w:tmpl w:val="CDF4A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CD2677"/>
    <w:multiLevelType w:val="hybridMultilevel"/>
    <w:tmpl w:val="CC9041A2"/>
    <w:lvl w:ilvl="0" w:tplc="3FD6410A">
      <w:start w:val="1"/>
      <w:numFmt w:val="bullet"/>
      <w:lvlText w:val="•"/>
      <w:lvlJc w:val="left"/>
      <w:pPr>
        <w:ind w:left="720" w:hanging="360"/>
      </w:pPr>
    </w:lvl>
    <w:lvl w:ilvl="1" w:tplc="839EC42E">
      <w:numFmt w:val="decimal"/>
      <w:lvlText w:val=""/>
      <w:lvlJc w:val="left"/>
    </w:lvl>
    <w:lvl w:ilvl="2" w:tplc="9DA65738">
      <w:numFmt w:val="decimal"/>
      <w:lvlText w:val=""/>
      <w:lvlJc w:val="left"/>
    </w:lvl>
    <w:lvl w:ilvl="3" w:tplc="6C2EBFFC">
      <w:numFmt w:val="decimal"/>
      <w:lvlText w:val=""/>
      <w:lvlJc w:val="left"/>
    </w:lvl>
    <w:lvl w:ilvl="4" w:tplc="AD1A2A8E">
      <w:numFmt w:val="decimal"/>
      <w:lvlText w:val=""/>
      <w:lvlJc w:val="left"/>
    </w:lvl>
    <w:lvl w:ilvl="5" w:tplc="0A5811E0">
      <w:numFmt w:val="decimal"/>
      <w:lvlText w:val=""/>
      <w:lvlJc w:val="left"/>
    </w:lvl>
    <w:lvl w:ilvl="6" w:tplc="13A04080">
      <w:numFmt w:val="decimal"/>
      <w:lvlText w:val=""/>
      <w:lvlJc w:val="left"/>
    </w:lvl>
    <w:lvl w:ilvl="7" w:tplc="CC2EC012">
      <w:numFmt w:val="decimal"/>
      <w:lvlText w:val=""/>
      <w:lvlJc w:val="left"/>
    </w:lvl>
    <w:lvl w:ilvl="8" w:tplc="E2C6726E">
      <w:numFmt w:val="decimal"/>
      <w:lvlText w:val=""/>
      <w:lvlJc w:val="left"/>
    </w:lvl>
  </w:abstractNum>
  <w:abstractNum w:abstractNumId="3" w15:restartNumberingAfterBreak="0">
    <w:nsid w:val="5FCD057A"/>
    <w:multiLevelType w:val="hybridMultilevel"/>
    <w:tmpl w:val="7AD845D8"/>
    <w:lvl w:ilvl="0" w:tplc="C91E30EE">
      <w:start w:val="1"/>
      <w:numFmt w:val="bullet"/>
      <w:lvlText w:val="●"/>
      <w:lvlJc w:val="left"/>
      <w:pPr>
        <w:ind w:left="720" w:hanging="360"/>
      </w:pPr>
    </w:lvl>
    <w:lvl w:ilvl="1" w:tplc="7982E8AE">
      <w:start w:val="1"/>
      <w:numFmt w:val="bullet"/>
      <w:lvlText w:val="○"/>
      <w:lvlJc w:val="left"/>
      <w:pPr>
        <w:ind w:left="1440" w:hanging="360"/>
      </w:pPr>
    </w:lvl>
    <w:lvl w:ilvl="2" w:tplc="1BB08190">
      <w:start w:val="1"/>
      <w:numFmt w:val="bullet"/>
      <w:lvlText w:val="■"/>
      <w:lvlJc w:val="left"/>
      <w:pPr>
        <w:ind w:left="2160" w:hanging="360"/>
      </w:pPr>
    </w:lvl>
    <w:lvl w:ilvl="3" w:tplc="CF14E400">
      <w:start w:val="1"/>
      <w:numFmt w:val="bullet"/>
      <w:lvlText w:val="●"/>
      <w:lvlJc w:val="left"/>
      <w:pPr>
        <w:ind w:left="2880" w:hanging="360"/>
      </w:pPr>
    </w:lvl>
    <w:lvl w:ilvl="4" w:tplc="5CD4BD7E">
      <w:start w:val="1"/>
      <w:numFmt w:val="bullet"/>
      <w:lvlText w:val="○"/>
      <w:lvlJc w:val="left"/>
      <w:pPr>
        <w:ind w:left="3600" w:hanging="360"/>
      </w:pPr>
    </w:lvl>
    <w:lvl w:ilvl="5" w:tplc="0C16F662">
      <w:start w:val="1"/>
      <w:numFmt w:val="bullet"/>
      <w:lvlText w:val="■"/>
      <w:lvlJc w:val="left"/>
      <w:pPr>
        <w:ind w:left="4320" w:hanging="360"/>
      </w:pPr>
    </w:lvl>
    <w:lvl w:ilvl="6" w:tplc="B96AC7FE">
      <w:start w:val="1"/>
      <w:numFmt w:val="bullet"/>
      <w:lvlText w:val="●"/>
      <w:lvlJc w:val="left"/>
      <w:pPr>
        <w:ind w:left="5040" w:hanging="360"/>
      </w:pPr>
    </w:lvl>
    <w:lvl w:ilvl="7" w:tplc="10FAA540">
      <w:start w:val="1"/>
      <w:numFmt w:val="bullet"/>
      <w:lvlText w:val="●"/>
      <w:lvlJc w:val="left"/>
      <w:pPr>
        <w:ind w:left="5760" w:hanging="360"/>
      </w:pPr>
    </w:lvl>
    <w:lvl w:ilvl="8" w:tplc="1682C5B8">
      <w:start w:val="1"/>
      <w:numFmt w:val="bullet"/>
      <w:lvlText w:val="●"/>
      <w:lvlJc w:val="left"/>
      <w:pPr>
        <w:ind w:left="6480" w:hanging="360"/>
      </w:pPr>
    </w:lvl>
  </w:abstractNum>
  <w:abstractNum w:abstractNumId="4" w15:restartNumberingAfterBreak="0">
    <w:nsid w:val="73D75258"/>
    <w:multiLevelType w:val="hybridMultilevel"/>
    <w:tmpl w:val="7F42AE92"/>
    <w:lvl w:ilvl="0" w:tplc="9266E10E">
      <w:start w:val="1"/>
      <w:numFmt w:val="bullet"/>
      <w:lvlText w:val="•"/>
      <w:lvlJc w:val="left"/>
      <w:pPr>
        <w:ind w:left="720" w:hanging="360"/>
      </w:pPr>
    </w:lvl>
    <w:lvl w:ilvl="1" w:tplc="7A6C1DBA">
      <w:numFmt w:val="decimal"/>
      <w:lvlText w:val=""/>
      <w:lvlJc w:val="left"/>
    </w:lvl>
    <w:lvl w:ilvl="2" w:tplc="EC9A5016">
      <w:numFmt w:val="decimal"/>
      <w:lvlText w:val=""/>
      <w:lvlJc w:val="left"/>
    </w:lvl>
    <w:lvl w:ilvl="3" w:tplc="CD1436D0">
      <w:numFmt w:val="decimal"/>
      <w:lvlText w:val=""/>
      <w:lvlJc w:val="left"/>
    </w:lvl>
    <w:lvl w:ilvl="4" w:tplc="283AC108">
      <w:numFmt w:val="decimal"/>
      <w:lvlText w:val=""/>
      <w:lvlJc w:val="left"/>
    </w:lvl>
    <w:lvl w:ilvl="5" w:tplc="F1AE6338">
      <w:numFmt w:val="decimal"/>
      <w:lvlText w:val=""/>
      <w:lvlJc w:val="left"/>
    </w:lvl>
    <w:lvl w:ilvl="6" w:tplc="B9C41944">
      <w:numFmt w:val="decimal"/>
      <w:lvlText w:val=""/>
      <w:lvlJc w:val="left"/>
    </w:lvl>
    <w:lvl w:ilvl="7" w:tplc="A0381CF2">
      <w:numFmt w:val="decimal"/>
      <w:lvlText w:val=""/>
      <w:lvlJc w:val="left"/>
    </w:lvl>
    <w:lvl w:ilvl="8" w:tplc="E2103F16">
      <w:numFmt w:val="decimal"/>
      <w:lvlText w:val=""/>
      <w:lvlJc w:val="left"/>
    </w:lvl>
  </w:abstractNum>
  <w:num w:numId="1" w16cid:durableId="328483142">
    <w:abstractNumId w:val="3"/>
    <w:lvlOverride w:ilvl="0">
      <w:startOverride w:val="1"/>
    </w:lvlOverride>
  </w:num>
  <w:num w:numId="2" w16cid:durableId="11104250">
    <w:abstractNumId w:val="4"/>
    <w:lvlOverride w:ilvl="0">
      <w:startOverride w:val="1"/>
    </w:lvlOverride>
  </w:num>
  <w:num w:numId="3" w16cid:durableId="841318198">
    <w:abstractNumId w:val="2"/>
    <w:lvlOverride w:ilvl="0">
      <w:startOverride w:val="1"/>
    </w:lvlOverride>
  </w:num>
  <w:num w:numId="4" w16cid:durableId="79062770">
    <w:abstractNumId w:val="0"/>
  </w:num>
  <w:num w:numId="5" w16cid:durableId="220208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ja Groenewoud van Vliet">
    <w15:presenceInfo w15:providerId="Windows Live" w15:userId="09f801116577c7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7A2"/>
    <w:rsid w:val="000B0130"/>
    <w:rsid w:val="000C5846"/>
    <w:rsid w:val="00134EBB"/>
    <w:rsid w:val="001B63D3"/>
    <w:rsid w:val="001C3FCC"/>
    <w:rsid w:val="001C76C4"/>
    <w:rsid w:val="00211A16"/>
    <w:rsid w:val="00214F58"/>
    <w:rsid w:val="00251F8B"/>
    <w:rsid w:val="002B62B0"/>
    <w:rsid w:val="002B6F90"/>
    <w:rsid w:val="00300BA7"/>
    <w:rsid w:val="003E6AD1"/>
    <w:rsid w:val="00417829"/>
    <w:rsid w:val="00422071"/>
    <w:rsid w:val="00447B25"/>
    <w:rsid w:val="00463EA6"/>
    <w:rsid w:val="004A1929"/>
    <w:rsid w:val="004A4122"/>
    <w:rsid w:val="004B3F04"/>
    <w:rsid w:val="00522866"/>
    <w:rsid w:val="0054788D"/>
    <w:rsid w:val="005B3F3D"/>
    <w:rsid w:val="005F5E90"/>
    <w:rsid w:val="00667252"/>
    <w:rsid w:val="006C024D"/>
    <w:rsid w:val="006E06D4"/>
    <w:rsid w:val="0070075C"/>
    <w:rsid w:val="00715A31"/>
    <w:rsid w:val="00751D53"/>
    <w:rsid w:val="0077611F"/>
    <w:rsid w:val="007F5305"/>
    <w:rsid w:val="00800035"/>
    <w:rsid w:val="00816717"/>
    <w:rsid w:val="008410D3"/>
    <w:rsid w:val="008441DA"/>
    <w:rsid w:val="008476D6"/>
    <w:rsid w:val="00856645"/>
    <w:rsid w:val="00882C24"/>
    <w:rsid w:val="00933ECC"/>
    <w:rsid w:val="00946DC6"/>
    <w:rsid w:val="009552D9"/>
    <w:rsid w:val="00963B57"/>
    <w:rsid w:val="009669A2"/>
    <w:rsid w:val="009D17F4"/>
    <w:rsid w:val="00A340E1"/>
    <w:rsid w:val="00A41E5C"/>
    <w:rsid w:val="00AC0AED"/>
    <w:rsid w:val="00AD4D5F"/>
    <w:rsid w:val="00AD77A2"/>
    <w:rsid w:val="00B3285C"/>
    <w:rsid w:val="00B72F3E"/>
    <w:rsid w:val="00B76E2D"/>
    <w:rsid w:val="00BF3546"/>
    <w:rsid w:val="00C174D5"/>
    <w:rsid w:val="00C2481F"/>
    <w:rsid w:val="00C520A3"/>
    <w:rsid w:val="00C54310"/>
    <w:rsid w:val="00C819FF"/>
    <w:rsid w:val="00CF15F8"/>
    <w:rsid w:val="00D25FA1"/>
    <w:rsid w:val="00D27F27"/>
    <w:rsid w:val="00DD237F"/>
    <w:rsid w:val="00DD27C6"/>
    <w:rsid w:val="00E5543E"/>
    <w:rsid w:val="00ED23C8"/>
    <w:rsid w:val="00F11AAA"/>
    <w:rsid w:val="00F3685B"/>
    <w:rsid w:val="00F47FAB"/>
    <w:rsid w:val="00F564AB"/>
    <w:rsid w:val="00F847A8"/>
    <w:rsid w:val="00FB5C4A"/>
    <w:rsid w:val="00FF3970"/>
    <w:rsid w:val="00FF3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4DA3"/>
  <w15:docId w15:val="{131270E9-4D99-46FE-AC51-D15C3F28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200" w:after="100"/>
      <w:outlineLvl w:val="0"/>
    </w:pPr>
    <w:rPr>
      <w:b/>
      <w:bCs/>
      <w:color w:val="1B4F72"/>
      <w:sz w:val="28"/>
      <w:szCs w:val="28"/>
    </w:rPr>
  </w:style>
  <w:style w:type="paragraph" w:styleId="Kop2">
    <w:name w:val="heading 2"/>
    <w:uiPriority w:val="9"/>
    <w:semiHidden/>
    <w:unhideWhenUsed/>
    <w:qFormat/>
    <w:pPr>
      <w:spacing w:before="160" w:after="80"/>
      <w:outlineLvl w:val="1"/>
    </w:pPr>
    <w:rPr>
      <w:b/>
      <w:bCs/>
      <w:color w:val="1B4F72"/>
      <w:sz w:val="22"/>
      <w:szCs w:val="22"/>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paragraph" w:styleId="Koptekst">
    <w:name w:val="header"/>
    <w:basedOn w:val="Standaard"/>
    <w:link w:val="KoptekstChar"/>
    <w:uiPriority w:val="99"/>
    <w:unhideWhenUsed/>
    <w:rsid w:val="00B72F3E"/>
    <w:pPr>
      <w:tabs>
        <w:tab w:val="center" w:pos="4536"/>
        <w:tab w:val="right" w:pos="9072"/>
      </w:tabs>
    </w:pPr>
  </w:style>
  <w:style w:type="character" w:customStyle="1" w:styleId="KoptekstChar">
    <w:name w:val="Koptekst Char"/>
    <w:basedOn w:val="Standaardalinea-lettertype"/>
    <w:link w:val="Koptekst"/>
    <w:uiPriority w:val="99"/>
    <w:rsid w:val="00B72F3E"/>
  </w:style>
  <w:style w:type="paragraph" w:styleId="Voettekst">
    <w:name w:val="footer"/>
    <w:basedOn w:val="Standaard"/>
    <w:link w:val="VoettekstChar"/>
    <w:uiPriority w:val="99"/>
    <w:unhideWhenUsed/>
    <w:rsid w:val="00B72F3E"/>
    <w:pPr>
      <w:tabs>
        <w:tab w:val="center" w:pos="4536"/>
        <w:tab w:val="right" w:pos="9072"/>
      </w:tabs>
    </w:pPr>
  </w:style>
  <w:style w:type="character" w:customStyle="1" w:styleId="VoettekstChar">
    <w:name w:val="Voettekst Char"/>
    <w:basedOn w:val="Standaardalinea-lettertype"/>
    <w:link w:val="Voettekst"/>
    <w:uiPriority w:val="99"/>
    <w:rsid w:val="00B72F3E"/>
  </w:style>
  <w:style w:type="character" w:styleId="Onopgelostemelding">
    <w:name w:val="Unresolved Mention"/>
    <w:basedOn w:val="Standaardalinea-lettertype"/>
    <w:uiPriority w:val="99"/>
    <w:semiHidden/>
    <w:unhideWhenUsed/>
    <w:rsid w:val="00D27F27"/>
    <w:rPr>
      <w:color w:val="605E5C"/>
      <w:shd w:val="clear" w:color="auto" w:fill="E1DFDD"/>
    </w:rPr>
  </w:style>
  <w:style w:type="paragraph" w:styleId="HTML-voorafopgemaakt">
    <w:name w:val="HTML Preformatted"/>
    <w:basedOn w:val="Standaard"/>
    <w:link w:val="HTML-voorafopgemaaktChar"/>
    <w:uiPriority w:val="99"/>
    <w:semiHidden/>
    <w:unhideWhenUsed/>
    <w:rsid w:val="00C174D5"/>
    <w:rPr>
      <w:rFonts w:ascii="Consolas" w:hAnsi="Consolas"/>
    </w:rPr>
  </w:style>
  <w:style w:type="character" w:customStyle="1" w:styleId="HTML-voorafopgemaaktChar">
    <w:name w:val="HTML - vooraf opgemaakt Char"/>
    <w:basedOn w:val="Standaardalinea-lettertype"/>
    <w:link w:val="HTML-voorafopgemaakt"/>
    <w:uiPriority w:val="99"/>
    <w:semiHidden/>
    <w:rsid w:val="00C174D5"/>
    <w:rPr>
      <w:rFonts w:ascii="Consolas" w:hAnsi="Consolas"/>
    </w:rPr>
  </w:style>
  <w:style w:type="paragraph" w:styleId="Revisie">
    <w:name w:val="Revision"/>
    <w:hidden/>
    <w:uiPriority w:val="99"/>
    <w:semiHidden/>
    <w:rsid w:val="00667252"/>
  </w:style>
  <w:style w:type="character" w:styleId="Verwijzingopmerking">
    <w:name w:val="annotation reference"/>
    <w:basedOn w:val="Standaardalinea-lettertype"/>
    <w:uiPriority w:val="99"/>
    <w:semiHidden/>
    <w:unhideWhenUsed/>
    <w:rsid w:val="00214F58"/>
    <w:rPr>
      <w:sz w:val="16"/>
      <w:szCs w:val="16"/>
    </w:rPr>
  </w:style>
  <w:style w:type="paragraph" w:styleId="Tekstopmerking">
    <w:name w:val="annotation text"/>
    <w:basedOn w:val="Standaard"/>
    <w:link w:val="TekstopmerkingChar"/>
    <w:uiPriority w:val="99"/>
    <w:unhideWhenUsed/>
    <w:rsid w:val="00214F58"/>
  </w:style>
  <w:style w:type="character" w:customStyle="1" w:styleId="TekstopmerkingChar">
    <w:name w:val="Tekst opmerking Char"/>
    <w:basedOn w:val="Standaardalinea-lettertype"/>
    <w:link w:val="Tekstopmerking"/>
    <w:uiPriority w:val="99"/>
    <w:rsid w:val="00214F58"/>
  </w:style>
  <w:style w:type="paragraph" w:styleId="Onderwerpvanopmerking">
    <w:name w:val="annotation subject"/>
    <w:basedOn w:val="Tekstopmerking"/>
    <w:next w:val="Tekstopmerking"/>
    <w:link w:val="OnderwerpvanopmerkingChar"/>
    <w:uiPriority w:val="99"/>
    <w:semiHidden/>
    <w:unhideWhenUsed/>
    <w:rsid w:val="00214F58"/>
    <w:rPr>
      <w:b/>
      <w:bCs/>
    </w:rPr>
  </w:style>
  <w:style w:type="character" w:customStyle="1" w:styleId="OnderwerpvanopmerkingChar">
    <w:name w:val="Onderwerp van opmerking Char"/>
    <w:basedOn w:val="TekstopmerkingChar"/>
    <w:link w:val="Onderwerpvanopmerking"/>
    <w:uiPriority w:val="99"/>
    <w:semiHidden/>
    <w:rsid w:val="00214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stb-2023-132.html" TargetMode="External"/><Relationship Id="rId13" Type="http://schemas.microsoft.com/office/2016/09/relationships/commentsIds" Target="commentsIds.xml"/><Relationship Id="rId18" Type="http://schemas.openxmlformats.org/officeDocument/2006/relationships/hyperlink" Target="eur-lex.europa.e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epair.eu/" TargetMode="External"/><Relationship Id="rId7" Type="http://schemas.openxmlformats.org/officeDocument/2006/relationships/hyperlink" Target="https://www.juridisch-advies-boonstra.nl/non-conformiteit/gevolgen/" TargetMode="External"/><Relationship Id="rId12" Type="http://schemas.microsoft.com/office/2011/relationships/commentsExtended" Target="commentsExtended.xml"/><Relationship Id="rId17" Type="http://schemas.openxmlformats.org/officeDocument/2006/relationships/hyperlink" Target="https://repairshare.be/campagnes/ror/kost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reparaturbonus.at" TargetMode="External"/><Relationship Id="rId20" Type="http://schemas.openxmlformats.org/officeDocument/2006/relationships/hyperlink" Target="https://eur-lex.europa.eu/legal-content/EN/TXT/?uri=CELEX:32023R09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conomie.gouv.fr/particuliers/mes-droits-conso/bien-consommer/tout-savoir-sur-lindice-de-durabilite" TargetMode="External"/><Relationship Id="rId23" Type="http://schemas.openxmlformats.org/officeDocument/2006/relationships/hyperlink" Target="https://www.ifixit.com/Right-to-Repair/Intro" TargetMode="External"/><Relationship Id="rId28" Type="http://schemas.openxmlformats.org/officeDocument/2006/relationships/theme" Target="theme/theme1.xml"/><Relationship Id="rId10" Type="http://schemas.openxmlformats.org/officeDocument/2006/relationships/hyperlink" Target="https://www.technieknederland.nl/media/ej2lrdxh/richtlijnen-afschrijvingsmethoden.pdf?_gl=1*1c95yq1*_up*MQ..*_ga*ODk1MzI4ODgyLjE3Njk3NzQ2ODI.*_ga_HCH2XJB292*czE3Njk3NzQ2ODIkbzEkZzAkdDE3Njk3NzQ2ODIkajYwJGwwJGg1NjEwNjY1MTM." TargetMode="External"/><Relationship Id="rId19" Type="http://schemas.openxmlformats.org/officeDocument/2006/relationships/hyperlink" Target="https://energy-efficient-products.ec.europa.eu/index_en?prefLang=nl" TargetMode="External"/><Relationship Id="rId4" Type="http://schemas.openxmlformats.org/officeDocument/2006/relationships/webSettings" Target="webSettings.xml"/><Relationship Id="rId9" Type="http://schemas.openxmlformats.org/officeDocument/2006/relationships/hyperlink" Target="https://www.technieknederland.nl/media/ej2lrdxh/richtlijnen-afschrijvingsmethoden.pdf?_gl=1*1c95yq1*_up*MQ..*_ga*ODk1MzI4ODgyLjE3Njk3NzQ2ODI.*_ga_HCH2XJB292*czE3Njk3NzQ2ODIkbzEkZzAkdDE3Njk3NzQ2ODIkajYwJGwwJGg1NjEwNjY1MTM." TargetMode="External"/><Relationship Id="rId14" Type="http://schemas.microsoft.com/office/2018/08/relationships/commentsExtensible" Target="commentsExtensible.xml"/><Relationship Id="rId22" Type="http://schemas.openxmlformats.org/officeDocument/2006/relationships/hyperlink" Target="https://www.repair.org/world" TargetMode="External"/><Relationship Id="rId27"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1690</Words>
  <Characters>9298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Lija Groenewoud van Vliet</cp:lastModifiedBy>
  <cp:revision>61</cp:revision>
  <dcterms:created xsi:type="dcterms:W3CDTF">2026-01-29T11:18:00Z</dcterms:created>
  <dcterms:modified xsi:type="dcterms:W3CDTF">2026-02-13T11:42:00Z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10137dfe-5c6b-4a4a-b295-bb316e34a391</vt:lpwstr>
  </property>
</Properties>
</file>