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6C6" w14:textId="77777777" w:rsidR="00866BA3" w:rsidRDefault="00866BA3" w:rsidP="00866BA3">
      <w:pPr>
        <w:pStyle w:val="Header"/>
      </w:pPr>
      <w:r>
        <w:rPr>
          <w:noProof/>
        </w:rPr>
        <w:drawing>
          <wp:inline distT="0" distB="0" distL="0" distR="0" wp14:anchorId="3288B7B3" wp14:editId="41FC0998">
            <wp:extent cx="1463040" cy="384048"/>
            <wp:effectExtent l="0" t="0" r="381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_Graduate_School_RGB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D761A7">
        <w:rPr>
          <w:i/>
        </w:rPr>
        <w:t xml:space="preserve">        </w:t>
      </w:r>
      <w:r>
        <w:rPr>
          <w:i/>
        </w:rPr>
        <w:t xml:space="preserve">               </w:t>
      </w:r>
      <w:r>
        <w:rPr>
          <w:i/>
          <w:sz w:val="20"/>
          <w:szCs w:val="20"/>
        </w:rPr>
        <w:t xml:space="preserve">MCST 601: Introduction to Medical Cannabis History, Culture, and Policy  </w:t>
      </w:r>
    </w:p>
    <w:p w14:paraId="2A5C2CD6" w14:textId="77777777" w:rsidR="00DB639F" w:rsidRDefault="00DB639F" w:rsidP="00866BA3"/>
    <w:p w14:paraId="2D30DE97" w14:textId="62BA5EBA" w:rsidR="00866BA3" w:rsidRDefault="00866BA3" w:rsidP="00866BA3">
      <w:r>
        <w:t>Assignment 5.</w:t>
      </w:r>
      <w:r w:rsidR="009A4A29">
        <w:t>1</w:t>
      </w:r>
    </w:p>
    <w:p w14:paraId="46D82052" w14:textId="77777777" w:rsidR="00866BA3" w:rsidRDefault="00866BA3" w:rsidP="00866BA3">
      <w:r w:rsidRPr="00866BA3">
        <w:t xml:space="preserve">Evaluate two aspects of your state’s laws/policies related to medical cannabis (e.g., patient requirements, physician requirements, product availability, product analysis, </w:t>
      </w:r>
      <w:proofErr w:type="spellStart"/>
      <w:r w:rsidRPr="00866BA3">
        <w:t>etc</w:t>
      </w:r>
      <w:proofErr w:type="spellEnd"/>
      <w:r w:rsidRPr="00866BA3">
        <w:t>) and compare these to two other states.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420"/>
        <w:gridCol w:w="3330"/>
        <w:gridCol w:w="3600"/>
      </w:tblGrid>
      <w:tr w:rsidR="00866BA3" w14:paraId="2C71A343" w14:textId="77777777" w:rsidTr="00866BA3">
        <w:tc>
          <w:tcPr>
            <w:tcW w:w="2628" w:type="dxa"/>
          </w:tcPr>
          <w:p w14:paraId="6C5CBEFB" w14:textId="77777777" w:rsidR="00866BA3" w:rsidRDefault="00866BA3" w:rsidP="00866BA3">
            <w:r>
              <w:t xml:space="preserve">Law/policy </w:t>
            </w:r>
          </w:p>
        </w:tc>
        <w:tc>
          <w:tcPr>
            <w:tcW w:w="3420" w:type="dxa"/>
          </w:tcPr>
          <w:p w14:paraId="3D17912E" w14:textId="25A8EC97" w:rsidR="00866BA3" w:rsidRDefault="000F06EF" w:rsidP="00866BA3">
            <w:r>
              <w:t>California</w:t>
            </w:r>
            <w:r w:rsidR="00866BA3">
              <w:t xml:space="preserve"> </w:t>
            </w:r>
          </w:p>
        </w:tc>
        <w:tc>
          <w:tcPr>
            <w:tcW w:w="3330" w:type="dxa"/>
          </w:tcPr>
          <w:p w14:paraId="4C295E10" w14:textId="661E6D8F" w:rsidR="00866BA3" w:rsidRDefault="000F06EF" w:rsidP="00866BA3">
            <w:r>
              <w:t>New York</w:t>
            </w:r>
          </w:p>
        </w:tc>
        <w:tc>
          <w:tcPr>
            <w:tcW w:w="3600" w:type="dxa"/>
          </w:tcPr>
          <w:p w14:paraId="6A0A692C" w14:textId="435A41EB" w:rsidR="00866BA3" w:rsidRDefault="000F06EF" w:rsidP="00866BA3">
            <w:r>
              <w:t>Texas</w:t>
            </w:r>
          </w:p>
        </w:tc>
      </w:tr>
      <w:tr w:rsidR="00866BA3" w14:paraId="3A4A3758" w14:textId="77777777" w:rsidTr="00866BA3">
        <w:tc>
          <w:tcPr>
            <w:tcW w:w="2628" w:type="dxa"/>
          </w:tcPr>
          <w:p w14:paraId="1E9118DC" w14:textId="77777777" w:rsidR="00866BA3" w:rsidRDefault="00866BA3" w:rsidP="00866BA3">
            <w:r>
              <w:t>1.</w:t>
            </w:r>
          </w:p>
          <w:p w14:paraId="3F736964" w14:textId="77777777" w:rsidR="00866BA3" w:rsidRDefault="00866BA3" w:rsidP="00866BA3"/>
          <w:p w14:paraId="718B813C" w14:textId="77777777" w:rsidR="00835DAE" w:rsidRDefault="003A359D" w:rsidP="00866BA3">
            <w:pPr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35DA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Specifying conditions</w:t>
            </w:r>
            <w:r w:rsidR="00835DA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14:paraId="499F0761" w14:textId="0D057844" w:rsidR="00866BA3" w:rsidRDefault="003A359D" w:rsidP="00866BA3"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This is particular</w:t>
            </w:r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ly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important as </w:t>
            </w:r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early 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medical marijuan</w:t>
            </w:r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 laws usually began with very specific ailments expanding over time to </w:t>
            </w:r>
            <w:proofErr w:type="gramStart"/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any and all</w:t>
            </w:r>
            <w:proofErr w:type="gramEnd"/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conditions that can be helped with the use of cannabis. A great barometer for how open states </w:t>
            </w:r>
            <w:proofErr w:type="gramStart"/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are</w:t>
            </w:r>
            <w:proofErr w:type="gramEnd"/>
            <w:r w:rsidR="00835DAE"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to MM. </w:t>
            </w:r>
          </w:p>
          <w:p w14:paraId="74EAFD36" w14:textId="77777777" w:rsidR="00866BA3" w:rsidRDefault="00866BA3" w:rsidP="00866BA3"/>
          <w:p w14:paraId="7600ECD0" w14:textId="77777777" w:rsidR="00866BA3" w:rsidRDefault="00866BA3" w:rsidP="00866BA3"/>
          <w:p w14:paraId="1C89CC7E" w14:textId="77777777" w:rsidR="00866BA3" w:rsidRDefault="00866BA3" w:rsidP="00866BA3"/>
        </w:tc>
        <w:tc>
          <w:tcPr>
            <w:tcW w:w="3420" w:type="dxa"/>
          </w:tcPr>
          <w:p w14:paraId="57B6FE49" w14:textId="77777777" w:rsidR="00866BA3" w:rsidRPr="00624F9C" w:rsidRDefault="00432C9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6" w:tgtFrame="_blank" w:history="1">
              <w:r w:rsidR="00835DAE" w:rsidRPr="00624F9C">
                <w:rPr>
                  <w:rStyle w:val="Hyperlink"/>
                  <w:rFonts w:ascii="Arial" w:hAnsi="Arial" w:cs="Arial"/>
                  <w:color w:val="2585D1"/>
                  <w:bdr w:val="none" w:sz="0" w:space="0" w:color="auto" w:frame="1"/>
                  <w:shd w:val="clear" w:color="auto" w:fill="FFFFFF"/>
                </w:rPr>
                <w:t>Proposition 215</w:t>
              </w:r>
            </w:hyperlink>
            <w:r w:rsidR="00835DAE" w:rsidRPr="00624F9C">
              <w:rPr>
                <w:rFonts w:ascii="Arial" w:hAnsi="Arial" w:cs="Arial"/>
                <w:color w:val="333333"/>
                <w:shd w:val="clear" w:color="auto" w:fill="FFFFFF"/>
              </w:rPr>
              <w:t> (1996)  </w:t>
            </w:r>
            <w:hyperlink r:id="rId7" w:tgtFrame="_blank" w:history="1">
              <w:r w:rsidR="00835DAE" w:rsidRPr="00624F9C">
                <w:rPr>
                  <w:rStyle w:val="Hyperlink"/>
                  <w:rFonts w:ascii="Arial" w:hAnsi="Arial" w:cs="Arial"/>
                  <w:color w:val="2585D1"/>
                  <w:bdr w:val="none" w:sz="0" w:space="0" w:color="auto" w:frame="1"/>
                  <w:shd w:val="clear" w:color="auto" w:fill="FFFFFF"/>
                </w:rPr>
                <w:t>SB 420</w:t>
              </w:r>
            </w:hyperlink>
            <w:r w:rsidR="00835DAE" w:rsidRPr="00624F9C">
              <w:rPr>
                <w:rFonts w:ascii="Arial" w:hAnsi="Arial" w:cs="Arial"/>
                <w:color w:val="333333"/>
                <w:shd w:val="clear" w:color="auto" w:fill="FFFFFF"/>
              </w:rPr>
              <w:t> (2003)</w:t>
            </w:r>
            <w:r w:rsidR="00B777AA"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 [1]</w:t>
            </w:r>
          </w:p>
          <w:p w14:paraId="78C29EFE" w14:textId="77777777" w:rsidR="00B777AA" w:rsidRPr="00624F9C" w:rsidRDefault="00B777AA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5144D126" w14:textId="65DC09B3" w:rsidR="00B777AA" w:rsidRPr="00B777AA" w:rsidRDefault="00B777AA" w:rsidP="00B777AA">
            <w:pPr>
              <w:numPr>
                <w:ilvl w:val="0"/>
                <w:numId w:val="2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inherit" w:eastAsia="Times New Roman" w:hAnsi="inherit" w:cs="Arial"/>
                <w:color w:val="3D3D3D"/>
              </w:rPr>
            </w:pP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No: currently does not require a specific condition. 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Any debilitating illness where the medical use of marijuana has been “deemed appropriate and has been recommended by a physician” </w:t>
            </w: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But </w:t>
            </w:r>
            <w:r w:rsid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California </w:t>
            </w: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did begin to mobilize early support form MM around these conditions : </w:t>
            </w:r>
            <w:r w:rsidRPr="00624F9C">
              <w:rPr>
                <w:rFonts w:ascii="Arial" w:eastAsia="Times New Roman" w:hAnsi="Arial" w:cs="Arial"/>
                <w:color w:val="3D3D3D"/>
              </w:rPr>
              <w:t>Anorexia A</w:t>
            </w:r>
            <w:r w:rsidRPr="00B777AA">
              <w:rPr>
                <w:rFonts w:ascii="Arial" w:eastAsia="Times New Roman" w:hAnsi="Arial" w:cs="Arial"/>
                <w:color w:val="3D3D3D"/>
              </w:rPr>
              <w:t>rthritis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Cachexia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Cancer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Chronic Pain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HIV or AIDS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Glaucoma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Migraine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Persistent Muscl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e </w:t>
            </w:r>
            <w:r w:rsidRPr="00B777AA">
              <w:rPr>
                <w:rFonts w:ascii="Arial" w:eastAsia="Times New Roman" w:hAnsi="Arial" w:cs="Arial"/>
                <w:color w:val="3D3D3D"/>
              </w:rPr>
              <w:t>Spasms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Severe Nausea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B777AA">
              <w:rPr>
                <w:rFonts w:ascii="Arial" w:eastAsia="Times New Roman" w:hAnsi="Arial" w:cs="Arial"/>
                <w:color w:val="3D3D3D"/>
              </w:rPr>
              <w:t>Seizures</w:t>
            </w:r>
            <w:r w:rsidR="003D3D85" w:rsidRPr="00624F9C">
              <w:rPr>
                <w:rFonts w:ascii="Arial" w:eastAsia="Times New Roman" w:hAnsi="Arial" w:cs="Arial"/>
                <w:color w:val="3D3D3D"/>
              </w:rPr>
              <w:t xml:space="preserve"> [2]</w:t>
            </w:r>
          </w:p>
          <w:p w14:paraId="6D76CB06" w14:textId="581887C7" w:rsidR="00B777AA" w:rsidRDefault="00B777AA" w:rsidP="00866BA3"/>
        </w:tc>
        <w:tc>
          <w:tcPr>
            <w:tcW w:w="3330" w:type="dxa"/>
          </w:tcPr>
          <w:p w14:paraId="62C15999" w14:textId="77777777" w:rsidR="00866BA3" w:rsidRPr="00624F9C" w:rsidRDefault="00432C9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8" w:tgtFrame="_blank" w:history="1">
              <w:r w:rsidR="00835DAE" w:rsidRPr="00624F9C">
                <w:rPr>
                  <w:rStyle w:val="Hyperlink"/>
                  <w:rFonts w:ascii="Arial" w:hAnsi="Arial" w:cs="Arial"/>
                  <w:color w:val="2585D1"/>
                  <w:bdr w:val="none" w:sz="0" w:space="0" w:color="auto" w:frame="1"/>
                  <w:shd w:val="clear" w:color="auto" w:fill="FFFFFF"/>
                </w:rPr>
                <w:t>A6357</w:t>
              </w:r>
            </w:hyperlink>
            <w:r w:rsidR="00835DAE" w:rsidRPr="00624F9C">
              <w:rPr>
                <w:rFonts w:ascii="Arial" w:hAnsi="Arial" w:cs="Arial"/>
                <w:color w:val="333333"/>
                <w:shd w:val="clear" w:color="auto" w:fill="FFFFFF"/>
              </w:rPr>
              <w:t> (2014) Signed by governor 7/5/14</w:t>
            </w:r>
            <w:r w:rsidR="00B777AA"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 [1]</w:t>
            </w:r>
          </w:p>
          <w:p w14:paraId="790CEBAB" w14:textId="77777777" w:rsidR="003D3D85" w:rsidRPr="00624F9C" w:rsidRDefault="003D3D85" w:rsidP="00866BA3">
            <w:pPr>
              <w:rPr>
                <w:rFonts w:ascii="Arial" w:hAnsi="Arial"/>
                <w:color w:val="333333"/>
                <w:shd w:val="clear" w:color="auto" w:fill="FFFFFF"/>
              </w:rPr>
            </w:pPr>
          </w:p>
          <w:p w14:paraId="1E113102" w14:textId="364F5E7B" w:rsidR="003D3D85" w:rsidRPr="003D3D85" w:rsidRDefault="003D3D85" w:rsidP="003D3D85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</w:rPr>
            </w:pP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No: currently does not require a specific condition. Very similar to California with expanding ideas of the multiple medical benefits MM. Early support </w:t>
            </w:r>
            <w:r w:rsid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in New York </w:t>
            </w: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began with the following conditions: </w:t>
            </w:r>
            <w:r w:rsidRPr="00624F9C">
              <w:rPr>
                <w:rFonts w:ascii="Arial" w:eastAsia="Times New Roman" w:hAnsi="Arial" w:cs="Arial"/>
                <w:color w:val="3D3D3D"/>
              </w:rPr>
              <w:t>Acute pain management</w:t>
            </w:r>
            <w:r w:rsidR="00056C3D"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</w:rPr>
              <w:t>Amyotrophic Lateral Sclerosis (ALS)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</w:rPr>
              <w:t>Cancer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</w:rPr>
              <w:t>Chronic pain</w:t>
            </w:r>
          </w:p>
          <w:p w14:paraId="3AF838DA" w14:textId="63552264" w:rsidR="003D3D85" w:rsidRPr="003D3D85" w:rsidRDefault="003D3D85" w:rsidP="003D3D85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</w:rPr>
            </w:pPr>
            <w:r w:rsidRPr="003D3D85">
              <w:rPr>
                <w:rFonts w:ascii="Arial" w:eastAsia="Times New Roman" w:hAnsi="Arial" w:cs="Arial"/>
                <w:color w:val="3D3D3D"/>
              </w:rPr>
              <w:t>Epilepsy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</w:rPr>
              <w:t>HIV/AIDS</w:t>
            </w:r>
          </w:p>
          <w:p w14:paraId="5FA9E26D" w14:textId="77777777" w:rsidR="003D3D85" w:rsidRPr="003D3D85" w:rsidRDefault="003D3D85" w:rsidP="003D3D85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</w:rPr>
            </w:pPr>
            <w:r w:rsidRPr="003D3D85">
              <w:rPr>
                <w:rFonts w:ascii="Arial" w:eastAsia="Times New Roman" w:hAnsi="Arial" w:cs="Arial"/>
                <w:color w:val="3D3D3D"/>
              </w:rPr>
              <w:t>Huntington’s Disease</w:t>
            </w:r>
          </w:p>
          <w:p w14:paraId="74E78611" w14:textId="77777777" w:rsidR="003D3D85" w:rsidRPr="003D3D85" w:rsidRDefault="003D3D85" w:rsidP="003D3D85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</w:rPr>
            </w:pPr>
            <w:r w:rsidRPr="003D3D85">
              <w:rPr>
                <w:rFonts w:ascii="Arial" w:eastAsia="Times New Roman" w:hAnsi="Arial" w:cs="Arial"/>
                <w:color w:val="3D3D3D"/>
              </w:rPr>
              <w:t>Parkinson’s Disease</w:t>
            </w:r>
          </w:p>
          <w:p w14:paraId="6CCCF49C" w14:textId="7DCAAFF0" w:rsidR="003D3D85" w:rsidRPr="003D3D85" w:rsidRDefault="003D3D85" w:rsidP="003D3D85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</w:rPr>
            </w:pPr>
            <w:r w:rsidRPr="003D3D85">
              <w:rPr>
                <w:rFonts w:ascii="Arial" w:eastAsia="Times New Roman" w:hAnsi="Arial" w:cs="Arial"/>
                <w:color w:val="3D3D3D"/>
              </w:rPr>
              <w:t>Post-Traumatic Stress Disorder</w:t>
            </w:r>
            <w:r w:rsidRPr="00624F9C">
              <w:rPr>
                <w:rFonts w:ascii="Arial" w:eastAsia="Times New Roman" w:hAnsi="Arial" w:cs="Arial"/>
                <w:color w:val="3D3D3D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</w:rPr>
              <w:t>Multiple Sclerosis</w:t>
            </w:r>
          </w:p>
          <w:p w14:paraId="01578970" w14:textId="324122AF" w:rsidR="003D3D85" w:rsidRPr="00624F9C" w:rsidRDefault="003D3D85" w:rsidP="00056C3D">
            <w:pPr>
              <w:numPr>
                <w:ilvl w:val="0"/>
                <w:numId w:val="3"/>
              </w:numPr>
              <w:shd w:val="clear" w:color="auto" w:fill="F8F9F7"/>
              <w:spacing w:line="336" w:lineRule="atLeast"/>
              <w:ind w:left="0"/>
              <w:textAlignment w:val="baseline"/>
              <w:rPr>
                <w:rFonts w:ascii="Arial" w:eastAsia="Times New Roman" w:hAnsi="Arial" w:cs="Arial"/>
                <w:color w:val="3D3D3D"/>
                <w:lang w:val="fr-FR"/>
              </w:rPr>
            </w:pPr>
            <w:r w:rsidRPr="003D3D85">
              <w:rPr>
                <w:rFonts w:ascii="Arial" w:eastAsia="Times New Roman" w:hAnsi="Arial" w:cs="Arial"/>
                <w:color w:val="3D3D3D"/>
                <w:lang w:val="fr-FR"/>
              </w:rPr>
              <w:t>Neuropathies</w:t>
            </w:r>
            <w:r w:rsidRPr="00624F9C">
              <w:rPr>
                <w:rFonts w:ascii="Arial" w:eastAsia="Times New Roman" w:hAnsi="Arial" w:cs="Arial"/>
                <w:color w:val="3D3D3D"/>
                <w:lang w:val="fr-FR"/>
              </w:rPr>
              <w:t xml:space="preserve"> </w:t>
            </w:r>
            <w:r w:rsidR="00D279CA" w:rsidRPr="003D3D85">
              <w:rPr>
                <w:rFonts w:ascii="Arial" w:eastAsia="Times New Roman" w:hAnsi="Arial" w:cs="Arial"/>
                <w:color w:val="3D3D3D"/>
                <w:lang w:val="fr-FR"/>
              </w:rPr>
              <w:t>Opioïde</w:t>
            </w:r>
            <w:r w:rsidRPr="00624F9C">
              <w:rPr>
                <w:rFonts w:ascii="Arial" w:eastAsia="Times New Roman" w:hAnsi="Arial" w:cs="Arial"/>
                <w:color w:val="3D3D3D"/>
                <w:lang w:val="fr-FR"/>
              </w:rPr>
              <w:t xml:space="preserve"> </w:t>
            </w:r>
            <w:r w:rsidRPr="003D3D85">
              <w:rPr>
                <w:rFonts w:ascii="Arial" w:eastAsia="Times New Roman" w:hAnsi="Arial" w:cs="Arial"/>
                <w:color w:val="3D3D3D"/>
                <w:lang w:val="fr-FR"/>
              </w:rPr>
              <w:t>substitution</w:t>
            </w:r>
            <w:r w:rsidR="00056C3D" w:rsidRPr="00624F9C">
              <w:rPr>
                <w:rFonts w:ascii="Arial" w:eastAsia="Times New Roman" w:hAnsi="Arial" w:cs="Arial"/>
                <w:color w:val="3D3D3D"/>
                <w:lang w:val="fr-FR"/>
              </w:rPr>
              <w:t xml:space="preserve"> [2]</w:t>
            </w:r>
          </w:p>
        </w:tc>
        <w:tc>
          <w:tcPr>
            <w:tcW w:w="3600" w:type="dxa"/>
          </w:tcPr>
          <w:p w14:paraId="5C7FBD11" w14:textId="77777777" w:rsidR="00B777AA" w:rsidRPr="00624F9C" w:rsidRDefault="00432C95" w:rsidP="00B777AA">
            <w:pPr>
              <w:pStyle w:val="NormalWeb"/>
              <w:shd w:val="clear" w:color="auto" w:fill="FFFFFF"/>
              <w:spacing w:before="0" w:beforeAutospacing="0" w:after="0" w:afterAutospacing="0" w:line="211" w:lineRule="atLeas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9" w:anchor="navpanes=0" w:tgtFrame="_blank" w:history="1">
              <w:r w:rsidR="00B777AA" w:rsidRPr="00624F9C">
                <w:rPr>
                  <w:rStyle w:val="Hyperlink"/>
                  <w:rFonts w:ascii="Arial" w:hAnsi="Arial" w:cs="Arial"/>
                  <w:color w:val="2585D1"/>
                  <w:sz w:val="22"/>
                  <w:szCs w:val="22"/>
                  <w:bdr w:val="none" w:sz="0" w:space="0" w:color="auto" w:frame="1"/>
                </w:rPr>
                <w:t>SB 339</w:t>
              </w:r>
            </w:hyperlink>
            <w:r w:rsidR="00B777AA" w:rsidRPr="00624F9C">
              <w:rPr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 (2015)</w:t>
            </w:r>
            <w:r w:rsidR="00B777AA" w:rsidRPr="00624F9C">
              <w:rPr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br/>
              <w:t>Texas Compassionate Use Act</w:t>
            </w:r>
          </w:p>
          <w:p w14:paraId="2B85280B" w14:textId="0E4122A0" w:rsidR="00B777AA" w:rsidRPr="00624F9C" w:rsidRDefault="00432C95" w:rsidP="00B777AA">
            <w:pPr>
              <w:pStyle w:val="NormalWeb"/>
              <w:shd w:val="clear" w:color="auto" w:fill="FFFFFF"/>
              <w:spacing w:before="0" w:beforeAutospacing="0" w:after="0" w:afterAutospacing="0" w:line="211" w:lineRule="atLeas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10" w:anchor="navpanes=0" w:tgtFrame="_blank" w:history="1">
              <w:r w:rsidR="00B777AA" w:rsidRPr="00624F9C">
                <w:rPr>
                  <w:rStyle w:val="Hyperlink"/>
                  <w:rFonts w:ascii="Arial" w:hAnsi="Arial" w:cs="Arial"/>
                  <w:color w:val="2585D1"/>
                  <w:sz w:val="22"/>
                  <w:szCs w:val="22"/>
                  <w:bdr w:val="none" w:sz="0" w:space="0" w:color="auto" w:frame="1"/>
                </w:rPr>
                <w:t>HB 3703</w:t>
              </w:r>
            </w:hyperlink>
            <w:r w:rsidR="00B777AA" w:rsidRPr="00624F9C">
              <w:rPr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 (2019)</w:t>
            </w:r>
            <w:r w:rsidR="00624F9C">
              <w:rPr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 xml:space="preserve"> [1</w:t>
            </w:r>
            <w:r w:rsidR="00213E3A">
              <w:rPr>
                <w:rFonts w:ascii="Arial" w:hAnsi="Arial" w:cs="Arial"/>
                <w:color w:val="333333"/>
                <w:sz w:val="22"/>
                <w:szCs w:val="22"/>
                <w:bdr w:val="none" w:sz="0" w:space="0" w:color="auto" w:frame="1"/>
              </w:rPr>
              <w:t>]</w:t>
            </w:r>
          </w:p>
          <w:p w14:paraId="684682AB" w14:textId="77777777" w:rsidR="00866BA3" w:rsidRPr="00624F9C" w:rsidRDefault="00866BA3" w:rsidP="00866BA3"/>
          <w:p w14:paraId="7A5D6B68" w14:textId="230C3C6A" w:rsidR="00B777AA" w:rsidRDefault="0078253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24F9C">
              <w:rPr>
                <w:rFonts w:ascii="Arial" w:hAnsi="Arial" w:cs="Arial"/>
              </w:rPr>
              <w:t>Yes,</w:t>
            </w:r>
            <w:r w:rsidR="00B777AA" w:rsidRPr="00624F9C">
              <w:rPr>
                <w:rFonts w:ascii="Arial" w:hAnsi="Arial" w:cs="Arial"/>
              </w:rPr>
              <w:t xml:space="preserve"> for the following: </w:t>
            </w:r>
            <w:r w:rsidR="00B777AA" w:rsidRPr="00624F9C">
              <w:rPr>
                <w:rFonts w:ascii="Arial" w:hAnsi="Arial" w:cs="Arial"/>
                <w:color w:val="333333"/>
                <w:shd w:val="clear" w:color="auto" w:fill="FFFFFF"/>
              </w:rPr>
              <w:t>intractable epilepsy, incurable neurodegenerative disease, terminal cancer, multiple sclerosis, spasticity, ALS, autism.</w:t>
            </w:r>
            <w:r w:rsidR="00465EAA" w:rsidRPr="00624F9C">
              <w:rPr>
                <w:rFonts w:ascii="Arial" w:hAnsi="Arial" w:cs="Arial"/>
                <w:color w:val="333333"/>
                <w:shd w:val="clear" w:color="auto" w:fill="FFFFFF"/>
              </w:rPr>
              <w:t xml:space="preserve"> [2]</w:t>
            </w:r>
          </w:p>
          <w:p w14:paraId="128F1EC8" w14:textId="77777777" w:rsidR="00624F9C" w:rsidRDefault="00624F9C" w:rsidP="00866BA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4042AA" w14:textId="7F0E5081" w:rsidR="00624F9C" w:rsidRPr="00845EA3" w:rsidRDefault="00624F9C" w:rsidP="00866BA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Texas has the greatest criteria for Medical use. Patients must have one of these illnesses to qualify and still </w:t>
            </w:r>
            <w:r w:rsidR="00213E3A">
              <w:rPr>
                <w:rFonts w:ascii="Arial" w:hAnsi="Arial" w:cs="Arial"/>
                <w:sz w:val="23"/>
                <w:szCs w:val="23"/>
              </w:rPr>
              <w:t>requires</w:t>
            </w:r>
            <w:r>
              <w:rPr>
                <w:rFonts w:ascii="Arial" w:hAnsi="Arial" w:cs="Arial"/>
                <w:sz w:val="23"/>
                <w:szCs w:val="23"/>
              </w:rPr>
              <w:t xml:space="preserve"> the product to be </w:t>
            </w:r>
            <w:r w:rsidR="00213E3A" w:rsidRPr="00213E3A">
              <w:rPr>
                <w:rFonts w:ascii="Arial" w:hAnsi="Arial" w:cs="Arial"/>
                <w:color w:val="3D3D3D"/>
                <w:shd w:val="clear" w:color="auto" w:fill="F8F9F7"/>
              </w:rPr>
              <w:t>Low-THC (no more than 0.5 percent)/high CBD (not less than 10 percent) oil preparations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>. [2]</w:t>
            </w:r>
          </w:p>
        </w:tc>
      </w:tr>
      <w:tr w:rsidR="00866BA3" w14:paraId="5D750ECD" w14:textId="77777777" w:rsidTr="00866BA3">
        <w:tc>
          <w:tcPr>
            <w:tcW w:w="2628" w:type="dxa"/>
          </w:tcPr>
          <w:p w14:paraId="4C3A0A2A" w14:textId="77777777" w:rsidR="00866BA3" w:rsidRDefault="00866BA3" w:rsidP="00866BA3">
            <w:r>
              <w:lastRenderedPageBreak/>
              <w:t>2.</w:t>
            </w:r>
          </w:p>
          <w:p w14:paraId="69A4D1A9" w14:textId="77777777" w:rsidR="00866BA3" w:rsidRDefault="00866BA3" w:rsidP="00866BA3"/>
          <w:p w14:paraId="03285927" w14:textId="5E91AA8C" w:rsidR="003A359D" w:rsidRDefault="00F726DC" w:rsidP="003A359D"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Style w:val="Strong"/>
                <w:bdr w:val="none" w:sz="0" w:space="0" w:color="auto" w:frame="1"/>
              </w:rPr>
              <w:t xml:space="preserve">llowing for dispensaries </w:t>
            </w:r>
            <w:r w:rsidR="00507351">
              <w:rPr>
                <w:rStyle w:val="Strong"/>
                <w:bdr w:val="none" w:sz="0" w:space="0" w:color="auto" w:frame="1"/>
              </w:rPr>
              <w:t xml:space="preserve">and or Collectives as a way for patients to access state approved MM. </w:t>
            </w:r>
          </w:p>
          <w:p w14:paraId="730C2984" w14:textId="77777777" w:rsidR="00866BA3" w:rsidRDefault="00866BA3" w:rsidP="00866BA3"/>
          <w:p w14:paraId="34A1A716" w14:textId="77777777" w:rsidR="00866BA3" w:rsidRDefault="00866BA3" w:rsidP="00866BA3"/>
          <w:p w14:paraId="3893D3D4" w14:textId="77777777" w:rsidR="00866BA3" w:rsidRDefault="00866BA3" w:rsidP="00866BA3"/>
          <w:p w14:paraId="1A3247E1" w14:textId="77777777" w:rsidR="00866BA3" w:rsidRDefault="00866BA3" w:rsidP="00866BA3"/>
          <w:p w14:paraId="15FC50BE" w14:textId="77777777" w:rsidR="00866BA3" w:rsidRDefault="00866BA3" w:rsidP="00866BA3"/>
          <w:p w14:paraId="0BB23FE0" w14:textId="77777777" w:rsidR="00866BA3" w:rsidRDefault="00866BA3" w:rsidP="00866BA3"/>
        </w:tc>
        <w:tc>
          <w:tcPr>
            <w:tcW w:w="3420" w:type="dxa"/>
          </w:tcPr>
          <w:p w14:paraId="5049265A" w14:textId="73EE5B06" w:rsidR="00624F9C" w:rsidRPr="00213E3A" w:rsidRDefault="0078253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24F9C">
              <w:rPr>
                <w:rFonts w:ascii="Arial" w:hAnsi="Arial" w:cs="Arial"/>
                <w:color w:val="333333"/>
                <w:shd w:val="clear" w:color="auto" w:fill="FFFFFF"/>
              </w:rPr>
              <w:t>Yes,</w:t>
            </w:r>
            <w:r w:rsidR="00213E3A">
              <w:rPr>
                <w:rFonts w:ascii="Arial" w:hAnsi="Arial" w:cs="Arial"/>
                <w:color w:val="333333"/>
                <w:shd w:val="clear" w:color="auto" w:fill="FFFFFF"/>
              </w:rPr>
              <w:t xml:space="preserve"> California was the 1</w:t>
            </w:r>
            <w:r w:rsidR="00213E3A" w:rsidRPr="00213E3A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st</w:t>
            </w:r>
            <w:r w:rsidR="00213E3A">
              <w:rPr>
                <w:rFonts w:ascii="Arial" w:hAnsi="Arial" w:cs="Arial"/>
                <w:color w:val="333333"/>
                <w:shd w:val="clear" w:color="auto" w:fill="FFFFFF"/>
              </w:rPr>
              <w:t xml:space="preserve"> state in the U.S to allow for </w:t>
            </w:r>
            <w:r w:rsidR="00F726DC" w:rsidRPr="00624F9C">
              <w:rPr>
                <w:rFonts w:ascii="Arial" w:hAnsi="Arial" w:cs="Arial"/>
                <w:color w:val="333333"/>
                <w:shd w:val="clear" w:color="auto" w:fill="FFFFFF"/>
              </w:rPr>
              <w:t>cooperatives and collectives</w:t>
            </w:r>
            <w:r w:rsidR="00213E3A">
              <w:rPr>
                <w:rFonts w:ascii="Arial" w:hAnsi="Arial" w:cs="Arial"/>
                <w:color w:val="333333"/>
                <w:shd w:val="clear" w:color="auto" w:fill="FFFFFF"/>
              </w:rPr>
              <w:t xml:space="preserve"> as a means for patients to access MM</w:t>
            </w:r>
            <w:r w:rsidR="009F4906">
              <w:rPr>
                <w:rFonts w:ascii="Arial" w:hAnsi="Arial" w:cs="Arial"/>
                <w:color w:val="333333"/>
                <w:shd w:val="clear" w:color="auto" w:fill="FFFFFF"/>
              </w:rPr>
              <w:t xml:space="preserve"> as well as Recreational Marijuana</w:t>
            </w:r>
            <w:r w:rsidR="00213E3A">
              <w:rPr>
                <w:rFonts w:ascii="Arial" w:hAnsi="Arial" w:cs="Arial"/>
                <w:color w:val="333333"/>
                <w:shd w:val="clear" w:color="auto" w:fill="FFFFFF"/>
              </w:rPr>
              <w:t>. California 1</w:t>
            </w:r>
            <w:r w:rsidR="00213E3A" w:rsidRPr="00213E3A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st</w:t>
            </w:r>
            <w:r w:rsidR="00213E3A">
              <w:rPr>
                <w:rFonts w:ascii="Arial" w:hAnsi="Arial" w:cs="Arial"/>
                <w:color w:val="333333"/>
                <w:shd w:val="clear" w:color="auto" w:fill="FFFFFF"/>
              </w:rPr>
              <w:t xml:space="preserve"> began issuing t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>emporary state licensing for dispensaries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 xml:space="preserve"> 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>January 1, 2018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>. And began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 xml:space="preserve"> 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 xml:space="preserve">issuing 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 xml:space="preserve">permanent licenses 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 xml:space="preserve">in July of 2018. The state also allowed 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 xml:space="preserve">nonprofit dispensaries 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 xml:space="preserve">to 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 xml:space="preserve">continue to operate </w:t>
            </w:r>
            <w:r w:rsidR="00213E3A">
              <w:rPr>
                <w:rFonts w:ascii="Arial" w:hAnsi="Arial" w:cs="Arial"/>
                <w:color w:val="3D3D3D"/>
                <w:shd w:val="clear" w:color="auto" w:fill="F8F9F7"/>
              </w:rPr>
              <w:t xml:space="preserve">until </w:t>
            </w:r>
            <w:r w:rsidR="00213E3A" w:rsidRPr="00624F9C">
              <w:rPr>
                <w:rFonts w:ascii="Arial" w:hAnsi="Arial" w:cs="Arial"/>
                <w:color w:val="3D3D3D"/>
                <w:shd w:val="clear" w:color="auto" w:fill="F8F9F7"/>
              </w:rPr>
              <w:t xml:space="preserve">January 9, 2019, </w:t>
            </w:r>
            <w:r w:rsidR="00624F9C" w:rsidRPr="00624F9C">
              <w:rPr>
                <w:rFonts w:ascii="Arial" w:hAnsi="Arial" w:cs="Arial"/>
                <w:color w:val="3D3D3D"/>
                <w:shd w:val="clear" w:color="auto" w:fill="F8F9F7"/>
              </w:rPr>
              <w:t>under state law SB 420.</w:t>
            </w:r>
            <w:r w:rsidR="00624F9C" w:rsidRPr="00624F9C">
              <w:rPr>
                <w:rFonts w:ascii="Arial" w:hAnsi="Arial" w:cs="Arial"/>
                <w:color w:val="3D3D3D"/>
                <w:sz w:val="23"/>
                <w:szCs w:val="23"/>
                <w:shd w:val="clear" w:color="auto" w:fill="F8F9F7"/>
              </w:rPr>
              <w:t> </w:t>
            </w:r>
          </w:p>
        </w:tc>
        <w:tc>
          <w:tcPr>
            <w:tcW w:w="3330" w:type="dxa"/>
          </w:tcPr>
          <w:p w14:paraId="212EC3DF" w14:textId="08F02243" w:rsidR="00866BA3" w:rsidRDefault="0078253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Like California, Ney York allows for Medicinal as well as Recreational dispensaries for patients to obtain Marijuana. </w:t>
            </w:r>
          </w:p>
          <w:p w14:paraId="748CEAD0" w14:textId="2A53F1D8" w:rsidR="00782535" w:rsidRDefault="00782535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However, it does not allow for smokable or “combustible’ products. Only cannabis infused products are sold. </w:t>
            </w:r>
          </w:p>
          <w:p w14:paraId="21512A75" w14:textId="30C8C4B3" w:rsidR="00782535" w:rsidRPr="00624F9C" w:rsidRDefault="00782535" w:rsidP="00866BA3"/>
        </w:tc>
        <w:tc>
          <w:tcPr>
            <w:tcW w:w="3600" w:type="dxa"/>
          </w:tcPr>
          <w:p w14:paraId="27B8E4B5" w14:textId="77777777" w:rsidR="00866BA3" w:rsidRPr="00782535" w:rsidRDefault="00F726DC" w:rsidP="00866BA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82535">
              <w:rPr>
                <w:rFonts w:ascii="Arial" w:hAnsi="Arial" w:cs="Arial"/>
                <w:color w:val="333333"/>
                <w:shd w:val="clear" w:color="auto" w:fill="FFFFFF"/>
              </w:rPr>
              <w:t xml:space="preserve">Yes, </w:t>
            </w:r>
            <w:r w:rsidR="002A05CC" w:rsidRPr="00782535">
              <w:rPr>
                <w:rFonts w:ascii="Arial" w:hAnsi="Arial" w:cs="Arial"/>
                <w:color w:val="333333"/>
                <w:shd w:val="clear" w:color="auto" w:fill="FFFFFF"/>
              </w:rPr>
              <w:t xml:space="preserve">Texas allows for dispensaries, but only allows for dispensaries that are </w:t>
            </w:r>
            <w:r w:rsidRPr="00782535">
              <w:rPr>
                <w:rFonts w:ascii="Arial" w:hAnsi="Arial" w:cs="Arial"/>
                <w:color w:val="333333"/>
                <w:shd w:val="clear" w:color="auto" w:fill="FFFFFF"/>
              </w:rPr>
              <w:t>licensed by the Department of Public Safety.</w:t>
            </w:r>
          </w:p>
          <w:p w14:paraId="41D6833A" w14:textId="55C1A283" w:rsidR="002A05CC" w:rsidRPr="00624F9C" w:rsidRDefault="002A05CC" w:rsidP="00866BA3">
            <w:r w:rsidRPr="00782535">
              <w:rPr>
                <w:rFonts w:ascii="Arial" w:hAnsi="Arial" w:cs="Arial"/>
              </w:rPr>
              <w:t xml:space="preserve">So </w:t>
            </w:r>
            <w:r w:rsidR="00782535" w:rsidRPr="00782535">
              <w:rPr>
                <w:rFonts w:ascii="Arial" w:hAnsi="Arial" w:cs="Arial"/>
              </w:rPr>
              <w:t>far,</w:t>
            </w:r>
            <w:r w:rsidRPr="00782535">
              <w:rPr>
                <w:rFonts w:ascii="Arial" w:hAnsi="Arial" w:cs="Arial"/>
              </w:rPr>
              <w:t xml:space="preserve"> the state only has 3 total dispensaries in the entire state of Texas.</w:t>
            </w:r>
            <w:r>
              <w:t xml:space="preserve"> </w:t>
            </w:r>
            <w:r w:rsidR="002C4ACD">
              <w:t>[2]</w:t>
            </w:r>
          </w:p>
        </w:tc>
      </w:tr>
    </w:tbl>
    <w:p w14:paraId="6EC5BA4B" w14:textId="6BE7A780" w:rsidR="00866BA3" w:rsidRDefault="00866BA3" w:rsidP="00866BA3"/>
    <w:p w14:paraId="3111DAAD" w14:textId="14FEFE62" w:rsidR="00CE65C4" w:rsidRDefault="00CE65C4" w:rsidP="00866BA3"/>
    <w:p w14:paraId="1571BFC9" w14:textId="47D72EC0" w:rsidR="00CE65C4" w:rsidRDefault="00CE65C4" w:rsidP="00866BA3"/>
    <w:p w14:paraId="25296673" w14:textId="63E4E14F" w:rsidR="00CE65C4" w:rsidRDefault="00CE65C4" w:rsidP="00866BA3">
      <w:proofErr w:type="gramStart"/>
      <w:r>
        <w:t>References :</w:t>
      </w:r>
      <w:proofErr w:type="gramEnd"/>
      <w:r>
        <w:t xml:space="preserve"> </w:t>
      </w:r>
    </w:p>
    <w:p w14:paraId="5EA48E5B" w14:textId="69F62028" w:rsidR="00CE65C4" w:rsidRPr="002C4ACD" w:rsidRDefault="00CE65C4" w:rsidP="00866BA3">
      <w:pPr>
        <w:rPr>
          <w:rFonts w:ascii="Arial" w:hAnsi="Arial" w:cs="Arial"/>
        </w:rPr>
      </w:pPr>
    </w:p>
    <w:p w14:paraId="5232BE13" w14:textId="5D624A8F" w:rsidR="00CE65C4" w:rsidRPr="00CE65C4" w:rsidRDefault="002C4ACD" w:rsidP="00CE65C4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111111"/>
        </w:rPr>
      </w:pPr>
      <w:r w:rsidRPr="002C4ACD">
        <w:rPr>
          <w:rFonts w:ascii="Arial" w:eastAsia="Times New Roman" w:hAnsi="Arial" w:cs="Arial"/>
          <w:b/>
          <w:bCs/>
          <w:color w:val="111111"/>
        </w:rPr>
        <w:t>1.</w:t>
      </w:r>
      <w:r>
        <w:rPr>
          <w:rFonts w:ascii="Arial" w:eastAsia="Times New Roman" w:hAnsi="Arial" w:cs="Arial"/>
          <w:color w:val="111111"/>
        </w:rPr>
        <w:t xml:space="preserve"> </w:t>
      </w:r>
      <w:r w:rsidR="00CE65C4" w:rsidRPr="00CE65C4">
        <w:rPr>
          <w:rFonts w:ascii="Arial" w:eastAsia="Times New Roman" w:hAnsi="Arial" w:cs="Arial"/>
          <w:color w:val="111111"/>
        </w:rPr>
        <w:t>Website:</w:t>
      </w:r>
      <w:hyperlink r:id="rId11" w:tgtFrame="_blank" w:tooltip="state medical marijuana laws" w:history="1">
        <w:r w:rsidR="00CE65C4" w:rsidRPr="00CE65C4">
          <w:rPr>
            <w:rFonts w:ascii="Arial" w:eastAsia="Times New Roman" w:hAnsi="Arial" w:cs="Arial"/>
            <w:color w:val="1874A4"/>
            <w:u w:val="single"/>
            <w:bdr w:val="none" w:sz="0" w:space="0" w:color="auto" w:frame="1"/>
          </w:rPr>
          <w:t> State Medical Marijuana Laws</w:t>
        </w:r>
      </w:hyperlink>
      <w:r w:rsidR="00CE65C4" w:rsidRPr="00CE65C4">
        <w:rPr>
          <w:rFonts w:ascii="Arial" w:eastAsia="Times New Roman" w:hAnsi="Arial" w:cs="Arial"/>
          <w:color w:val="111111"/>
        </w:rPr>
        <w:t>. National Conference of State Legislatures. 3 March 2020. Retrieved from: http://www.ncsl.org/research/health/state-medical-marijuana-laws.aspx</w:t>
      </w:r>
    </w:p>
    <w:p w14:paraId="223C9C57" w14:textId="7D473BEA" w:rsidR="00CE65C4" w:rsidRPr="002C4ACD" w:rsidRDefault="00CE65C4" w:rsidP="00866BA3">
      <w:pPr>
        <w:rPr>
          <w:rFonts w:ascii="Arial" w:hAnsi="Arial" w:cs="Arial"/>
        </w:rPr>
      </w:pPr>
    </w:p>
    <w:p w14:paraId="55081081" w14:textId="31E8FC0E" w:rsidR="002C4ACD" w:rsidRPr="002C4ACD" w:rsidRDefault="002C4ACD" w:rsidP="002C4AC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20202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r w:rsidRPr="002C4ACD">
        <w:rPr>
          <w:rFonts w:ascii="Arial" w:hAnsi="Arial" w:cs="Arial"/>
          <w:color w:val="111111"/>
          <w:sz w:val="22"/>
          <w:szCs w:val="22"/>
        </w:rPr>
        <w:t>Website:</w:t>
      </w:r>
      <w:r w:rsidRPr="002C4ACD">
        <w:rPr>
          <w:rFonts w:ascii="Arial" w:hAnsi="Arial" w:cs="Arial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NORML State Marijuana Laws</w:t>
        </w:r>
      </w:hyperlink>
      <w:r w:rsidRPr="002C4ACD">
        <w:rPr>
          <w:rFonts w:ascii="Arial" w:hAnsi="Arial" w:cs="Arial"/>
          <w:color w:val="111111"/>
          <w:sz w:val="22"/>
          <w:szCs w:val="22"/>
        </w:rPr>
        <w:t xml:space="preserve">. </w:t>
      </w:r>
      <w:r w:rsidRPr="002C4ACD">
        <w:rPr>
          <w:rFonts w:ascii="Arial" w:hAnsi="Arial" w:cs="Arial"/>
          <w:b w:val="0"/>
          <w:bCs w:val="0"/>
          <w:color w:val="020202"/>
          <w:sz w:val="22"/>
          <w:szCs w:val="22"/>
        </w:rPr>
        <w:t>California Medical Marijuana Law</w:t>
      </w:r>
    </w:p>
    <w:p w14:paraId="30D27D97" w14:textId="1282AEBE" w:rsidR="00CE65C4" w:rsidRPr="00866BA3" w:rsidRDefault="002C4ACD" w:rsidP="009E5EF3">
      <w:pPr>
        <w:numPr>
          <w:ilvl w:val="0"/>
          <w:numId w:val="5"/>
        </w:numPr>
        <w:shd w:val="clear" w:color="auto" w:fill="F4F4F4"/>
        <w:spacing w:after="0" w:line="240" w:lineRule="auto"/>
        <w:ind w:left="0"/>
      </w:pPr>
      <w:r>
        <w:rPr>
          <w:rFonts w:ascii="Arial" w:eastAsia="Times New Roman" w:hAnsi="Arial" w:cs="Arial"/>
          <w:color w:val="111111"/>
        </w:rPr>
        <w:t>Updates</w:t>
      </w:r>
      <w:r w:rsidRPr="002C4ACD">
        <w:rPr>
          <w:rFonts w:ascii="Arial" w:eastAsia="Times New Roman" w:hAnsi="Arial" w:cs="Arial"/>
          <w:color w:val="111111"/>
        </w:rPr>
        <w:t xml:space="preserve"> 2020. Retrieved from: </w:t>
      </w:r>
      <w:hyperlink r:id="rId13" w:history="1">
        <w:r w:rsidRPr="002C4ACD">
          <w:rPr>
            <w:rStyle w:val="Hyperlink"/>
            <w:rFonts w:ascii="Arial" w:eastAsia="Times New Roman" w:hAnsi="Arial" w:cs="Arial"/>
          </w:rPr>
          <w:t>https://norml.org/laws/medical-laws</w:t>
        </w:r>
      </w:hyperlink>
    </w:p>
    <w:sectPr w:rsidR="00CE65C4" w:rsidRPr="00866BA3" w:rsidSect="00866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9BF"/>
    <w:multiLevelType w:val="multilevel"/>
    <w:tmpl w:val="2F48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87913"/>
    <w:multiLevelType w:val="multilevel"/>
    <w:tmpl w:val="4E1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C48C4"/>
    <w:multiLevelType w:val="multilevel"/>
    <w:tmpl w:val="9D4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69017D"/>
    <w:multiLevelType w:val="multilevel"/>
    <w:tmpl w:val="974C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E08C8"/>
    <w:multiLevelType w:val="multilevel"/>
    <w:tmpl w:val="252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A3"/>
    <w:rsid w:val="00056C3D"/>
    <w:rsid w:val="000F06EF"/>
    <w:rsid w:val="00213E3A"/>
    <w:rsid w:val="002A05CC"/>
    <w:rsid w:val="002C4ACD"/>
    <w:rsid w:val="003A359D"/>
    <w:rsid w:val="003D3D85"/>
    <w:rsid w:val="00432C95"/>
    <w:rsid w:val="00465EAA"/>
    <w:rsid w:val="00507351"/>
    <w:rsid w:val="00624F9C"/>
    <w:rsid w:val="00782535"/>
    <w:rsid w:val="00835DAE"/>
    <w:rsid w:val="00845EA3"/>
    <w:rsid w:val="00866BA3"/>
    <w:rsid w:val="009A4A29"/>
    <w:rsid w:val="009F4906"/>
    <w:rsid w:val="00B777AA"/>
    <w:rsid w:val="00CE65C4"/>
    <w:rsid w:val="00D279CA"/>
    <w:rsid w:val="00DB639F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A459"/>
  <w15:docId w15:val="{F1D3EC44-F1C2-48E4-8935-CE78315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4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A3"/>
  </w:style>
  <w:style w:type="paragraph" w:styleId="BalloonText">
    <w:name w:val="Balloon Text"/>
    <w:basedOn w:val="Normal"/>
    <w:link w:val="BalloonTextChar"/>
    <w:uiPriority w:val="99"/>
    <w:semiHidden/>
    <w:unhideWhenUsed/>
    <w:rsid w:val="0086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359D"/>
    <w:rPr>
      <w:b/>
      <w:bCs/>
    </w:rPr>
  </w:style>
  <w:style w:type="character" w:styleId="Hyperlink">
    <w:name w:val="Hyperlink"/>
    <w:basedOn w:val="DefaultParagraphFont"/>
    <w:uiPriority w:val="99"/>
    <w:unhideWhenUsed/>
    <w:rsid w:val="00835D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4A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4A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state.ny.us/leg/?default_fld=&amp;bn=A06357&amp;term=2013&amp;Summary=Y&amp;Actions=Y" TargetMode="External"/><Relationship Id="rId13" Type="http://schemas.openxmlformats.org/officeDocument/2006/relationships/hyperlink" Target="https://norml.org/laws/medical-la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nfo.ca.gov/pub/03-04/bill/sen/sb_0401-0450/sb_420_bill_20031012_chaptered.html" TargetMode="External"/><Relationship Id="rId12" Type="http://schemas.openxmlformats.org/officeDocument/2006/relationships/hyperlink" Target="https://norml.org/laws/medical-la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te96.sos.ca.gov/BP/215text.htm" TargetMode="External"/><Relationship Id="rId11" Type="http://schemas.openxmlformats.org/officeDocument/2006/relationships/hyperlink" Target="http://www.ncsl.org/research/health/state-medical-marijuana-laws.asp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apitol.texas.gov/tlodocs/86R/billtext/pdf/HB03703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itol.state.tx.us/tlodocs/84R/billtext/pdf/SB00339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Sera</dc:creator>
  <cp:lastModifiedBy>Marcus Gordon</cp:lastModifiedBy>
  <cp:revision>2</cp:revision>
  <dcterms:created xsi:type="dcterms:W3CDTF">2022-05-10T04:44:00Z</dcterms:created>
  <dcterms:modified xsi:type="dcterms:W3CDTF">2022-05-10T04:44:00Z</dcterms:modified>
</cp:coreProperties>
</file>