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7C30A1E4" w:rsidR="00FA113C" w:rsidRPr="00665971" w:rsidRDefault="00D44FA7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BF91A0" wp14:editId="50C45F0E">
            <wp:simplePos x="0" y="0"/>
            <wp:positionH relativeFrom="margin">
              <wp:posOffset>5577840</wp:posOffset>
            </wp:positionH>
            <wp:positionV relativeFrom="paragraph">
              <wp:posOffset>-709295</wp:posOffset>
            </wp:positionV>
            <wp:extent cx="1370024" cy="1005840"/>
            <wp:effectExtent l="0" t="0" r="1905" b="3810"/>
            <wp:wrapNone/>
            <wp:docPr id="493513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13378" name="Picture 4935133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0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13C" w:rsidRPr="00665971">
        <w:rPr>
          <w:rFonts w:ascii="Arial" w:hAnsi="Arial" w:cs="Arial"/>
          <w:bCs/>
          <w:sz w:val="28"/>
          <w:szCs w:val="28"/>
        </w:rPr>
        <w:t>09</w:t>
      </w:r>
      <w:r w:rsidR="00FA113C"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="00FA113C"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4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5"/>
      <w:footerReference w:type="default" r:id="rId16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A09A" w14:textId="77777777" w:rsidR="00C647A2" w:rsidRDefault="00C647A2" w:rsidP="003C7A9F">
      <w:r>
        <w:separator/>
      </w:r>
    </w:p>
  </w:endnote>
  <w:endnote w:type="continuationSeparator" w:id="0">
    <w:p w14:paraId="3409C17D" w14:textId="77777777" w:rsidR="00C647A2" w:rsidRDefault="00C647A2" w:rsidP="003C7A9F">
      <w:r>
        <w:continuationSeparator/>
      </w:r>
    </w:p>
  </w:endnote>
  <w:endnote w:type="continuationNotice" w:id="1">
    <w:p w14:paraId="3268E338" w14:textId="77777777" w:rsidR="00C647A2" w:rsidRDefault="00C64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FC74" w14:textId="77777777" w:rsidR="00C647A2" w:rsidRDefault="00C647A2" w:rsidP="003C7A9F">
      <w:r>
        <w:separator/>
      </w:r>
    </w:p>
  </w:footnote>
  <w:footnote w:type="continuationSeparator" w:id="0">
    <w:p w14:paraId="0267A116" w14:textId="77777777" w:rsidR="00C647A2" w:rsidRDefault="00C647A2" w:rsidP="003C7A9F">
      <w:r>
        <w:continuationSeparator/>
      </w:r>
    </w:p>
  </w:footnote>
  <w:footnote w:type="continuationNotice" w:id="1">
    <w:p w14:paraId="5308C485" w14:textId="77777777" w:rsidR="00C647A2" w:rsidRDefault="00C64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304E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7A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4FA7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v.uk/government/publications/send-code-of-practice-0-to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2421</Words>
  <Characters>12035</Characters>
  <Application>Microsoft Office Word</Application>
  <DocSecurity>0</DocSecurity>
  <Lines>188</Lines>
  <Paragraphs>93</Paragraphs>
  <ScaleCrop>false</ScaleCrop>
  <Company>Hewlett-Packard Company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2</cp:revision>
  <cp:lastPrinted>2018-05-04T02:57:00Z</cp:lastPrinted>
  <dcterms:created xsi:type="dcterms:W3CDTF">2025-11-11T13:35:00Z</dcterms:created>
  <dcterms:modified xsi:type="dcterms:W3CDTF">2025-11-11T13:35:00Z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