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914C" w14:textId="663AFA38" w:rsidR="00D60958" w:rsidRDefault="00D60958" w:rsidP="0096548A">
      <w:pPr>
        <w:spacing w:before="120" w:after="120" w:line="360" w:lineRule="auto"/>
        <w:rPr>
          <w:rFonts w:ascii="Arial" w:hAnsi="Arial" w:cs="Arial"/>
          <w:sz w:val="28"/>
          <w:szCs w:val="28"/>
        </w:rPr>
      </w:pPr>
      <w:r>
        <w:rPr>
          <w:rFonts w:ascii="Arial" w:hAnsi="Arial" w:cs="Arial"/>
          <w:bCs/>
          <w:noProof/>
          <w:sz w:val="28"/>
          <w:szCs w:val="28"/>
        </w:rPr>
        <w:drawing>
          <wp:inline distT="0" distB="0" distL="0" distR="0" wp14:anchorId="7F9E242F" wp14:editId="70DF2A37">
            <wp:extent cx="1013552" cy="675701"/>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026093" cy="684062"/>
                    </a:xfrm>
                    <a:prstGeom prst="rect">
                      <a:avLst/>
                    </a:prstGeom>
                  </pic:spPr>
                </pic:pic>
              </a:graphicData>
            </a:graphic>
          </wp:inline>
        </w:drawing>
      </w:r>
    </w:p>
    <w:p w14:paraId="2FD08809" w14:textId="1ACDCEF0" w:rsidR="00B419BD" w:rsidRPr="00D72995" w:rsidRDefault="000D0F33" w:rsidP="0096548A">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6EAB849"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w:t>
      </w:r>
      <w:r w:rsidR="006A51F6">
        <w:rPr>
          <w:rFonts w:ascii="Arial" w:hAnsi="Arial" w:cs="Arial"/>
          <w:b/>
          <w:sz w:val="28"/>
          <w:szCs w:val="28"/>
        </w:rPr>
        <w:t>,</w:t>
      </w:r>
      <w:r w:rsidR="00F14A84" w:rsidRPr="00D72995">
        <w:rPr>
          <w:rFonts w:ascii="Arial" w:hAnsi="Arial" w:cs="Arial"/>
          <w:b/>
          <w:sz w:val="28"/>
          <w:szCs w:val="28"/>
        </w:rPr>
        <w:t xml:space="preserve"> purchase</w:t>
      </w:r>
      <w:r w:rsidR="006A51F6">
        <w:rPr>
          <w:rFonts w:ascii="Arial" w:hAnsi="Arial" w:cs="Arial"/>
          <w:b/>
          <w:sz w:val="28"/>
          <w:szCs w:val="28"/>
        </w:rPr>
        <w:t xml:space="preserve"> and </w:t>
      </w:r>
      <w:r w:rsidR="00FA4892">
        <w:rPr>
          <w:rFonts w:ascii="Arial" w:hAnsi="Arial" w:cs="Arial"/>
          <w:b/>
          <w:sz w:val="28"/>
          <w:szCs w:val="28"/>
        </w:rPr>
        <w:t>hygiene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3F73E9B7" w14:textId="494D48A4" w:rsidR="00B419BD" w:rsidRPr="00D72995" w:rsidRDefault="00A5429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A</w:t>
      </w:r>
      <w:r w:rsidR="008C5A35" w:rsidRPr="00D72995">
        <w:rPr>
          <w:rFonts w:ascii="Arial" w:hAnsi="Arial" w:cs="Arial"/>
          <w:sz w:val="22"/>
          <w:szCs w:val="22"/>
        </w:rPr>
        <w:t>ll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p>
    <w:p w14:paraId="2CE9E7B8" w14:textId="0578897C" w:rsidR="008C5A35" w:rsidRPr="00D72995" w:rsidRDefault="008C5A35"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4F3543" w:rsidRPr="00D72995">
        <w:rPr>
          <w:rFonts w:ascii="Arial" w:hAnsi="Arial" w:cs="Arial"/>
          <w:sz w:val="22"/>
          <w:szCs w:val="22"/>
        </w:rPr>
        <w:t>setting m</w:t>
      </w:r>
      <w:r w:rsidRPr="00D72995">
        <w:rPr>
          <w:rFonts w:ascii="Arial" w:hAnsi="Arial" w:cs="Arial"/>
          <w:sz w:val="22"/>
          <w:szCs w:val="22"/>
        </w:rPr>
        <w:t>anager is responsible for ensuring that the requirements in Safer Food Better Business are implemented.</w:t>
      </w:r>
    </w:p>
    <w:p w14:paraId="36B46630" w14:textId="325DBBE1" w:rsidR="001C3400" w:rsidRPr="00D60958" w:rsidRDefault="00D60958" w:rsidP="00D60958">
      <w:pPr>
        <w:numPr>
          <w:ilvl w:val="0"/>
          <w:numId w:val="18"/>
        </w:numPr>
        <w:spacing w:before="120" w:after="120" w:line="360" w:lineRule="auto"/>
        <w:rPr>
          <w:rFonts w:ascii="Arial" w:hAnsi="Arial" w:cs="Arial"/>
          <w:sz w:val="22"/>
          <w:szCs w:val="22"/>
        </w:rPr>
      </w:pPr>
      <w:r>
        <w:rPr>
          <w:rFonts w:ascii="Arial" w:hAnsi="Arial" w:cs="Arial"/>
          <w:sz w:val="22"/>
          <w:szCs w:val="22"/>
        </w:rPr>
        <w:t>A</w:t>
      </w:r>
      <w:r w:rsidR="001C3400" w:rsidRPr="00D60958">
        <w:rPr>
          <w:rFonts w:ascii="Arial" w:hAnsi="Arial" w:cs="Arial"/>
          <w:sz w:val="22"/>
          <w:szCs w:val="22"/>
        </w:rPr>
        <w:t>ll staff responsible for preparing food have undertaken the Food Allergy Online Training CPD module available at</w:t>
      </w:r>
      <w:r w:rsidR="00811FED" w:rsidRPr="00D60958">
        <w:rPr>
          <w:rFonts w:ascii="Arial" w:hAnsi="Arial" w:cs="Arial"/>
          <w:sz w:val="22"/>
          <w:szCs w:val="22"/>
        </w:rPr>
        <w:t xml:space="preserve"> </w:t>
      </w:r>
      <w:hyperlink r:id="rId12" w:history="1">
        <w:r w:rsidR="00811FED" w:rsidRPr="00D60958">
          <w:rPr>
            <w:rStyle w:val="Hyperlink"/>
            <w:rFonts w:ascii="Arial" w:hAnsi="Arial" w:cs="Arial"/>
            <w:sz w:val="22"/>
            <w:szCs w:val="22"/>
          </w:rPr>
          <w:t>http://allergytraining.food.gov.uk/</w:t>
        </w:r>
      </w:hyperlink>
      <w:r w:rsidR="004F3543" w:rsidRPr="00D60958">
        <w:rPr>
          <w:rStyle w:val="Hyperlink"/>
          <w:rFonts w:ascii="Arial" w:hAnsi="Arial" w:cs="Arial"/>
          <w:sz w:val="22"/>
          <w:szCs w:val="22"/>
        </w:rPr>
        <w:t>.</w:t>
      </w:r>
    </w:p>
    <w:p w14:paraId="5A5D13A4" w14:textId="7C95D783"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w:t>
      </w:r>
      <w:r w:rsidR="00CF1405" w:rsidRPr="00D72995">
        <w:rPr>
          <w:rFonts w:ascii="Arial" w:hAnsi="Arial" w:cs="Arial"/>
          <w:sz w:val="22"/>
          <w:szCs w:val="22"/>
        </w:rPr>
        <w:t>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the 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731CA2EE" w14:textId="1B79B6CD" w:rsidR="00B419BD" w:rsidRDefault="00AC138C"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anager ha</w:t>
      </w:r>
      <w:r w:rsidRPr="00D72995">
        <w:rPr>
          <w:rFonts w:ascii="Arial" w:hAnsi="Arial" w:cs="Arial"/>
          <w:sz w:val="22"/>
          <w:szCs w:val="22"/>
        </w:rPr>
        <w:t>s</w:t>
      </w:r>
      <w:r w:rsidR="00B419BD" w:rsidRPr="00D72995">
        <w:rPr>
          <w:rFonts w:ascii="Arial" w:hAnsi="Arial" w:cs="Arial"/>
          <w:sz w:val="22"/>
          <w:szCs w:val="22"/>
        </w:rPr>
        <w:t xml:space="preserve"> responsibility </w:t>
      </w:r>
      <w:r w:rsidRPr="00D72995">
        <w:rPr>
          <w:rFonts w:ascii="Arial" w:hAnsi="Arial" w:cs="Arial"/>
          <w:sz w:val="22"/>
          <w:szCs w:val="22"/>
        </w:rPr>
        <w:t xml:space="preserve">for </w:t>
      </w:r>
      <w:r w:rsidR="00B419BD" w:rsidRPr="00D72995">
        <w:rPr>
          <w:rFonts w:ascii="Arial" w:hAnsi="Arial" w:cs="Arial"/>
          <w:sz w:val="22"/>
          <w:szCs w:val="22"/>
        </w:rPr>
        <w:t>conduct</w:t>
      </w:r>
      <w:r w:rsidRPr="00D72995">
        <w:rPr>
          <w:rFonts w:ascii="Arial" w:hAnsi="Arial" w:cs="Arial"/>
          <w:sz w:val="22"/>
          <w:szCs w:val="22"/>
        </w:rPr>
        <w:t>ing</w:t>
      </w:r>
      <w:r w:rsidR="00B419BD" w:rsidRPr="00D72995">
        <w:rPr>
          <w:rFonts w:ascii="Arial" w:hAnsi="Arial" w:cs="Arial"/>
          <w:sz w:val="22"/>
          <w:szCs w:val="22"/>
        </w:rPr>
        <w:t xml:space="preserve"> risk assessment based on the ‘Hazard Analysis and Critical Control Point’ method set out in </w:t>
      </w:r>
      <w:r w:rsidR="002136EF" w:rsidRPr="00D72995">
        <w:rPr>
          <w:rFonts w:ascii="Arial" w:hAnsi="Arial" w:cs="Arial"/>
          <w:sz w:val="22"/>
          <w:szCs w:val="22"/>
        </w:rPr>
        <w:t>Safer Food Better Business</w:t>
      </w:r>
      <w:r w:rsidRPr="00D72995">
        <w:rPr>
          <w:rFonts w:ascii="Arial" w:hAnsi="Arial" w:cs="Arial"/>
          <w:sz w:val="22"/>
          <w:szCs w:val="22"/>
        </w:rPr>
        <w:t>.</w:t>
      </w:r>
    </w:p>
    <w:p w14:paraId="276693D7" w14:textId="3D3E37F4" w:rsidR="00D60958" w:rsidRPr="00D72995" w:rsidRDefault="00D60958" w:rsidP="00D72995">
      <w:pPr>
        <w:numPr>
          <w:ilvl w:val="0"/>
          <w:numId w:val="18"/>
        </w:numPr>
        <w:spacing w:before="120" w:after="120" w:line="360" w:lineRule="auto"/>
        <w:rPr>
          <w:rFonts w:ascii="Arial" w:hAnsi="Arial" w:cs="Arial"/>
          <w:sz w:val="22"/>
          <w:szCs w:val="22"/>
        </w:rPr>
      </w:pPr>
      <w:r>
        <w:rPr>
          <w:rFonts w:ascii="Arial" w:hAnsi="Arial" w:cs="Arial"/>
          <w:sz w:val="22"/>
          <w:szCs w:val="22"/>
        </w:rPr>
        <w:t>Kitchen checks are included in the daily risk assessment, including the fridge temperature and the dates on foods.</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0BB6046D" w14:textId="5ED8D6B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977272" w:rsidRPr="00D72995">
        <w:rPr>
          <w:rFonts w:ascii="Arial" w:hAnsi="Arial" w:cs="Arial"/>
          <w:sz w:val="22"/>
          <w:szCs w:val="22"/>
        </w:rPr>
        <w:t>.</w:t>
      </w:r>
    </w:p>
    <w:p w14:paraId="3D2C976D" w14:textId="1235048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Parents</w:t>
      </w:r>
      <w:r w:rsidR="00B215FA" w:rsidRPr="00D72995">
        <w:rPr>
          <w:rFonts w:ascii="Arial" w:hAnsi="Arial" w:cs="Arial"/>
          <w:sz w:val="22"/>
          <w:szCs w:val="22"/>
        </w:rPr>
        <w:t xml:space="preserve"> </w:t>
      </w:r>
      <w:r w:rsidRPr="00D72995">
        <w:rPr>
          <w:rFonts w:ascii="Arial" w:hAnsi="Arial" w:cs="Arial"/>
          <w:sz w:val="22"/>
          <w:szCs w:val="22"/>
        </w:rPr>
        <w:t>are requested not to bring food that contains nuts. Staff check packets to make sure they do not contain nuts or nut products</w:t>
      </w:r>
      <w:r w:rsidR="00F31BAD" w:rsidRPr="00D72995">
        <w:rPr>
          <w:rFonts w:ascii="Arial" w:hAnsi="Arial" w:cs="Arial"/>
          <w:sz w:val="22"/>
          <w:szCs w:val="22"/>
        </w:rPr>
        <w:t>.</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p w14:paraId="74805FBA" w14:textId="28BC71B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w:t>
      </w:r>
      <w:r w:rsidR="001D60E8" w:rsidRPr="00D72995">
        <w:rPr>
          <w:rFonts w:ascii="Arial" w:hAnsi="Arial" w:cs="Arial"/>
          <w:sz w:val="22"/>
          <w:szCs w:val="22"/>
        </w:rPr>
        <w:t xml:space="preserve">checked and </w:t>
      </w:r>
      <w:r w:rsidR="006F5D02" w:rsidRPr="00D72995">
        <w:rPr>
          <w:rFonts w:ascii="Arial" w:hAnsi="Arial" w:cs="Arial"/>
          <w:sz w:val="22"/>
          <w:szCs w:val="22"/>
        </w:rPr>
        <w:t xml:space="preserve">recorded daily to ensure correct temperatures are being maintained. </w:t>
      </w:r>
    </w:p>
    <w:p w14:paraId="2F34009C" w14:textId="619ADEBE"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1D60E8" w:rsidRPr="00D72995">
        <w:rPr>
          <w:rFonts w:ascii="Arial" w:hAnsi="Arial" w:cs="Arial"/>
          <w:sz w:val="22"/>
          <w:szCs w:val="22"/>
        </w:rPr>
        <w:t>.</w:t>
      </w:r>
    </w:p>
    <w:p w14:paraId="23DC4392" w14:textId="77777777"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E.coli contamination.</w:t>
      </w:r>
    </w:p>
    <w:p w14:paraId="41C8F396" w14:textId="43C87B8A" w:rsidR="00A5107F"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Items in fridges </w:t>
      </w:r>
      <w:r w:rsidR="00786743">
        <w:rPr>
          <w:rFonts w:ascii="Arial" w:hAnsi="Arial" w:cs="Arial"/>
          <w:sz w:val="22"/>
          <w:szCs w:val="22"/>
        </w:rPr>
        <w:t>are checked daily</w:t>
      </w:r>
      <w:r w:rsidR="00BC0D43" w:rsidRPr="00D72995">
        <w:rPr>
          <w:rFonts w:ascii="Arial" w:hAnsi="Arial" w:cs="Arial"/>
          <w:sz w:val="22"/>
          <w:szCs w:val="22"/>
        </w:rPr>
        <w:t>.</w:t>
      </w:r>
    </w:p>
    <w:p w14:paraId="1BA750C6" w14:textId="5EE867AE" w:rsidR="00D60958" w:rsidRPr="00D72995" w:rsidRDefault="00D60958" w:rsidP="00D72995">
      <w:pPr>
        <w:numPr>
          <w:ilvl w:val="0"/>
          <w:numId w:val="2"/>
        </w:numPr>
        <w:spacing w:before="120" w:after="120" w:line="360" w:lineRule="auto"/>
        <w:rPr>
          <w:rFonts w:ascii="Arial" w:hAnsi="Arial" w:cs="Arial"/>
          <w:sz w:val="22"/>
          <w:szCs w:val="22"/>
        </w:rPr>
      </w:pPr>
      <w:r>
        <w:rPr>
          <w:rFonts w:ascii="Arial" w:hAnsi="Arial" w:cs="Arial"/>
          <w:sz w:val="22"/>
          <w:szCs w:val="22"/>
        </w:rPr>
        <w:t>All item received from the fare share scheme are checked and stored accordingly.</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4896C2A0" w14:textId="237ADFAE"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lastRenderedPageBreak/>
        <w:t>Food handlers wash hands and cover any cuts or abrasions before handling food.</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11FA54DC" w14:textId="1EBE2BC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eggs are not to be given in any form</w:t>
      </w:r>
      <w:r w:rsidR="002C3D85" w:rsidRPr="00D72995">
        <w:rPr>
          <w:rFonts w:ascii="Arial" w:hAnsi="Arial" w:cs="Arial"/>
          <w:sz w:val="22"/>
          <w:szCs w:val="22"/>
        </w:rPr>
        <w:t>,</w:t>
      </w:r>
      <w:r w:rsidRPr="00D72995">
        <w:rPr>
          <w:rFonts w:ascii="Arial" w:hAnsi="Arial" w:cs="Arial"/>
          <w:sz w:val="22"/>
          <w:szCs w:val="22"/>
        </w:rPr>
        <w:t xml:space="preserve"> such as mousse or mayonnaise. </w:t>
      </w:r>
    </w:p>
    <w:p w14:paraId="14E707FC" w14:textId="77777777" w:rsidR="006A51F6" w:rsidRPr="00C61EA2" w:rsidRDefault="006A51F6" w:rsidP="006A51F6">
      <w:pPr>
        <w:spacing w:before="120" w:after="120" w:line="360" w:lineRule="auto"/>
        <w:rPr>
          <w:rFonts w:ascii="Arial" w:hAnsi="Arial" w:cs="Arial"/>
          <w:b/>
          <w:sz w:val="22"/>
          <w:szCs w:val="22"/>
        </w:rPr>
      </w:pPr>
      <w:r w:rsidRPr="00C61EA2">
        <w:rPr>
          <w:rFonts w:ascii="Arial" w:hAnsi="Arial" w:cs="Arial"/>
          <w:b/>
          <w:sz w:val="22"/>
          <w:szCs w:val="22"/>
        </w:rPr>
        <w:t>General safety</w:t>
      </w:r>
    </w:p>
    <w:p w14:paraId="7E29FBCD"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Doors to the kitchen are kept always closed</w:t>
      </w:r>
      <w:r>
        <w:rPr>
          <w:rFonts w:ascii="Arial" w:hAnsi="Arial" w:cs="Arial"/>
          <w:sz w:val="22"/>
          <w:szCs w:val="22"/>
        </w:rPr>
        <w:t>.</w:t>
      </w:r>
    </w:p>
    <w:p w14:paraId="47F43CBC"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Children do not have unsupervised access to the kitchen</w:t>
      </w:r>
      <w:r>
        <w:rPr>
          <w:rFonts w:ascii="Arial" w:hAnsi="Arial" w:cs="Arial"/>
          <w:sz w:val="22"/>
          <w:szCs w:val="22"/>
        </w:rPr>
        <w:t>.</w:t>
      </w:r>
      <w:r w:rsidRPr="00C61EA2">
        <w:rPr>
          <w:rFonts w:ascii="Arial" w:hAnsi="Arial" w:cs="Arial"/>
          <w:sz w:val="22"/>
          <w:szCs w:val="22"/>
        </w:rPr>
        <w:t xml:space="preserve"> </w:t>
      </w:r>
    </w:p>
    <w:p w14:paraId="73F4DB99"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Wet spills are mopped immediately</w:t>
      </w:r>
      <w:r>
        <w:rPr>
          <w:rFonts w:ascii="Arial" w:hAnsi="Arial" w:cs="Arial"/>
          <w:sz w:val="22"/>
          <w:szCs w:val="22"/>
        </w:rPr>
        <w:t>.</w:t>
      </w:r>
    </w:p>
    <w:p w14:paraId="0399CE15"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A clearly marked and appropriately stocked First Aid box is kept in the kitchen</w:t>
      </w:r>
      <w:r>
        <w:rPr>
          <w:rFonts w:ascii="Arial" w:hAnsi="Arial" w:cs="Arial"/>
          <w:sz w:val="22"/>
          <w:szCs w:val="22"/>
        </w:rPr>
        <w:t>.</w:t>
      </w:r>
    </w:p>
    <w:p w14:paraId="3E83A956" w14:textId="77777777" w:rsidR="006A51F6" w:rsidRDefault="006A51F6" w:rsidP="006A51F6">
      <w:pPr>
        <w:spacing w:before="120" w:after="120" w:line="360" w:lineRule="auto"/>
        <w:rPr>
          <w:rFonts w:ascii="Arial" w:hAnsi="Arial" w:cs="Arial"/>
          <w:b/>
          <w:sz w:val="22"/>
          <w:szCs w:val="22"/>
        </w:rPr>
      </w:pPr>
      <w:r w:rsidRPr="00705EA4">
        <w:rPr>
          <w:rFonts w:ascii="Arial" w:hAnsi="Arial" w:cs="Arial"/>
          <w:b/>
          <w:sz w:val="22"/>
          <w:szCs w:val="22"/>
        </w:rPr>
        <w:t>Cleanliness and hygiene</w:t>
      </w:r>
    </w:p>
    <w:p w14:paraId="5C041A70" w14:textId="77777777" w:rsidR="006A51F6" w:rsidRPr="00C61EA2" w:rsidRDefault="006A51F6" w:rsidP="006A51F6">
      <w:pPr>
        <w:spacing w:before="120" w:after="120" w:line="360" w:lineRule="auto"/>
        <w:rPr>
          <w:rFonts w:ascii="Arial" w:hAnsi="Arial" w:cs="Arial"/>
          <w:bCs/>
          <w:sz w:val="22"/>
          <w:szCs w:val="22"/>
        </w:rPr>
      </w:pPr>
      <w:r>
        <w:rPr>
          <w:rFonts w:ascii="Arial" w:hAnsi="Arial" w:cs="Arial"/>
          <w:bCs/>
          <w:sz w:val="22"/>
          <w:szCs w:val="22"/>
        </w:rPr>
        <w:t>S</w:t>
      </w:r>
      <w:r w:rsidRPr="00705EA4">
        <w:rPr>
          <w:rFonts w:ascii="Arial" w:hAnsi="Arial" w:cs="Arial"/>
          <w:bCs/>
          <w:sz w:val="22"/>
          <w:szCs w:val="22"/>
        </w:rPr>
        <w:t>taff follow the recommended cleaning schedules in Safer Food Better Business (SFBB)</w:t>
      </w:r>
      <w:r>
        <w:rPr>
          <w:rFonts w:ascii="Arial" w:hAnsi="Arial" w:cs="Arial"/>
          <w:bCs/>
          <w:sz w:val="22"/>
          <w:szCs w:val="22"/>
        </w:rPr>
        <w:t>.</w:t>
      </w:r>
    </w:p>
    <w:p w14:paraId="08D99F85" w14:textId="77777777" w:rsidR="006A51F6" w:rsidRPr="000F564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 xml:space="preserve">All work surfaces are washed regularly </w:t>
      </w:r>
      <w:r w:rsidRPr="000F5642">
        <w:rPr>
          <w:rFonts w:ascii="Arial" w:hAnsi="Arial" w:cs="Arial"/>
          <w:sz w:val="22"/>
          <w:szCs w:val="22"/>
        </w:rPr>
        <w:t xml:space="preserve">with anti-bacterial agent. </w:t>
      </w:r>
    </w:p>
    <w:p w14:paraId="0A74C535" w14:textId="77777777" w:rsidR="006A51F6" w:rsidRPr="000F5642" w:rsidRDefault="006A51F6" w:rsidP="006A51F6">
      <w:pPr>
        <w:numPr>
          <w:ilvl w:val="0"/>
          <w:numId w:val="24"/>
        </w:numPr>
        <w:spacing w:before="120" w:after="120" w:line="360" w:lineRule="auto"/>
        <w:ind w:left="360"/>
        <w:rPr>
          <w:rFonts w:ascii="Arial" w:hAnsi="Arial" w:cs="Arial"/>
          <w:sz w:val="22"/>
          <w:szCs w:val="22"/>
        </w:rPr>
      </w:pPr>
      <w:r w:rsidRPr="000F5642">
        <w:rPr>
          <w:rFonts w:ascii="Arial" w:hAnsi="Arial" w:cs="Arial"/>
          <w:sz w:val="22"/>
          <w:szCs w:val="22"/>
        </w:rPr>
        <w:t>Cupboard doors and handles are cleaned regularl</w:t>
      </w:r>
      <w:r>
        <w:rPr>
          <w:rFonts w:ascii="Arial" w:hAnsi="Arial" w:cs="Arial"/>
          <w:sz w:val="22"/>
          <w:szCs w:val="22"/>
        </w:rPr>
        <w:t>y.</w:t>
      </w:r>
    </w:p>
    <w:p w14:paraId="3CBE45FD"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Fridge and freezer doors are wiped down regularly</w:t>
      </w:r>
    </w:p>
    <w:p w14:paraId="78AF5C40"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Where possible all crockery and cutlery are air dried</w:t>
      </w:r>
      <w:r>
        <w:rPr>
          <w:rFonts w:ascii="Arial" w:hAnsi="Arial" w:cs="Arial"/>
          <w:sz w:val="22"/>
          <w:szCs w:val="22"/>
        </w:rPr>
        <w:t>.</w:t>
      </w:r>
    </w:p>
    <w:p w14:paraId="7A72F86F"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Plates and cups are only put away when fully dry</w:t>
      </w:r>
      <w:r>
        <w:rPr>
          <w:rFonts w:ascii="Arial" w:hAnsi="Arial" w:cs="Arial"/>
          <w:sz w:val="22"/>
          <w:szCs w:val="22"/>
        </w:rPr>
        <w:t>.</w:t>
      </w:r>
    </w:p>
    <w:p w14:paraId="27B1BDD3" w14:textId="7D382B5B"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 xml:space="preserve">Tea towels, if used, are used once. </w:t>
      </w:r>
    </w:p>
    <w:p w14:paraId="68CC1919" w14:textId="77777777" w:rsidR="006A51F6" w:rsidRPr="00C61EA2" w:rsidRDefault="006A51F6" w:rsidP="006A51F6">
      <w:pPr>
        <w:numPr>
          <w:ilvl w:val="0"/>
          <w:numId w:val="24"/>
        </w:numPr>
        <w:spacing w:before="120" w:after="120" w:line="360" w:lineRule="auto"/>
        <w:ind w:left="360"/>
        <w:rPr>
          <w:rFonts w:ascii="Arial" w:hAnsi="Arial" w:cs="Arial"/>
          <w:sz w:val="22"/>
          <w:szCs w:val="22"/>
        </w:rPr>
      </w:pPr>
      <w:r w:rsidRPr="00C61EA2">
        <w:rPr>
          <w:rFonts w:ascii="Arial" w:hAnsi="Arial" w:cs="Arial"/>
          <w:sz w:val="22"/>
          <w:szCs w:val="22"/>
        </w:rPr>
        <w:t>Any cleaning cloths used for surfaces are washed and replaced daily</w:t>
      </w:r>
      <w:r>
        <w:rPr>
          <w:rFonts w:ascii="Arial" w:hAnsi="Arial" w:cs="Arial"/>
          <w:sz w:val="22"/>
          <w:szCs w:val="22"/>
        </w:rPr>
        <w:t>.</w:t>
      </w:r>
    </w:p>
    <w:p w14:paraId="4389B4B9" w14:textId="77777777" w:rsidR="006A51F6" w:rsidRDefault="006A51F6" w:rsidP="00D72995">
      <w:pPr>
        <w:spacing w:before="120" w:after="120" w:line="360" w:lineRule="auto"/>
        <w:rPr>
          <w:rFonts w:ascii="Arial" w:hAnsi="Arial" w:cs="Arial"/>
          <w:b/>
          <w:sz w:val="22"/>
          <w:szCs w:val="22"/>
        </w:rPr>
      </w:pPr>
    </w:p>
    <w:p w14:paraId="4C99777F" w14:textId="32F6DD04"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E.coli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Staff who are preparing and handling food, especially food that is not pre-prepared for consumption e.g. fruit and vegetables grown on the premises, must be aware of the potential spread of E.coli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FC2E9F" w:rsidP="00D72995">
      <w:pPr>
        <w:spacing w:before="120" w:after="120" w:line="360" w:lineRule="auto"/>
        <w:rPr>
          <w:rFonts w:ascii="Arial" w:hAnsi="Arial" w:cs="Arial"/>
          <w:sz w:val="22"/>
          <w:szCs w:val="22"/>
        </w:rPr>
      </w:pPr>
      <w:hyperlink r:id="rId13" w:anchor=".U7FCVGlOWdI" w:history="1">
        <w:r w:rsidR="00E6413B"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4"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5" w:history="1">
        <w:r w:rsidRPr="00D72995">
          <w:rPr>
            <w:rStyle w:val="Hyperlink"/>
            <w:rFonts w:ascii="Arial" w:hAnsi="Arial" w:cs="Arial"/>
            <w:sz w:val="22"/>
            <w:szCs w:val="22"/>
          </w:rPr>
          <w:t>www.gov.uk/government/publications/example-menus-for-early-years-settings-in-england</w:t>
        </w:r>
      </w:hyperlink>
    </w:p>
    <w:p w14:paraId="2B78C268" w14:textId="75561FEC"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Safe Food Better Business </w:t>
      </w:r>
      <w:hyperlink r:id="rId16" w:history="1">
        <w:r w:rsidR="00B47FE8" w:rsidRPr="00D72995">
          <w:rPr>
            <w:rStyle w:val="Hyperlink"/>
            <w:rFonts w:ascii="Arial" w:hAnsi="Arial" w:cs="Arial"/>
            <w:sz w:val="22"/>
            <w:szCs w:val="22"/>
          </w:rPr>
          <w:t>www.food.gov.uk/business-guidance/safer-food-better-business-sfbb</w:t>
        </w:r>
      </w:hyperlink>
    </w:p>
    <w:p w14:paraId="4D23B446" w14:textId="47795EC1" w:rsidR="00A04C96" w:rsidRPr="00D72995" w:rsidRDefault="00A04C96"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Allergen information for loose foods (Food Standards Agency 2017) </w:t>
      </w:r>
      <w:hyperlink r:id="rId17" w:history="1">
        <w:r w:rsidR="00DF4AEB" w:rsidRPr="002C5B9C">
          <w:rPr>
            <w:rStyle w:val="Hyperlink"/>
            <w:rFonts w:ascii="Arial" w:hAnsi="Arial" w:cs="Arial"/>
            <w:sz w:val="22"/>
            <w:szCs w:val="22"/>
          </w:rPr>
          <w:t>www.food.gov.uk/sites/default/files/media/document/loosefoodsleaflet.pdf</w:t>
        </w:r>
      </w:hyperlink>
    </w:p>
    <w:p w14:paraId="6BA7163C" w14:textId="2CBDCFFB" w:rsidR="00A77034" w:rsidRPr="00D72995" w:rsidRDefault="005A25E6" w:rsidP="00D72995">
      <w:pPr>
        <w:spacing w:before="120" w:after="120" w:line="360" w:lineRule="auto"/>
        <w:rPr>
          <w:rFonts w:ascii="Arial" w:hAnsi="Arial" w:cs="Arial"/>
          <w:sz w:val="22"/>
          <w:szCs w:val="22"/>
        </w:rPr>
      </w:pPr>
      <w:r w:rsidRPr="00D72995">
        <w:rPr>
          <w:rFonts w:ascii="Arial" w:hAnsi="Arial" w:cs="Arial"/>
          <w:sz w:val="22"/>
          <w:szCs w:val="22"/>
        </w:rPr>
        <w:lastRenderedPageBreak/>
        <w:t xml:space="preserve">Campylobacter (Food Standards Agency) </w:t>
      </w:r>
      <w:hyperlink r:id="rId18" w:history="1">
        <w:r w:rsidRPr="00D72995">
          <w:rPr>
            <w:rStyle w:val="Hyperlink"/>
            <w:rFonts w:ascii="Arial" w:hAnsi="Arial" w:cs="Arial"/>
            <w:sz w:val="22"/>
            <w:szCs w:val="22"/>
          </w:rPr>
          <w:t>www.food.gov.uk/news-updates/campaigns/campylobacter/fsw-2014</w:t>
        </w:r>
      </w:hyperlink>
    </w:p>
    <w:p w14:paraId="1F8A6B73" w14:textId="0C3D1522" w:rsidR="009D069E" w:rsidRPr="00D72995" w:rsidRDefault="009D069E" w:rsidP="009E39F0">
      <w:pPr>
        <w:spacing w:before="120" w:after="120" w:line="360" w:lineRule="auto"/>
        <w:rPr>
          <w:rFonts w:ascii="Arial" w:hAnsi="Arial" w:cs="Arial"/>
          <w:color w:val="000000" w:themeColor="text1"/>
          <w:sz w:val="22"/>
          <w:szCs w:val="22"/>
        </w:rPr>
      </w:pPr>
    </w:p>
    <w:sectPr w:rsidR="009D069E" w:rsidRPr="00D72995" w:rsidSect="009E39F0">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45CE" w14:textId="77777777" w:rsidR="005E21E0" w:rsidRDefault="005E21E0" w:rsidP="00327B06">
      <w:r>
        <w:separator/>
      </w:r>
    </w:p>
  </w:endnote>
  <w:endnote w:type="continuationSeparator" w:id="0">
    <w:p w14:paraId="40816948" w14:textId="77777777" w:rsidR="005E21E0" w:rsidRDefault="005E21E0" w:rsidP="00327B06">
      <w:r>
        <w:continuationSeparator/>
      </w:r>
    </w:p>
  </w:endnote>
  <w:endnote w:type="continuationNotice" w:id="1">
    <w:p w14:paraId="7E26D8C5" w14:textId="77777777" w:rsidR="005E21E0" w:rsidRDefault="005E2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1C4DB" w14:textId="77777777" w:rsidR="005E21E0" w:rsidRDefault="005E21E0" w:rsidP="00327B06">
      <w:r>
        <w:separator/>
      </w:r>
    </w:p>
  </w:footnote>
  <w:footnote w:type="continuationSeparator" w:id="0">
    <w:p w14:paraId="4C64A262" w14:textId="77777777" w:rsidR="005E21E0" w:rsidRDefault="005E21E0" w:rsidP="00327B06">
      <w:r>
        <w:continuationSeparator/>
      </w:r>
    </w:p>
  </w:footnote>
  <w:footnote w:type="continuationNotice" w:id="1">
    <w:p w14:paraId="2E3D014B" w14:textId="77777777" w:rsidR="005E21E0" w:rsidRDefault="005E21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5"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7"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2"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9"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091765">
    <w:abstractNumId w:val="4"/>
  </w:num>
  <w:num w:numId="2" w16cid:durableId="643510334">
    <w:abstractNumId w:val="19"/>
  </w:num>
  <w:num w:numId="3" w16cid:durableId="266351138">
    <w:abstractNumId w:val="6"/>
  </w:num>
  <w:num w:numId="4" w16cid:durableId="880287950">
    <w:abstractNumId w:val="2"/>
  </w:num>
  <w:num w:numId="5" w16cid:durableId="457258687">
    <w:abstractNumId w:val="3"/>
  </w:num>
  <w:num w:numId="6" w16cid:durableId="927612996">
    <w:abstractNumId w:val="9"/>
  </w:num>
  <w:num w:numId="7" w16cid:durableId="1922791622">
    <w:abstractNumId w:val="20"/>
  </w:num>
  <w:num w:numId="8" w16cid:durableId="564412719">
    <w:abstractNumId w:val="5"/>
  </w:num>
  <w:num w:numId="9" w16cid:durableId="1102260010">
    <w:abstractNumId w:val="0"/>
  </w:num>
  <w:num w:numId="10" w16cid:durableId="1132089318">
    <w:abstractNumId w:val="12"/>
  </w:num>
  <w:num w:numId="11" w16cid:durableId="1693530992">
    <w:abstractNumId w:val="18"/>
    <w:lvlOverride w:ilvl="0">
      <w:startOverride w:val="1"/>
    </w:lvlOverride>
  </w:num>
  <w:num w:numId="12" w16cid:durableId="212121629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9855483">
    <w:abstractNumId w:val="11"/>
    <w:lvlOverride w:ilvl="0">
      <w:startOverride w:val="1"/>
    </w:lvlOverride>
  </w:num>
  <w:num w:numId="14" w16cid:durableId="714700487">
    <w:abstractNumId w:val="16"/>
  </w:num>
  <w:num w:numId="15" w16cid:durableId="18143717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3725318">
    <w:abstractNumId w:val="7"/>
  </w:num>
  <w:num w:numId="17" w16cid:durableId="6175230">
    <w:abstractNumId w:val="10"/>
  </w:num>
  <w:num w:numId="18" w16cid:durableId="1619021262">
    <w:abstractNumId w:val="21"/>
  </w:num>
  <w:num w:numId="19" w16cid:durableId="1683775242">
    <w:abstractNumId w:val="17"/>
  </w:num>
  <w:num w:numId="20" w16cid:durableId="933586514">
    <w:abstractNumId w:val="22"/>
  </w:num>
  <w:num w:numId="21" w16cid:durableId="1103914096">
    <w:abstractNumId w:val="15"/>
  </w:num>
  <w:num w:numId="22" w16cid:durableId="1378091188">
    <w:abstractNumId w:val="13"/>
  </w:num>
  <w:num w:numId="23" w16cid:durableId="1495605874">
    <w:abstractNumId w:val="8"/>
  </w:num>
  <w:num w:numId="24" w16cid:durableId="964968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22AF"/>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1AD7"/>
    <w:rsid w:val="0033516C"/>
    <w:rsid w:val="003403AF"/>
    <w:rsid w:val="00340C43"/>
    <w:rsid w:val="0034535E"/>
    <w:rsid w:val="00356828"/>
    <w:rsid w:val="00360799"/>
    <w:rsid w:val="00382ED2"/>
    <w:rsid w:val="003928E6"/>
    <w:rsid w:val="003B080A"/>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E21E0"/>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A51F6"/>
    <w:rsid w:val="006C47AE"/>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86743"/>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1270"/>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E39F0"/>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1905"/>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C452FA"/>
    <w:rsid w:val="00C46B87"/>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0958"/>
    <w:rsid w:val="00D67319"/>
    <w:rsid w:val="00D72995"/>
    <w:rsid w:val="00D752DB"/>
    <w:rsid w:val="00D846F6"/>
    <w:rsid w:val="00D859C4"/>
    <w:rsid w:val="00DA0EAF"/>
    <w:rsid w:val="00DA5798"/>
    <w:rsid w:val="00DB08C6"/>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A4892"/>
    <w:rsid w:val="00FC2E9F"/>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8" Type="http://schemas.openxmlformats.org/officeDocument/2006/relationships/hyperlink" Target="http://www.food.gov.uk/news-updates/campaigns/campylobacter/fsw-201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llergytraining.food.gov.uk/" TargetMode="External"/><Relationship Id="rId17" Type="http://schemas.openxmlformats.org/officeDocument/2006/relationships/hyperlink" Target="http://www.food.gov.uk/sites/default/files/media/document/loosefoodsleaflet.pdfn" TargetMode="External"/><Relationship Id="rId2" Type="http://schemas.openxmlformats.org/officeDocument/2006/relationships/customXml" Target="../customXml/item2.xml"/><Relationship Id="rId16" Type="http://schemas.openxmlformats.org/officeDocument/2006/relationships/hyperlink" Target="http://www.food.gov.uk/business-guidance/safer-food-better-business-sfb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gov.uk/government/publications/example-menus-for-early-years-settings-in-englan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oundationyears.org.uk/eat-better-start-b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2.xml><?xml version="1.0" encoding="utf-8"?>
<ds:datastoreItem xmlns:ds="http://schemas.openxmlformats.org/officeDocument/2006/customXml" ds:itemID="{B0CA6D22-6213-446D-A505-FF443B140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4.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3934</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E Montgomery</cp:lastModifiedBy>
  <cp:revision>2</cp:revision>
  <cp:lastPrinted>2021-10-04T09:31:00Z</cp:lastPrinted>
  <dcterms:created xsi:type="dcterms:W3CDTF">2023-07-20T10:35:00Z</dcterms:created>
  <dcterms:modified xsi:type="dcterms:W3CDTF">2023-07-20T10:35:00Z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