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6E3DBB65" w:rsidR="009D08F3" w:rsidRPr="00977948" w:rsidRDefault="00BB51C4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4B169D" wp14:editId="54D4DE73">
            <wp:simplePos x="0" y="0"/>
            <wp:positionH relativeFrom="margin">
              <wp:posOffset>5821680</wp:posOffset>
            </wp:positionH>
            <wp:positionV relativeFrom="paragraph">
              <wp:posOffset>-464820</wp:posOffset>
            </wp:positionV>
            <wp:extent cx="1036320" cy="760843"/>
            <wp:effectExtent l="0" t="0" r="0" b="1270"/>
            <wp:wrapNone/>
            <wp:docPr id="1979272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72972" name="Picture 19792729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760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A9"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 w:rsidR="005115A9"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00D846F5" w:rsidR="006359AB" w:rsidRPr="004B0B1D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B0B1D">
        <w:rPr>
          <w:b w:val="0"/>
          <w:sz w:val="22"/>
          <w:szCs w:val="22"/>
        </w:rPr>
        <w:t>Alongside associated procedures in 02.</w:t>
      </w:r>
      <w:r w:rsidR="006F3D4E" w:rsidRPr="004B0B1D">
        <w:rPr>
          <w:b w:val="0"/>
          <w:sz w:val="22"/>
          <w:szCs w:val="22"/>
        </w:rPr>
        <w:t>1</w:t>
      </w:r>
      <w:r w:rsidRPr="004B0B1D">
        <w:rPr>
          <w:b w:val="0"/>
          <w:sz w:val="22"/>
          <w:szCs w:val="22"/>
        </w:rPr>
        <w:t xml:space="preserve"> Fire safety, this policy was adopted by </w:t>
      </w:r>
      <w:r w:rsidR="004B0B1D" w:rsidRPr="004B0B1D">
        <w:rPr>
          <w:b w:val="0"/>
          <w:i/>
          <w:iCs/>
          <w:sz w:val="22"/>
          <w:szCs w:val="22"/>
        </w:rPr>
        <w:t xml:space="preserve">Westbrook Little People </w:t>
      </w:r>
      <w:r w:rsidR="004B0B1D" w:rsidRPr="004B0B1D">
        <w:rPr>
          <w:b w:val="0"/>
          <w:sz w:val="22"/>
          <w:szCs w:val="22"/>
        </w:rPr>
        <w:t>in</w:t>
      </w:r>
      <w:r w:rsidRPr="004B0B1D">
        <w:rPr>
          <w:b w:val="0"/>
          <w:sz w:val="22"/>
          <w:szCs w:val="22"/>
        </w:rPr>
        <w:t xml:space="preserve"> </w:t>
      </w:r>
      <w:r w:rsidR="004B0B1D" w:rsidRPr="004B0B1D">
        <w:rPr>
          <w:b w:val="0"/>
          <w:i/>
          <w:iCs/>
          <w:sz w:val="22"/>
          <w:szCs w:val="22"/>
        </w:rPr>
        <w:t>September 2025</w:t>
      </w:r>
      <w:r w:rsidRPr="004B0B1D">
        <w:rPr>
          <w:b w:val="0"/>
          <w:sz w:val="22"/>
          <w:szCs w:val="22"/>
        </w:rPr>
        <w:t>.</w:t>
      </w:r>
    </w:p>
    <w:p w14:paraId="16EBB4EA" w14:textId="722F9C79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 w:rsidR="007035B0">
        <w:rPr>
          <w:rFonts w:ascii="Arial" w:hAnsi="Arial" w:cs="Arial"/>
          <w:b/>
        </w:rPr>
        <w:t xml:space="preserve"> </w:t>
      </w:r>
      <w:r w:rsidR="00BB51C4">
        <w:rPr>
          <w:rFonts w:ascii="Arial" w:hAnsi="Arial" w:cs="Arial"/>
          <w:b/>
        </w:rPr>
        <w:t>is</w:t>
      </w:r>
      <w:r w:rsidR="007035B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B51C4">
        <w:rPr>
          <w:rFonts w:ascii="Arial" w:hAnsi="Arial" w:cs="Arial"/>
        </w:rPr>
        <w:t>Erica Montgomery</w:t>
      </w:r>
      <w:r w:rsidR="00EC11A2">
        <w:rPr>
          <w:rFonts w:ascii="Arial" w:hAnsi="Arial" w:cs="Arial"/>
        </w:rPr>
        <w:t xml:space="preserve"> and Catherine Cartwright</w:t>
      </w: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6B7A8F5" w:rsidR="009D08F3" w:rsidRPr="00BB51C4" w:rsidRDefault="00BB51C4" w:rsidP="10864E39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B51C4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003501D2" w:rsidRPr="00BB51C4">
        <w:rPr>
          <w:rFonts w:ascii="Arial" w:hAnsi="Arial" w:cs="Arial"/>
          <w:color w:val="000000" w:themeColor="text1"/>
          <w:sz w:val="22"/>
          <w:szCs w:val="22"/>
        </w:rPr>
        <w:t xml:space="preserve"> is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17EE" w:rsidRPr="00BB51C4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suitable, </w:t>
      </w:r>
      <w:r w:rsidR="00446A70" w:rsidRPr="00BB51C4">
        <w:rPr>
          <w:rFonts w:ascii="Arial" w:hAnsi="Arial" w:cs="Arial"/>
          <w:color w:val="000000" w:themeColor="text1"/>
          <w:sz w:val="22"/>
          <w:szCs w:val="22"/>
        </w:rPr>
        <w:t>clean,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 and safe place for children to be cared for, where they can grow and learn. </w:t>
      </w:r>
      <w:r w:rsidR="00320B2B" w:rsidRPr="00BB51C4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meet all statutory requirements </w:t>
      </w:r>
      <w:r w:rsidR="00446A70" w:rsidRPr="00BB51C4">
        <w:rPr>
          <w:rFonts w:ascii="Arial" w:hAnsi="Arial" w:cs="Arial"/>
          <w:color w:val="000000" w:themeColor="text1"/>
          <w:sz w:val="22"/>
          <w:szCs w:val="22"/>
        </w:rPr>
        <w:t>about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 fire safety and fulfil the criteria for meeting the relevant </w:t>
      </w:r>
      <w:r w:rsidR="005E3BF5" w:rsidRPr="00BB51C4">
        <w:rPr>
          <w:rFonts w:ascii="Arial" w:hAnsi="Arial" w:cs="Arial"/>
          <w:color w:val="000000" w:themeColor="text1"/>
          <w:sz w:val="22"/>
          <w:szCs w:val="22"/>
        </w:rPr>
        <w:t>Early Years Foundation S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tage </w:t>
      </w:r>
      <w:r w:rsidR="005E3BF5" w:rsidRPr="00BB51C4">
        <w:rPr>
          <w:rFonts w:ascii="Arial" w:hAnsi="Arial" w:cs="Arial"/>
          <w:color w:val="000000" w:themeColor="text1"/>
          <w:sz w:val="22"/>
          <w:szCs w:val="22"/>
        </w:rPr>
        <w:t>Safeguarding and Welfare R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>equirements.</w:t>
      </w:r>
    </w:p>
    <w:p w14:paraId="6537F28F" w14:textId="3F172FEA" w:rsidR="009D08F3" w:rsidRPr="00BB51C4" w:rsidRDefault="009D08F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B51C4">
        <w:rPr>
          <w:rFonts w:ascii="Arial" w:hAnsi="Arial" w:cs="Arial"/>
          <w:b/>
          <w:color w:val="000000" w:themeColor="text1"/>
        </w:rPr>
        <w:t>Objectives</w:t>
      </w:r>
    </w:p>
    <w:p w14:paraId="35ABB282" w14:textId="71B1ECC1" w:rsidR="009D08F3" w:rsidRPr="00BB51C4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B51C4">
        <w:rPr>
          <w:rFonts w:ascii="Arial" w:hAnsi="Arial" w:cs="Arial"/>
          <w:color w:val="000000" w:themeColor="text1"/>
          <w:sz w:val="22"/>
          <w:szCs w:val="22"/>
        </w:rPr>
        <w:t>We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 recognise that </w:t>
      </w:r>
      <w:r w:rsidR="007B22A0" w:rsidRPr="00BB51C4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>ha</w:t>
      </w:r>
      <w:r w:rsidR="007B22A0" w:rsidRPr="00BB51C4">
        <w:rPr>
          <w:rFonts w:ascii="Arial" w:hAnsi="Arial" w:cs="Arial"/>
          <w:color w:val="000000" w:themeColor="text1"/>
          <w:sz w:val="22"/>
          <w:szCs w:val="22"/>
        </w:rPr>
        <w:t>ve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 a corporate responsibility and a duty of care for those who work in and receive a service from </w:t>
      </w:r>
      <w:r w:rsidR="007B22A0" w:rsidRPr="00BB51C4">
        <w:rPr>
          <w:rFonts w:ascii="Arial" w:hAnsi="Arial" w:cs="Arial"/>
          <w:color w:val="000000" w:themeColor="text1"/>
          <w:sz w:val="22"/>
          <w:szCs w:val="22"/>
        </w:rPr>
        <w:t xml:space="preserve">our 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provision, but individual employees and service users also have a responsibility to </w:t>
      </w:r>
      <w:r w:rsidR="00446A70" w:rsidRPr="00BB51C4">
        <w:rPr>
          <w:rFonts w:ascii="Arial" w:hAnsi="Arial" w:cs="Arial"/>
          <w:color w:val="000000" w:themeColor="text1"/>
          <w:sz w:val="22"/>
          <w:szCs w:val="22"/>
        </w:rPr>
        <w:t>ensure their</w:t>
      </w:r>
      <w:r w:rsidR="009D08F3" w:rsidRPr="00BB51C4">
        <w:rPr>
          <w:rFonts w:ascii="Arial" w:hAnsi="Arial" w:cs="Arial"/>
          <w:color w:val="000000" w:themeColor="text1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Pr="00BB51C4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B51C4">
        <w:rPr>
          <w:rFonts w:ascii="Arial" w:hAnsi="Arial" w:cs="Arial"/>
          <w:color w:val="000000" w:themeColor="text1"/>
          <w:sz w:val="22"/>
          <w:szCs w:val="22"/>
        </w:rPr>
        <w:t>A fire safety risk assessment is carried out by a competent person in accordance with the Regulatory Reform (Fire Safety) Order 2005</w:t>
      </w:r>
      <w:r w:rsidR="003021D9" w:rsidRPr="00BB51C4">
        <w:rPr>
          <w:rFonts w:ascii="Arial" w:hAnsi="Arial" w:cs="Arial"/>
          <w:color w:val="000000" w:themeColor="text1"/>
          <w:sz w:val="22"/>
          <w:szCs w:val="22"/>
        </w:rPr>
        <w:t>.</w:t>
      </w:r>
      <w:r w:rsidRPr="00BB51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A941CDC" w14:textId="0A05870A" w:rsidR="00ED4A68" w:rsidRPr="00BB51C4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B51C4">
        <w:rPr>
          <w:rFonts w:ascii="Arial" w:hAnsi="Arial" w:cs="Arial"/>
          <w:color w:val="000000" w:themeColor="text1"/>
          <w:sz w:val="22"/>
          <w:szCs w:val="22"/>
        </w:rPr>
        <w:t>A Fire Log is completed and regularly updated</w:t>
      </w:r>
      <w:r w:rsidR="006C2E5E" w:rsidRPr="00BB51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DED851" w14:textId="111A4E25" w:rsidR="009D08F3" w:rsidRPr="00BB51C4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B51C4">
        <w:rPr>
          <w:rFonts w:ascii="Arial" w:hAnsi="Arial" w:cs="Arial"/>
          <w:color w:val="000000" w:themeColor="text1"/>
          <w:sz w:val="22"/>
          <w:szCs w:val="22"/>
        </w:rPr>
        <w:t>Necessary equipment is in place to promote fire safety</w:t>
      </w:r>
      <w:r w:rsidR="006C2E5E" w:rsidRPr="00BB51C4">
        <w:rPr>
          <w:rFonts w:ascii="Arial" w:hAnsi="Arial" w:cs="Arial"/>
          <w:color w:val="000000" w:themeColor="text1"/>
          <w:sz w:val="22"/>
          <w:szCs w:val="22"/>
        </w:rPr>
        <w:t>.</w:t>
      </w:r>
      <w:r w:rsidRPr="00BB51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sectPr w:rsidR="00C82840" w:rsidRPr="007035B0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EDC1" w14:textId="77777777" w:rsidR="00B022F6" w:rsidRDefault="00B022F6" w:rsidP="00E07382">
      <w:r>
        <w:separator/>
      </w:r>
    </w:p>
  </w:endnote>
  <w:endnote w:type="continuationSeparator" w:id="0">
    <w:p w14:paraId="1317F2CC" w14:textId="77777777" w:rsidR="00B022F6" w:rsidRDefault="00B022F6" w:rsidP="00E07382">
      <w:r>
        <w:continuationSeparator/>
      </w:r>
    </w:p>
  </w:endnote>
  <w:endnote w:type="continuationNotice" w:id="1">
    <w:p w14:paraId="1E400E4C" w14:textId="77777777" w:rsidR="00B022F6" w:rsidRDefault="00B02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E11C" w14:textId="77777777" w:rsidR="00051F5E" w:rsidRDefault="000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3960729B" w:rsidR="001F506B" w:rsidRPr="00051F5E" w:rsidRDefault="5CD3DF3F" w:rsidP="5CD3DF3F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CD3DF3F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B042" w14:textId="77777777" w:rsidR="00051F5E" w:rsidRDefault="000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4ADC" w14:textId="77777777" w:rsidR="00B022F6" w:rsidRDefault="00B022F6" w:rsidP="00E07382">
      <w:r>
        <w:separator/>
      </w:r>
    </w:p>
  </w:footnote>
  <w:footnote w:type="continuationSeparator" w:id="0">
    <w:p w14:paraId="62D7C2D3" w14:textId="77777777" w:rsidR="00B022F6" w:rsidRDefault="00B022F6" w:rsidP="00E07382">
      <w:r>
        <w:continuationSeparator/>
      </w:r>
    </w:p>
  </w:footnote>
  <w:footnote w:type="continuationNotice" w:id="1">
    <w:p w14:paraId="38EC2F9C" w14:textId="77777777" w:rsidR="00B022F6" w:rsidRDefault="00B02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F1B4" w14:textId="77777777" w:rsidR="00051F5E" w:rsidRDefault="000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332" w14:textId="77777777" w:rsidR="00051F5E" w:rsidRDefault="0005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A53D" w14:textId="77777777" w:rsidR="00051F5E" w:rsidRDefault="000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25ACB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0B1D"/>
    <w:rsid w:val="004B1276"/>
    <w:rsid w:val="004B1C33"/>
    <w:rsid w:val="004B5212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B7D96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9440E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79C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2F6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3028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B51C4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11A2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1417</Characters>
  <Application>Microsoft Office Word</Application>
  <DocSecurity>0</DocSecurity>
  <Lines>31</Lines>
  <Paragraphs>24</Paragraphs>
  <ScaleCrop>false</ScaleCrop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5</cp:revision>
  <cp:lastPrinted>2011-11-21T12:20:00Z</cp:lastPrinted>
  <dcterms:created xsi:type="dcterms:W3CDTF">2025-11-03T10:52:00Z</dcterms:created>
  <dcterms:modified xsi:type="dcterms:W3CDTF">2025-11-12T20:57:00Z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