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2741" w14:textId="77777777" w:rsidR="000936E2" w:rsidRDefault="00527826" w:rsidP="00AD4DAE">
      <w:pPr>
        <w:spacing w:line="240" w:lineRule="auto"/>
        <w:rPr>
          <w:sz w:val="12"/>
          <w:szCs w:val="12"/>
        </w:rPr>
      </w:pPr>
      <w:r w:rsidRPr="00E044C8">
        <w:rPr>
          <w:noProof/>
          <w:sz w:val="12"/>
          <w:szCs w:val="12"/>
        </w:rPr>
        <w:drawing>
          <wp:anchor distT="0" distB="0" distL="114300" distR="114300" simplePos="0" relativeHeight="251659264" behindDoc="0" locked="0" layoutInCell="1" allowOverlap="1" wp14:anchorId="52580E65" wp14:editId="4F6888D2">
            <wp:simplePos x="0" y="0"/>
            <wp:positionH relativeFrom="margin">
              <wp:posOffset>4646930</wp:posOffset>
            </wp:positionH>
            <wp:positionV relativeFrom="paragraph">
              <wp:posOffset>1270</wp:posOffset>
            </wp:positionV>
            <wp:extent cx="1004570" cy="789940"/>
            <wp:effectExtent l="0" t="0" r="5080" b="0"/>
            <wp:wrapSquare wrapText="bothSides"/>
            <wp:docPr id="788808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08372" name="Picture 788808372"/>
                    <pic:cNvPicPr/>
                  </pic:nvPicPr>
                  <pic:blipFill rotWithShape="1">
                    <a:blip r:embed="rId4" cstate="print">
                      <a:extLst>
                        <a:ext uri="{28A0092B-C50C-407E-A947-70E740481C1C}">
                          <a14:useLocalDpi xmlns:a14="http://schemas.microsoft.com/office/drawing/2010/main" val="0"/>
                        </a:ext>
                      </a:extLst>
                    </a:blip>
                    <a:srcRect l="7887" t="12319" r="6866" b="20639"/>
                    <a:stretch>
                      <a:fillRect/>
                    </a:stretch>
                  </pic:blipFill>
                  <pic:spPr bwMode="auto">
                    <a:xfrm>
                      <a:off x="0" y="0"/>
                      <a:ext cx="1004570" cy="789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44C8">
        <w:rPr>
          <w:noProof/>
          <w:sz w:val="12"/>
          <w:szCs w:val="12"/>
        </w:rPr>
        <w:drawing>
          <wp:anchor distT="0" distB="0" distL="114300" distR="114300" simplePos="0" relativeHeight="251658240" behindDoc="0" locked="0" layoutInCell="1" allowOverlap="1" wp14:anchorId="2D87F37A" wp14:editId="23DB911A">
            <wp:simplePos x="0" y="0"/>
            <wp:positionH relativeFrom="margin">
              <wp:align>left</wp:align>
            </wp:positionH>
            <wp:positionV relativeFrom="paragraph">
              <wp:posOffset>1905</wp:posOffset>
            </wp:positionV>
            <wp:extent cx="2190115" cy="547370"/>
            <wp:effectExtent l="0" t="0" r="0" b="0"/>
            <wp:wrapSquare wrapText="bothSides"/>
            <wp:docPr id="1618379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79371" name="Picture 1618379371"/>
                    <pic:cNvPicPr/>
                  </pic:nvPicPr>
                  <pic:blipFill>
                    <a:blip r:embed="rId5">
                      <a:extLst>
                        <a:ext uri="{28A0092B-C50C-407E-A947-70E740481C1C}">
                          <a14:useLocalDpi xmlns:a14="http://schemas.microsoft.com/office/drawing/2010/main" val="0"/>
                        </a:ext>
                      </a:extLst>
                    </a:blip>
                    <a:stretch>
                      <a:fillRect/>
                    </a:stretch>
                  </pic:blipFill>
                  <pic:spPr>
                    <a:xfrm>
                      <a:off x="0" y="0"/>
                      <a:ext cx="2190115" cy="547370"/>
                    </a:xfrm>
                    <a:prstGeom prst="rect">
                      <a:avLst/>
                    </a:prstGeom>
                  </pic:spPr>
                </pic:pic>
              </a:graphicData>
            </a:graphic>
          </wp:anchor>
        </w:drawing>
      </w:r>
    </w:p>
    <w:p w14:paraId="573A775D" w14:textId="403EE363" w:rsidR="00C96DEC" w:rsidRPr="000936E2" w:rsidRDefault="00C96DEC" w:rsidP="00AD4DAE">
      <w:pPr>
        <w:spacing w:line="240" w:lineRule="auto"/>
        <w:rPr>
          <w:sz w:val="12"/>
          <w:szCs w:val="12"/>
        </w:rPr>
      </w:pPr>
      <w:r w:rsidRPr="00E044C8">
        <w:rPr>
          <w:sz w:val="12"/>
          <w:szCs w:val="12"/>
        </w:rPr>
        <w:t xml:space="preserve">Distributed in North America by </w:t>
      </w:r>
      <w:proofErr w:type="spellStart"/>
      <w:r w:rsidRPr="00E044C8">
        <w:rPr>
          <w:sz w:val="16"/>
          <w:szCs w:val="16"/>
        </w:rPr>
        <w:t>Naturacopia</w:t>
      </w:r>
      <w:proofErr w:type="spellEnd"/>
      <w:r w:rsidRPr="00E044C8">
        <w:rPr>
          <w:sz w:val="16"/>
          <w:szCs w:val="16"/>
        </w:rPr>
        <w:t xml:space="preserve"> </w:t>
      </w:r>
      <w:proofErr w:type="spellStart"/>
      <w:r w:rsidRPr="00E044C8">
        <w:rPr>
          <w:sz w:val="16"/>
          <w:szCs w:val="16"/>
        </w:rPr>
        <w:t>llc</w:t>
      </w:r>
      <w:proofErr w:type="spellEnd"/>
    </w:p>
    <w:p w14:paraId="514795F6" w14:textId="6A9654BD" w:rsidR="000936E2" w:rsidRDefault="00C83CF3" w:rsidP="000936E2">
      <w:pPr>
        <w:spacing w:line="240" w:lineRule="auto"/>
        <w:rPr>
          <w:sz w:val="16"/>
          <w:szCs w:val="16"/>
        </w:rPr>
      </w:pPr>
      <w:r w:rsidRPr="00E044C8">
        <w:rPr>
          <w:sz w:val="12"/>
          <w:szCs w:val="12"/>
        </w:rPr>
        <w:t xml:space="preserve">Contact details are available on </w:t>
      </w:r>
      <w:hyperlink r:id="rId6" w:history="1">
        <w:r w:rsidR="000936E2" w:rsidRPr="008636B6">
          <w:rPr>
            <w:rStyle w:val="Hyperlink"/>
            <w:sz w:val="16"/>
            <w:szCs w:val="16"/>
          </w:rPr>
          <w:t>www.iminohoney.us</w:t>
        </w:r>
      </w:hyperlink>
    </w:p>
    <w:p w14:paraId="27E8FBD8" w14:textId="77777777" w:rsidR="000936E2" w:rsidRPr="000936E2" w:rsidRDefault="000936E2" w:rsidP="000936E2">
      <w:pPr>
        <w:spacing w:line="240" w:lineRule="auto"/>
        <w:rPr>
          <w:sz w:val="12"/>
          <w:szCs w:val="12"/>
        </w:rPr>
      </w:pPr>
    </w:p>
    <w:p w14:paraId="2A8FFC8A" w14:textId="0E9FFDEA" w:rsidR="00EB13AB" w:rsidRPr="00896C96" w:rsidRDefault="00EB13AB" w:rsidP="000936E2">
      <w:pPr>
        <w:pStyle w:val="Heading1"/>
        <w:rPr>
          <w:sz w:val="32"/>
          <w:szCs w:val="32"/>
        </w:rPr>
      </w:pPr>
      <w:r w:rsidRPr="00896C96">
        <w:rPr>
          <w:sz w:val="32"/>
          <w:szCs w:val="32"/>
        </w:rPr>
        <w:t>Information Sheet for Professional Veterinarians and Carers</w:t>
      </w:r>
    </w:p>
    <w:p w14:paraId="70D7F613" w14:textId="76F4426B" w:rsidR="00EB13AB" w:rsidRPr="00EB13AB" w:rsidRDefault="00EB13AB" w:rsidP="00EB13AB"/>
    <w:p w14:paraId="28081CBB" w14:textId="77777777" w:rsidR="00EB13AB" w:rsidRPr="00EB13AB" w:rsidRDefault="00EB13AB" w:rsidP="00EB13AB">
      <w:pPr>
        <w:pStyle w:val="Heading1"/>
      </w:pPr>
      <w:r w:rsidRPr="00EB13AB">
        <w:t>Important Information</w:t>
      </w:r>
    </w:p>
    <w:p w14:paraId="5A430614" w14:textId="77777777" w:rsidR="00EB13AB" w:rsidRPr="007500B5" w:rsidRDefault="00EB13AB" w:rsidP="00EB13AB">
      <w:pPr>
        <w:rPr>
          <w:sz w:val="16"/>
          <w:szCs w:val="16"/>
        </w:rPr>
      </w:pPr>
      <w:r w:rsidRPr="007500B5">
        <w:rPr>
          <w:b/>
          <w:bCs/>
          <w:sz w:val="16"/>
          <w:szCs w:val="16"/>
        </w:rPr>
        <w:t xml:space="preserve">These statements have not been evaluated by the FDA. This product is not intended to diagnose, treat, cure or prevent any disease. Professional veterinary guidance should be consulted for proper usage. Content current as of date of design. July 2026 </w:t>
      </w:r>
    </w:p>
    <w:p w14:paraId="584D066E" w14:textId="77777777" w:rsidR="00EB13AB" w:rsidRPr="00EB13AB" w:rsidRDefault="00EB13AB" w:rsidP="00EB13AB">
      <w:pPr>
        <w:pStyle w:val="Heading2"/>
      </w:pPr>
      <w:r w:rsidRPr="00EB13AB">
        <w:t xml:space="preserve">Standardized Bioactive Chemistry (The "Why" Factor) </w:t>
      </w:r>
    </w:p>
    <w:p w14:paraId="1DFC89A6" w14:textId="77777777" w:rsidR="00EB13AB" w:rsidRPr="007500B5" w:rsidRDefault="00EB13AB" w:rsidP="00EB13AB">
      <w:pPr>
        <w:rPr>
          <w:sz w:val="16"/>
          <w:szCs w:val="16"/>
        </w:rPr>
      </w:pPr>
      <w:r w:rsidRPr="007500B5">
        <w:rPr>
          <w:sz w:val="16"/>
          <w:szCs w:val="16"/>
        </w:rPr>
        <w:t xml:space="preserve">Verified </w:t>
      </w:r>
      <w:r w:rsidRPr="007500B5">
        <w:rPr>
          <w:b/>
          <w:bCs/>
          <w:sz w:val="16"/>
          <w:szCs w:val="16"/>
        </w:rPr>
        <w:t>Casuarine</w:t>
      </w:r>
      <w:r w:rsidRPr="007500B5">
        <w:rPr>
          <w:sz w:val="16"/>
          <w:szCs w:val="16"/>
        </w:rPr>
        <w:t xml:space="preserve"> Content: Unlike other honeys, Iminohoney is analytically verified by specialized glycochemistry laboratories (Dr. Nash Glycohealth) using proprietary methodologies to ensure </w:t>
      </w:r>
      <w:r w:rsidRPr="007500B5">
        <w:rPr>
          <w:b/>
          <w:bCs/>
          <w:sz w:val="16"/>
          <w:szCs w:val="16"/>
        </w:rPr>
        <w:t>Casuarine</w:t>
      </w:r>
      <w:r w:rsidRPr="007500B5">
        <w:rPr>
          <w:sz w:val="16"/>
          <w:szCs w:val="16"/>
        </w:rPr>
        <w:t xml:space="preserve"> content, a rare, plant-derived </w:t>
      </w:r>
      <w:proofErr w:type="spellStart"/>
      <w:r w:rsidRPr="007500B5">
        <w:rPr>
          <w:sz w:val="16"/>
          <w:szCs w:val="16"/>
        </w:rPr>
        <w:t>iminosugar</w:t>
      </w:r>
      <w:proofErr w:type="spellEnd"/>
      <w:r w:rsidRPr="007500B5">
        <w:rPr>
          <w:sz w:val="16"/>
          <w:szCs w:val="16"/>
        </w:rPr>
        <w:t xml:space="preserve">. </w:t>
      </w:r>
    </w:p>
    <w:p w14:paraId="7C39570E" w14:textId="77777777" w:rsidR="00EB13AB" w:rsidRPr="007500B5" w:rsidRDefault="00EB13AB" w:rsidP="00EB13AB">
      <w:pPr>
        <w:rPr>
          <w:sz w:val="16"/>
          <w:szCs w:val="16"/>
        </w:rPr>
      </w:pPr>
      <w:r w:rsidRPr="007500B5">
        <w:rPr>
          <w:b/>
          <w:bCs/>
          <w:sz w:val="16"/>
          <w:szCs w:val="16"/>
        </w:rPr>
        <w:t>Casuarine</w:t>
      </w:r>
      <w:r w:rsidRPr="007500B5">
        <w:rPr>
          <w:sz w:val="16"/>
          <w:szCs w:val="16"/>
        </w:rPr>
        <w:t xml:space="preserve"> is also known as </w:t>
      </w:r>
      <w:proofErr w:type="spellStart"/>
      <w:r w:rsidRPr="007500B5">
        <w:rPr>
          <w:b/>
          <w:bCs/>
          <w:sz w:val="16"/>
          <w:szCs w:val="16"/>
        </w:rPr>
        <w:t>Iminose</w:t>
      </w:r>
      <w:proofErr w:type="spellEnd"/>
      <w:r w:rsidRPr="007500B5">
        <w:rPr>
          <w:b/>
          <w:bCs/>
          <w:sz w:val="16"/>
          <w:szCs w:val="16"/>
        </w:rPr>
        <w:t xml:space="preserve"> A</w:t>
      </w:r>
      <w:r w:rsidRPr="007500B5">
        <w:rPr>
          <w:sz w:val="16"/>
          <w:szCs w:val="16"/>
        </w:rPr>
        <w:t xml:space="preserve">. The IUPAC chemical name for the natural compound </w:t>
      </w:r>
      <w:r w:rsidRPr="007500B5">
        <w:rPr>
          <w:b/>
          <w:bCs/>
          <w:sz w:val="16"/>
          <w:szCs w:val="16"/>
        </w:rPr>
        <w:t>Casuarine</w:t>
      </w:r>
      <w:r w:rsidRPr="007500B5">
        <w:rPr>
          <w:sz w:val="16"/>
          <w:szCs w:val="16"/>
        </w:rPr>
        <w:t xml:space="preserve"> (a polyhydroxylated pyrrolizidine alkaloid) is (1R, 2R, 3R, 6S, 7S, 7aR)-3-(</w:t>
      </w:r>
      <w:proofErr w:type="gramStart"/>
      <w:r w:rsidRPr="007500B5">
        <w:rPr>
          <w:sz w:val="16"/>
          <w:szCs w:val="16"/>
        </w:rPr>
        <w:t>hydroxymethyl)hexahydro</w:t>
      </w:r>
      <w:proofErr w:type="gramEnd"/>
      <w:r w:rsidRPr="007500B5">
        <w:rPr>
          <w:sz w:val="16"/>
          <w:szCs w:val="16"/>
        </w:rPr>
        <w:t>-1H-pyrrolizine-1,2,6,7-tetrol. Its chemical formula is C</w:t>
      </w:r>
      <w:r w:rsidRPr="007500B5">
        <w:rPr>
          <w:sz w:val="16"/>
          <w:szCs w:val="16"/>
          <w:vertAlign w:val="subscript"/>
        </w:rPr>
        <w:t>8</w:t>
      </w:r>
      <w:r w:rsidRPr="007500B5">
        <w:rPr>
          <w:sz w:val="16"/>
          <w:szCs w:val="16"/>
        </w:rPr>
        <w:t>H</w:t>
      </w:r>
      <w:r w:rsidRPr="007500B5">
        <w:rPr>
          <w:sz w:val="16"/>
          <w:szCs w:val="16"/>
          <w:vertAlign w:val="subscript"/>
        </w:rPr>
        <w:t>15</w:t>
      </w:r>
      <w:r w:rsidRPr="007500B5">
        <w:rPr>
          <w:sz w:val="16"/>
          <w:szCs w:val="16"/>
        </w:rPr>
        <w:t>NO</w:t>
      </w:r>
      <w:r w:rsidRPr="007500B5">
        <w:rPr>
          <w:sz w:val="16"/>
          <w:szCs w:val="16"/>
          <w:vertAlign w:val="subscript"/>
        </w:rPr>
        <w:t>5</w:t>
      </w:r>
      <w:r w:rsidRPr="007500B5">
        <w:rPr>
          <w:sz w:val="16"/>
          <w:szCs w:val="16"/>
        </w:rPr>
        <w:t xml:space="preserve">. </w:t>
      </w:r>
      <w:r w:rsidRPr="007500B5">
        <w:rPr>
          <w:b/>
          <w:bCs/>
          <w:sz w:val="16"/>
          <w:szCs w:val="16"/>
        </w:rPr>
        <w:t>Casuarine</w:t>
      </w:r>
      <w:r w:rsidRPr="007500B5">
        <w:rPr>
          <w:sz w:val="16"/>
          <w:szCs w:val="16"/>
        </w:rPr>
        <w:t xml:space="preserve"> is well-known in pharmacology as a potent glycosidase inhibitor often extracted from plants like </w:t>
      </w:r>
      <w:r w:rsidRPr="007500B5">
        <w:rPr>
          <w:i/>
          <w:iCs/>
          <w:sz w:val="16"/>
          <w:szCs w:val="16"/>
        </w:rPr>
        <w:t>Casuarina equisetifolia</w:t>
      </w:r>
      <w:r w:rsidRPr="007500B5">
        <w:rPr>
          <w:sz w:val="16"/>
          <w:szCs w:val="16"/>
        </w:rPr>
        <w:t xml:space="preserve"> and </w:t>
      </w:r>
      <w:r w:rsidRPr="007500B5">
        <w:rPr>
          <w:i/>
          <w:iCs/>
          <w:sz w:val="16"/>
          <w:szCs w:val="16"/>
        </w:rPr>
        <w:t xml:space="preserve">Eugenia jambolana. </w:t>
      </w:r>
    </w:p>
    <w:p w14:paraId="00BEACB6" w14:textId="77777777" w:rsidR="00EB13AB" w:rsidRPr="007500B5" w:rsidRDefault="00EB13AB" w:rsidP="00EB13AB">
      <w:pPr>
        <w:rPr>
          <w:sz w:val="16"/>
          <w:szCs w:val="16"/>
        </w:rPr>
      </w:pPr>
      <w:r w:rsidRPr="007500B5">
        <w:rPr>
          <w:sz w:val="16"/>
          <w:szCs w:val="16"/>
        </w:rPr>
        <w:t xml:space="preserve">In Iminohoney, </w:t>
      </w:r>
      <w:r w:rsidRPr="007500B5">
        <w:rPr>
          <w:b/>
          <w:bCs/>
          <w:sz w:val="16"/>
          <w:szCs w:val="16"/>
        </w:rPr>
        <w:t>Casuarine</w:t>
      </w:r>
      <w:r w:rsidRPr="007500B5">
        <w:rPr>
          <w:sz w:val="16"/>
          <w:szCs w:val="16"/>
        </w:rPr>
        <w:t xml:space="preserve"> is measured in rare African honey's where bees forage for nectar from the flowers of </w:t>
      </w:r>
      <w:r w:rsidRPr="007500B5">
        <w:rPr>
          <w:b/>
          <w:bCs/>
          <w:sz w:val="16"/>
          <w:szCs w:val="16"/>
        </w:rPr>
        <w:t>Casuarine-rich</w:t>
      </w:r>
      <w:r w:rsidRPr="007500B5">
        <w:rPr>
          <w:sz w:val="16"/>
          <w:szCs w:val="16"/>
        </w:rPr>
        <w:t xml:space="preserve"> plant species. </w:t>
      </w:r>
    </w:p>
    <w:p w14:paraId="135EFBC7" w14:textId="77777777" w:rsidR="00EB13AB" w:rsidRDefault="00EB13AB" w:rsidP="00EB13AB"/>
    <w:p w14:paraId="3ECDA54E" w14:textId="0D9AB5BC" w:rsidR="00EB13AB" w:rsidRDefault="00122C53" w:rsidP="00EB13AB">
      <w:r>
        <w:rPr>
          <w:noProof/>
        </w:rPr>
        <w:drawing>
          <wp:anchor distT="0" distB="0" distL="114300" distR="114300" simplePos="0" relativeHeight="251661312" behindDoc="0" locked="0" layoutInCell="1" allowOverlap="1" wp14:anchorId="178C584E" wp14:editId="06C4C59B">
            <wp:simplePos x="0" y="0"/>
            <wp:positionH relativeFrom="column">
              <wp:posOffset>2480628</wp:posOffset>
            </wp:positionH>
            <wp:positionV relativeFrom="paragraph">
              <wp:posOffset>140335</wp:posOffset>
            </wp:positionV>
            <wp:extent cx="1362075" cy="889635"/>
            <wp:effectExtent l="0" t="0" r="9525" b="5715"/>
            <wp:wrapSquare wrapText="bothSides"/>
            <wp:docPr id="2970577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57725" name="Picture 2970577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2075" cy="889635"/>
                    </a:xfrm>
                    <a:prstGeom prst="rect">
                      <a:avLst/>
                    </a:prstGeom>
                  </pic:spPr>
                </pic:pic>
              </a:graphicData>
            </a:graphic>
            <wp14:sizeRelH relativeFrom="margin">
              <wp14:pctWidth>0</wp14:pctWidth>
            </wp14:sizeRelH>
            <wp14:sizeRelV relativeFrom="margin">
              <wp14:pctHeight>0</wp14:pctHeight>
            </wp14:sizeRelV>
          </wp:anchor>
        </w:drawing>
      </w:r>
      <w:r w:rsidR="00EB13AB" w:rsidRPr="00EB13AB">
        <w:rPr>
          <w:noProof/>
        </w:rPr>
        <w:drawing>
          <wp:inline distT="0" distB="0" distL="0" distR="0" wp14:anchorId="7615BD2C" wp14:editId="453136B7">
            <wp:extent cx="2266950" cy="1207151"/>
            <wp:effectExtent l="0" t="0" r="0" b="0"/>
            <wp:docPr id="315965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246" cy="1221686"/>
                    </a:xfrm>
                    <a:prstGeom prst="rect">
                      <a:avLst/>
                    </a:prstGeom>
                    <a:noFill/>
                    <a:ln>
                      <a:noFill/>
                    </a:ln>
                  </pic:spPr>
                </pic:pic>
              </a:graphicData>
            </a:graphic>
          </wp:inline>
        </w:drawing>
      </w:r>
    </w:p>
    <w:p w14:paraId="00E58AFC" w14:textId="7E93F7EA" w:rsidR="00122C53" w:rsidRPr="00EB13AB" w:rsidRDefault="00122C53" w:rsidP="00EB13AB"/>
    <w:p w14:paraId="724B667E" w14:textId="77777777" w:rsidR="00EB13AB" w:rsidRPr="00EB13AB" w:rsidRDefault="00EB13AB" w:rsidP="00EB13AB">
      <w:pPr>
        <w:pStyle w:val="Heading2"/>
      </w:pPr>
      <w:r w:rsidRPr="00EB13AB">
        <w:t>Beyond Geography</w:t>
      </w:r>
    </w:p>
    <w:p w14:paraId="51A7E2B6" w14:textId="3A913122" w:rsidR="00EB13AB" w:rsidRPr="007500B5" w:rsidRDefault="00EB13AB" w:rsidP="00EB13AB">
      <w:pPr>
        <w:rPr>
          <w:sz w:val="16"/>
          <w:szCs w:val="16"/>
        </w:rPr>
      </w:pPr>
      <w:r w:rsidRPr="007500B5">
        <w:rPr>
          <w:sz w:val="16"/>
          <w:szCs w:val="16"/>
        </w:rPr>
        <w:t xml:space="preserve">Microclimates, soil, season, aspect, rainfall and foraging variables mean that standard African honey chemical fingerprints vary widely. Iminohoney is unique in that it carries the </w:t>
      </w:r>
      <w:r w:rsidRPr="007500B5">
        <w:rPr>
          <w:b/>
          <w:bCs/>
          <w:sz w:val="16"/>
          <w:szCs w:val="16"/>
        </w:rPr>
        <w:t>Casuarine Quality Mark</w:t>
      </w:r>
      <w:r w:rsidRPr="007500B5">
        <w:rPr>
          <w:sz w:val="16"/>
          <w:szCs w:val="16"/>
        </w:rPr>
        <w:t xml:space="preserve">, verifying batch to batch </w:t>
      </w:r>
      <w:r w:rsidRPr="007500B5">
        <w:rPr>
          <w:b/>
          <w:bCs/>
          <w:sz w:val="16"/>
          <w:szCs w:val="16"/>
        </w:rPr>
        <w:t>Casuarine-content</w:t>
      </w:r>
      <w:r w:rsidRPr="007500B5">
        <w:rPr>
          <w:sz w:val="16"/>
          <w:szCs w:val="16"/>
        </w:rPr>
        <w:t xml:space="preserve"> consistency. </w:t>
      </w:r>
    </w:p>
    <w:p w14:paraId="30B15289" w14:textId="77777777" w:rsidR="00EB13AB" w:rsidRPr="00EB13AB" w:rsidRDefault="00EB13AB" w:rsidP="00EB13AB">
      <w:pPr>
        <w:pStyle w:val="Heading2"/>
      </w:pPr>
      <w:r w:rsidRPr="00EB13AB">
        <w:t>Mechanism of Action</w:t>
      </w:r>
    </w:p>
    <w:p w14:paraId="1DB81342" w14:textId="77777777" w:rsidR="00EB13AB" w:rsidRPr="007500B5" w:rsidRDefault="00EB13AB" w:rsidP="00EB13AB">
      <w:pPr>
        <w:rPr>
          <w:sz w:val="16"/>
          <w:szCs w:val="16"/>
        </w:rPr>
      </w:pPr>
      <w:r w:rsidRPr="007500B5">
        <w:rPr>
          <w:sz w:val="16"/>
          <w:szCs w:val="16"/>
        </w:rPr>
        <w:t xml:space="preserve">Glucose Inhibition &amp; Immune Modulation: </w:t>
      </w:r>
      <w:r w:rsidRPr="007500B5">
        <w:rPr>
          <w:b/>
          <w:bCs/>
          <w:sz w:val="16"/>
          <w:szCs w:val="16"/>
        </w:rPr>
        <w:t>Casuarine</w:t>
      </w:r>
      <w:r w:rsidRPr="007500B5">
        <w:rPr>
          <w:sz w:val="16"/>
          <w:szCs w:val="16"/>
        </w:rPr>
        <w:t xml:space="preserve"> acts as an </w:t>
      </w:r>
      <w:proofErr w:type="spellStart"/>
      <w:r w:rsidRPr="007500B5">
        <w:rPr>
          <w:sz w:val="16"/>
          <w:szCs w:val="16"/>
        </w:rPr>
        <w:t>iminosugar</w:t>
      </w:r>
      <w:proofErr w:type="spellEnd"/>
      <w:r w:rsidRPr="007500B5">
        <w:rPr>
          <w:sz w:val="16"/>
          <w:szCs w:val="16"/>
        </w:rPr>
        <w:t xml:space="preserve"> that interacts with cellular carbohydrate-processing enzymes (glucosidases). This interaction alters glycoprotein processing which modulates immune cell signaling and metabolic pathways.</w:t>
      </w:r>
    </w:p>
    <w:p w14:paraId="39C79B60" w14:textId="77777777" w:rsidR="00EB13AB" w:rsidRPr="007500B5" w:rsidRDefault="00EB13AB" w:rsidP="00EB13AB">
      <w:pPr>
        <w:rPr>
          <w:sz w:val="16"/>
          <w:szCs w:val="16"/>
        </w:rPr>
      </w:pPr>
      <w:r w:rsidRPr="007500B5">
        <w:rPr>
          <w:sz w:val="16"/>
          <w:szCs w:val="16"/>
        </w:rPr>
        <w:lastRenderedPageBreak/>
        <w:t xml:space="preserve">Immune Activation Support: we and our partners have preclinical data on file that indicates an immunomodulation effect mediated by </w:t>
      </w:r>
      <w:r w:rsidRPr="007500B5">
        <w:rPr>
          <w:b/>
          <w:bCs/>
          <w:sz w:val="16"/>
          <w:szCs w:val="16"/>
        </w:rPr>
        <w:t>Casuarine</w:t>
      </w:r>
      <w:r w:rsidRPr="007500B5">
        <w:rPr>
          <w:sz w:val="16"/>
          <w:szCs w:val="16"/>
        </w:rPr>
        <w:t xml:space="preserve"> via C-Type Lectin receptors on immune calls. </w:t>
      </w:r>
    </w:p>
    <w:p w14:paraId="39A087E5" w14:textId="77777777" w:rsidR="00EB13AB" w:rsidRPr="00EB13AB" w:rsidRDefault="00EB13AB" w:rsidP="00EB13AB">
      <w:pPr>
        <w:pStyle w:val="Heading2"/>
      </w:pPr>
      <w:r w:rsidRPr="00EB13AB">
        <w:t>Uses in Pet Care</w:t>
      </w:r>
    </w:p>
    <w:p w14:paraId="5E8A23BF" w14:textId="6E37DCDB" w:rsidR="00EB13AB" w:rsidRPr="007500B5" w:rsidRDefault="00EB13AB" w:rsidP="00EB13AB">
      <w:pPr>
        <w:rPr>
          <w:sz w:val="16"/>
          <w:szCs w:val="16"/>
        </w:rPr>
      </w:pPr>
      <w:r w:rsidRPr="007500B5">
        <w:rPr>
          <w:b/>
          <w:bCs/>
          <w:sz w:val="16"/>
          <w:szCs w:val="16"/>
        </w:rPr>
        <w:t>Iminohoney</w:t>
      </w:r>
      <w:r w:rsidRPr="007500B5">
        <w:rPr>
          <w:sz w:val="16"/>
          <w:szCs w:val="16"/>
        </w:rPr>
        <w:t xml:space="preserve"> has several different potential applications as a supplement to support pet health:</w:t>
      </w:r>
    </w:p>
    <w:p w14:paraId="748A4221" w14:textId="2F53D5FB" w:rsidR="00EB13AB" w:rsidRPr="007500B5" w:rsidRDefault="00EB13AB" w:rsidP="00EB13AB">
      <w:pPr>
        <w:rPr>
          <w:sz w:val="16"/>
          <w:szCs w:val="16"/>
        </w:rPr>
      </w:pPr>
      <w:r w:rsidRPr="007500B5">
        <w:rPr>
          <w:sz w:val="16"/>
          <w:szCs w:val="16"/>
        </w:rPr>
        <w:t xml:space="preserve">Senior Support - Ideal as a natural, low-risk, supplemental metabolic support for senior pets experiencing age- or sickness-related health issues. </w:t>
      </w:r>
    </w:p>
    <w:p w14:paraId="7717F3D5" w14:textId="12DB3E2A" w:rsidR="00EB13AB" w:rsidRPr="007500B5" w:rsidRDefault="00EB13AB" w:rsidP="00EB13AB">
      <w:pPr>
        <w:rPr>
          <w:sz w:val="16"/>
          <w:szCs w:val="16"/>
        </w:rPr>
      </w:pPr>
      <w:r w:rsidRPr="007500B5">
        <w:rPr>
          <w:sz w:val="16"/>
          <w:szCs w:val="16"/>
        </w:rPr>
        <w:t>Immune system support - Helps support the natural immune response during periods of stress, treatment recovery or supplemental support for the management of chronic infections or diseases.</w:t>
      </w:r>
    </w:p>
    <w:p w14:paraId="6CF2185B" w14:textId="77777777" w:rsidR="00EB13AB" w:rsidRPr="007500B5" w:rsidRDefault="00EB13AB" w:rsidP="00EB13AB">
      <w:pPr>
        <w:rPr>
          <w:sz w:val="16"/>
          <w:szCs w:val="16"/>
        </w:rPr>
      </w:pPr>
      <w:r w:rsidRPr="007500B5">
        <w:rPr>
          <w:sz w:val="16"/>
          <w:szCs w:val="16"/>
        </w:rPr>
        <w:t>Palatable Compliance- Offers an exceptionally palatable, easily administered supplement for pet carers struggling with treatment fatigue in sick or recovering pets.</w:t>
      </w:r>
    </w:p>
    <w:p w14:paraId="05C7A864" w14:textId="5620F420" w:rsidR="00E14BA0" w:rsidRDefault="00EB13AB" w:rsidP="0033444B">
      <w:pPr>
        <w:pStyle w:val="Heading2"/>
      </w:pPr>
      <w:r w:rsidRPr="00EB13AB">
        <w:t>Dosing</w:t>
      </w:r>
    </w:p>
    <w:p w14:paraId="113F5F14" w14:textId="3B94BEEE" w:rsidR="00EB13AB" w:rsidRPr="007500B5" w:rsidRDefault="00E14BA0" w:rsidP="00EB13AB">
      <w:pPr>
        <w:rPr>
          <w:sz w:val="16"/>
          <w:szCs w:val="16"/>
        </w:rPr>
      </w:pPr>
      <w:r w:rsidRPr="007500B5">
        <w:rPr>
          <w:noProof/>
          <w:sz w:val="16"/>
          <w:szCs w:val="16"/>
        </w:rPr>
        <w:drawing>
          <wp:anchor distT="0" distB="0" distL="114300" distR="114300" simplePos="0" relativeHeight="251660288" behindDoc="0" locked="0" layoutInCell="1" allowOverlap="1" wp14:anchorId="762F668A" wp14:editId="3B04EF40">
            <wp:simplePos x="0" y="0"/>
            <wp:positionH relativeFrom="margin">
              <wp:align>left</wp:align>
            </wp:positionH>
            <wp:positionV relativeFrom="paragraph">
              <wp:posOffset>67945</wp:posOffset>
            </wp:positionV>
            <wp:extent cx="1356995" cy="1398905"/>
            <wp:effectExtent l="0" t="0" r="0" b="0"/>
            <wp:wrapSquare wrapText="bothSides"/>
            <wp:docPr id="4552363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36320" name="Picture 3"/>
                    <pic:cNvPicPr/>
                  </pic:nvPicPr>
                  <pic:blipFill rotWithShape="1">
                    <a:blip r:embed="rId9" cstate="print">
                      <a:extLst>
                        <a:ext uri="{28A0092B-C50C-407E-A947-70E740481C1C}">
                          <a14:useLocalDpi xmlns:a14="http://schemas.microsoft.com/office/drawing/2010/main" val="0"/>
                        </a:ext>
                      </a:extLst>
                    </a:blip>
                    <a:srcRect l="1646" t="13487" r="1930" b="11688"/>
                    <a:stretch>
                      <a:fillRect/>
                    </a:stretch>
                  </pic:blipFill>
                  <pic:spPr bwMode="auto">
                    <a:xfrm>
                      <a:off x="0" y="0"/>
                      <a:ext cx="1365307" cy="140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13AB" w:rsidRPr="007500B5">
        <w:rPr>
          <w:sz w:val="16"/>
          <w:szCs w:val="16"/>
        </w:rPr>
        <w:t xml:space="preserve">Anecdotal evidence suggests that optimal dosing is one 10ml sachet of </w:t>
      </w:r>
      <w:r w:rsidR="00EB13AB" w:rsidRPr="007500B5">
        <w:rPr>
          <w:b/>
          <w:bCs/>
          <w:sz w:val="16"/>
          <w:szCs w:val="16"/>
        </w:rPr>
        <w:t>Iminohoney</w:t>
      </w:r>
      <w:r w:rsidR="00EB13AB" w:rsidRPr="007500B5">
        <w:rPr>
          <w:sz w:val="16"/>
          <w:szCs w:val="16"/>
        </w:rPr>
        <w:t xml:space="preserve"> given </w:t>
      </w:r>
      <w:r w:rsidR="00EB13AB" w:rsidRPr="007500B5">
        <w:rPr>
          <w:b/>
          <w:bCs/>
          <w:sz w:val="16"/>
          <w:szCs w:val="16"/>
        </w:rPr>
        <w:t xml:space="preserve">every 3 days </w:t>
      </w:r>
      <w:r w:rsidR="00EB13AB" w:rsidRPr="007500B5">
        <w:rPr>
          <w:sz w:val="16"/>
          <w:szCs w:val="16"/>
        </w:rPr>
        <w:t xml:space="preserve">with more frequent dosing having not demonstrated and additional benefits. One 10 sachet pack of </w:t>
      </w:r>
      <w:r w:rsidR="00EB13AB" w:rsidRPr="007500B5">
        <w:rPr>
          <w:b/>
          <w:bCs/>
          <w:sz w:val="16"/>
          <w:szCs w:val="16"/>
        </w:rPr>
        <w:t>Iminohoney</w:t>
      </w:r>
      <w:r w:rsidR="00EB13AB" w:rsidRPr="007500B5">
        <w:rPr>
          <w:sz w:val="16"/>
          <w:szCs w:val="16"/>
        </w:rPr>
        <w:t xml:space="preserve"> therefore lasts for one month of supplementation. </w:t>
      </w:r>
    </w:p>
    <w:p w14:paraId="472F434E" w14:textId="4E7AAD3E" w:rsidR="00EB13AB" w:rsidRPr="007500B5" w:rsidRDefault="00EB13AB" w:rsidP="00EB13AB">
      <w:pPr>
        <w:rPr>
          <w:sz w:val="16"/>
          <w:szCs w:val="16"/>
        </w:rPr>
      </w:pPr>
      <w:r w:rsidRPr="007500B5">
        <w:rPr>
          <w:b/>
          <w:bCs/>
          <w:sz w:val="16"/>
          <w:szCs w:val="16"/>
        </w:rPr>
        <w:t>Iminohoney</w:t>
      </w:r>
      <w:r w:rsidRPr="007500B5">
        <w:rPr>
          <w:sz w:val="16"/>
          <w:szCs w:val="16"/>
        </w:rPr>
        <w:t xml:space="preserve"> may crystallize on storage or shipment in cooler environments and can be gently warmed to reconstitute it in liquid honey form. </w:t>
      </w:r>
    </w:p>
    <w:p w14:paraId="7B35D449" w14:textId="00BC111D" w:rsidR="00EB13AB" w:rsidRPr="007500B5" w:rsidRDefault="00EB13AB" w:rsidP="00EB13AB">
      <w:pPr>
        <w:rPr>
          <w:sz w:val="16"/>
          <w:szCs w:val="16"/>
        </w:rPr>
      </w:pPr>
      <w:r w:rsidRPr="007500B5">
        <w:rPr>
          <w:b/>
          <w:bCs/>
          <w:sz w:val="16"/>
          <w:szCs w:val="16"/>
        </w:rPr>
        <w:t>Iminohoney</w:t>
      </w:r>
      <w:r w:rsidRPr="007500B5">
        <w:rPr>
          <w:sz w:val="16"/>
          <w:szCs w:val="16"/>
        </w:rPr>
        <w:t xml:space="preserve"> can be used in a few different ways: added to food or given directly. </w:t>
      </w:r>
    </w:p>
    <w:p w14:paraId="5B1DE343" w14:textId="77777777" w:rsidR="00EB13AB" w:rsidRPr="007500B5" w:rsidRDefault="00EB13AB" w:rsidP="00EB13AB">
      <w:pPr>
        <w:rPr>
          <w:sz w:val="16"/>
          <w:szCs w:val="16"/>
        </w:rPr>
      </w:pPr>
      <w:r w:rsidRPr="007500B5">
        <w:rPr>
          <w:sz w:val="16"/>
          <w:szCs w:val="16"/>
        </w:rPr>
        <w:t xml:space="preserve">Some pets do not like honey and so may refuse it even when mixed with food. </w:t>
      </w:r>
    </w:p>
    <w:p w14:paraId="24A46D2A" w14:textId="77777777" w:rsidR="00EB13AB" w:rsidRPr="00EB13AB" w:rsidRDefault="00EB13AB" w:rsidP="00EB13AB">
      <w:pPr>
        <w:pStyle w:val="Heading2"/>
      </w:pPr>
      <w:r w:rsidRPr="00EB13AB">
        <w:t>Caution - Honey</w:t>
      </w:r>
    </w:p>
    <w:p w14:paraId="52FCA658" w14:textId="536E6F50" w:rsidR="00EB13AB" w:rsidRPr="007500B5" w:rsidRDefault="00EB13AB" w:rsidP="00EB13AB">
      <w:pPr>
        <w:rPr>
          <w:sz w:val="16"/>
          <w:szCs w:val="16"/>
        </w:rPr>
      </w:pPr>
      <w:r w:rsidRPr="007500B5">
        <w:rPr>
          <w:sz w:val="16"/>
          <w:szCs w:val="16"/>
        </w:rPr>
        <w:t xml:space="preserve">As with any other honey or sugar-containing supplement, use </w:t>
      </w:r>
      <w:r w:rsidRPr="007500B5">
        <w:rPr>
          <w:b/>
          <w:bCs/>
          <w:sz w:val="16"/>
          <w:szCs w:val="16"/>
        </w:rPr>
        <w:t xml:space="preserve">Iminohoney </w:t>
      </w:r>
      <w:r w:rsidRPr="007500B5">
        <w:rPr>
          <w:sz w:val="16"/>
          <w:szCs w:val="16"/>
        </w:rPr>
        <w:t xml:space="preserve">with caution in pets with diabetes, sugar-related metabolic diseases or in any situation </w:t>
      </w:r>
      <w:r w:rsidR="00187667" w:rsidRPr="007500B5">
        <w:rPr>
          <w:sz w:val="16"/>
          <w:szCs w:val="16"/>
        </w:rPr>
        <w:t>were</w:t>
      </w:r>
      <w:r w:rsidRPr="007500B5">
        <w:rPr>
          <w:sz w:val="16"/>
          <w:szCs w:val="16"/>
        </w:rPr>
        <w:t xml:space="preserve">, in a veterinarian's professional opinion, sugar-content might be considered an issue. </w:t>
      </w:r>
    </w:p>
    <w:p w14:paraId="41865FC0" w14:textId="77777777" w:rsidR="00EB13AB" w:rsidRPr="00EB13AB" w:rsidRDefault="00EB13AB" w:rsidP="00EB13AB">
      <w:pPr>
        <w:pStyle w:val="Heading2"/>
      </w:pPr>
      <w:r w:rsidRPr="00EB13AB">
        <w:t>Safety and Purity</w:t>
      </w:r>
    </w:p>
    <w:p w14:paraId="5B142429" w14:textId="52ECC30B" w:rsidR="00EB13AB" w:rsidRPr="007500B5" w:rsidRDefault="00EB13AB" w:rsidP="00EB13AB">
      <w:pPr>
        <w:rPr>
          <w:sz w:val="16"/>
          <w:szCs w:val="16"/>
        </w:rPr>
      </w:pPr>
      <w:r w:rsidRPr="007500B5">
        <w:rPr>
          <w:b/>
          <w:bCs/>
          <w:sz w:val="16"/>
          <w:szCs w:val="16"/>
        </w:rPr>
        <w:t>Iminohoney</w:t>
      </w:r>
      <w:r w:rsidRPr="007500B5">
        <w:rPr>
          <w:sz w:val="16"/>
          <w:szCs w:val="16"/>
        </w:rPr>
        <w:t xml:space="preserve"> is a pure, raw, natural, food-grade African honey with nothing added or removed. Each batch of Iminohoney is selected by chemical analysis with batches approved or refused according to </w:t>
      </w:r>
      <w:proofErr w:type="spellStart"/>
      <w:r w:rsidRPr="007500B5">
        <w:rPr>
          <w:sz w:val="16"/>
          <w:szCs w:val="16"/>
        </w:rPr>
        <w:t>iminosugar</w:t>
      </w:r>
      <w:proofErr w:type="spellEnd"/>
      <w:r w:rsidRPr="007500B5">
        <w:rPr>
          <w:sz w:val="16"/>
          <w:szCs w:val="16"/>
        </w:rPr>
        <w:t xml:space="preserve"> content, and particularly, the presence of </w:t>
      </w:r>
      <w:r w:rsidRPr="007500B5">
        <w:rPr>
          <w:b/>
          <w:bCs/>
          <w:sz w:val="16"/>
          <w:szCs w:val="16"/>
        </w:rPr>
        <w:t>Casuarine</w:t>
      </w:r>
      <w:r w:rsidRPr="007500B5">
        <w:rPr>
          <w:sz w:val="16"/>
          <w:szCs w:val="16"/>
        </w:rPr>
        <w:t xml:space="preserve"> in significant concentration. </w:t>
      </w:r>
      <w:r w:rsidRPr="007500B5">
        <w:rPr>
          <w:b/>
          <w:bCs/>
          <w:sz w:val="16"/>
          <w:szCs w:val="16"/>
        </w:rPr>
        <w:t xml:space="preserve">Strict Quality Control </w:t>
      </w:r>
      <w:r w:rsidRPr="007500B5">
        <w:rPr>
          <w:sz w:val="16"/>
          <w:szCs w:val="16"/>
        </w:rPr>
        <w:t xml:space="preserve">ensures the fingerprint and presence of desired </w:t>
      </w:r>
      <w:proofErr w:type="spellStart"/>
      <w:r w:rsidRPr="007500B5">
        <w:rPr>
          <w:sz w:val="16"/>
          <w:szCs w:val="16"/>
        </w:rPr>
        <w:t>iminosugars</w:t>
      </w:r>
      <w:proofErr w:type="spellEnd"/>
      <w:r w:rsidRPr="007500B5">
        <w:rPr>
          <w:sz w:val="16"/>
          <w:szCs w:val="16"/>
        </w:rPr>
        <w:t xml:space="preserve">, while the honey is also tested for undesired impurities. </w:t>
      </w:r>
    </w:p>
    <w:p w14:paraId="2EBC29D0" w14:textId="77777777" w:rsidR="00EB13AB" w:rsidRPr="00EB13AB" w:rsidRDefault="00EB13AB" w:rsidP="00EB13AB">
      <w:pPr>
        <w:pStyle w:val="Heading2"/>
      </w:pPr>
      <w:r w:rsidRPr="00EB13AB">
        <w:t>Comparison to Manuka Honey</w:t>
      </w:r>
    </w:p>
    <w:p w14:paraId="039CE024" w14:textId="77777777" w:rsidR="00EB13AB" w:rsidRPr="007500B5" w:rsidRDefault="00EB13AB" w:rsidP="00EB13AB">
      <w:pPr>
        <w:rPr>
          <w:sz w:val="16"/>
          <w:szCs w:val="16"/>
        </w:rPr>
      </w:pPr>
      <w:r w:rsidRPr="007500B5">
        <w:rPr>
          <w:b/>
          <w:bCs/>
          <w:sz w:val="16"/>
          <w:szCs w:val="16"/>
        </w:rPr>
        <w:t>Iminohoney</w:t>
      </w:r>
      <w:r w:rsidRPr="007500B5">
        <w:rPr>
          <w:sz w:val="16"/>
          <w:szCs w:val="16"/>
        </w:rPr>
        <w:t xml:space="preserve"> has a very different profile to Manuka Honey. Manuka Honey is another natural honey where chemical content, activity and profile is measured and claimed with associated health benefits. While Manuka Honey relies on methylglyoxal (MGO) for topical antimicrobial pathways, as described above, </w:t>
      </w:r>
      <w:r w:rsidRPr="007500B5">
        <w:rPr>
          <w:b/>
          <w:bCs/>
          <w:sz w:val="16"/>
          <w:szCs w:val="16"/>
        </w:rPr>
        <w:t>Iminohoney</w:t>
      </w:r>
      <w:r w:rsidRPr="007500B5">
        <w:rPr>
          <w:sz w:val="16"/>
          <w:szCs w:val="16"/>
        </w:rPr>
        <w:t xml:space="preserve"> functions via a completely different class of chemistry. Analysis of Manuka honey does not show the presence of </w:t>
      </w:r>
      <w:r w:rsidRPr="007500B5">
        <w:rPr>
          <w:b/>
          <w:bCs/>
          <w:sz w:val="16"/>
          <w:szCs w:val="16"/>
        </w:rPr>
        <w:t>Casuarine</w:t>
      </w:r>
      <w:r w:rsidRPr="007500B5">
        <w:rPr>
          <w:sz w:val="16"/>
          <w:szCs w:val="16"/>
        </w:rPr>
        <w:t xml:space="preserve"> or other significant Iminosugar components. </w:t>
      </w:r>
    </w:p>
    <w:p w14:paraId="5A282C05" w14:textId="10FB72EB" w:rsidR="00D92DEA" w:rsidRDefault="00EB13AB">
      <w:pPr>
        <w:rPr>
          <w:sz w:val="16"/>
          <w:szCs w:val="16"/>
        </w:rPr>
      </w:pPr>
      <w:r w:rsidRPr="007500B5">
        <w:rPr>
          <w:sz w:val="16"/>
          <w:szCs w:val="16"/>
        </w:rPr>
        <w:t xml:space="preserve">It is understood that the </w:t>
      </w:r>
      <w:r w:rsidR="00AE4396">
        <w:rPr>
          <w:sz w:val="16"/>
          <w:szCs w:val="16"/>
        </w:rPr>
        <w:t xml:space="preserve">two </w:t>
      </w:r>
      <w:r w:rsidR="007A35B4">
        <w:rPr>
          <w:sz w:val="16"/>
          <w:szCs w:val="16"/>
        </w:rPr>
        <w:t xml:space="preserve">types of </w:t>
      </w:r>
      <w:r w:rsidRPr="007500B5">
        <w:rPr>
          <w:sz w:val="16"/>
          <w:szCs w:val="16"/>
        </w:rPr>
        <w:t>honey are vastly different</w:t>
      </w:r>
      <w:r w:rsidR="007A35B4">
        <w:rPr>
          <w:sz w:val="16"/>
          <w:szCs w:val="16"/>
        </w:rPr>
        <w:t>,</w:t>
      </w:r>
      <w:r w:rsidRPr="007500B5">
        <w:rPr>
          <w:sz w:val="16"/>
          <w:szCs w:val="16"/>
        </w:rPr>
        <w:t xml:space="preserve"> and </w:t>
      </w:r>
      <w:r w:rsidR="007A35B4">
        <w:rPr>
          <w:sz w:val="16"/>
          <w:szCs w:val="16"/>
        </w:rPr>
        <w:t xml:space="preserve">batches are </w:t>
      </w:r>
      <w:r w:rsidRPr="007500B5">
        <w:rPr>
          <w:sz w:val="16"/>
          <w:szCs w:val="16"/>
        </w:rPr>
        <w:t xml:space="preserve">selected with </w:t>
      </w:r>
      <w:r w:rsidR="00CB4D1E">
        <w:rPr>
          <w:sz w:val="16"/>
          <w:szCs w:val="16"/>
        </w:rPr>
        <w:t xml:space="preserve">completely </w:t>
      </w:r>
      <w:r w:rsidRPr="007500B5">
        <w:rPr>
          <w:sz w:val="16"/>
          <w:szCs w:val="16"/>
        </w:rPr>
        <w:t>different chemical content criteria</w:t>
      </w:r>
      <w:r w:rsidR="00CB4D1E">
        <w:rPr>
          <w:sz w:val="16"/>
          <w:szCs w:val="16"/>
        </w:rPr>
        <w:t>.</w:t>
      </w:r>
      <w:r w:rsidRPr="007500B5">
        <w:rPr>
          <w:sz w:val="16"/>
          <w:szCs w:val="16"/>
        </w:rPr>
        <w:t xml:space="preserve"> </w:t>
      </w:r>
      <w:r w:rsidR="00CB4D1E">
        <w:rPr>
          <w:sz w:val="16"/>
          <w:szCs w:val="16"/>
        </w:rPr>
        <w:t>T</w:t>
      </w:r>
      <w:r w:rsidRPr="007500B5">
        <w:rPr>
          <w:sz w:val="16"/>
          <w:szCs w:val="16"/>
        </w:rPr>
        <w:t>herefore</w:t>
      </w:r>
      <w:r w:rsidR="00CB4D1E">
        <w:rPr>
          <w:sz w:val="16"/>
          <w:szCs w:val="16"/>
        </w:rPr>
        <w:t>, these two products</w:t>
      </w:r>
      <w:r w:rsidRPr="007500B5">
        <w:rPr>
          <w:sz w:val="16"/>
          <w:szCs w:val="16"/>
        </w:rPr>
        <w:t xml:space="preserve"> should not be interchanged with the expectation of similar supplemental benefits. </w:t>
      </w:r>
    </w:p>
    <w:p w14:paraId="2321E320" w14:textId="19C52301" w:rsidR="0028532B" w:rsidRPr="00D92DEA" w:rsidRDefault="00AE45AF">
      <w:pPr>
        <w:rPr>
          <w:sz w:val="16"/>
          <w:szCs w:val="16"/>
        </w:rPr>
      </w:pPr>
      <w:r w:rsidRPr="00860C96">
        <w:drawing>
          <wp:anchor distT="0" distB="0" distL="114300" distR="114300" simplePos="0" relativeHeight="251662336" behindDoc="0" locked="0" layoutInCell="1" allowOverlap="1" wp14:anchorId="3D5879BB" wp14:editId="448D8F5C">
            <wp:simplePos x="0" y="0"/>
            <wp:positionH relativeFrom="column">
              <wp:posOffset>1399858</wp:posOffset>
            </wp:positionH>
            <wp:positionV relativeFrom="paragraph">
              <wp:posOffset>37782</wp:posOffset>
            </wp:positionV>
            <wp:extent cx="782320" cy="782320"/>
            <wp:effectExtent l="0" t="0" r="0" b="0"/>
            <wp:wrapSquare wrapText="bothSides"/>
            <wp:docPr id="8" name="Picture 7">
              <a:extLst xmlns:a="http://schemas.openxmlformats.org/drawingml/2006/main">
                <a:ext uri="{FF2B5EF4-FFF2-40B4-BE49-F238E27FC236}">
                  <a16:creationId xmlns:a16="http://schemas.microsoft.com/office/drawing/2014/main" id="{6BC8103F-1211-85EE-E7EA-8B1E769EA5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BC8103F-1211-85EE-E7EA-8B1E769EA54A}"/>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2320" cy="782320"/>
                    </a:xfrm>
                    <a:prstGeom prst="rect">
                      <a:avLst/>
                    </a:prstGeom>
                  </pic:spPr>
                </pic:pic>
              </a:graphicData>
            </a:graphic>
          </wp:anchor>
        </w:drawing>
      </w:r>
      <w:r w:rsidRPr="004D01B7">
        <w:rPr>
          <w:noProof/>
          <w:sz w:val="16"/>
          <w:szCs w:val="16"/>
        </w:rPr>
        <mc:AlternateContent>
          <mc:Choice Requires="wps">
            <w:drawing>
              <wp:anchor distT="45720" distB="45720" distL="114300" distR="114300" simplePos="0" relativeHeight="251664384" behindDoc="0" locked="0" layoutInCell="1" allowOverlap="1" wp14:anchorId="491151F6" wp14:editId="5B69B4DA">
                <wp:simplePos x="0" y="0"/>
                <wp:positionH relativeFrom="column">
                  <wp:posOffset>-76835</wp:posOffset>
                </wp:positionH>
                <wp:positionV relativeFrom="paragraph">
                  <wp:posOffset>108902</wp:posOffset>
                </wp:positionV>
                <wp:extent cx="14617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1404620"/>
                        </a:xfrm>
                        <a:prstGeom prst="rect">
                          <a:avLst/>
                        </a:prstGeom>
                        <a:solidFill>
                          <a:srgbClr val="FFFFFF"/>
                        </a:solidFill>
                        <a:ln w="9525">
                          <a:noFill/>
                          <a:miter lim="800000"/>
                          <a:headEnd/>
                          <a:tailEnd/>
                        </a:ln>
                      </wps:spPr>
                      <wps:txbx>
                        <w:txbxContent>
                          <w:p w14:paraId="5F58DE88" w14:textId="1B6518CA" w:rsidR="004D01B7" w:rsidRPr="00D247A6" w:rsidRDefault="004D01B7">
                            <w:pPr>
                              <w:rPr>
                                <w:sz w:val="14"/>
                                <w:szCs w:val="14"/>
                              </w:rPr>
                            </w:pPr>
                            <w:r w:rsidRPr="00D247A6">
                              <w:rPr>
                                <w:sz w:val="14"/>
                                <w:szCs w:val="14"/>
                              </w:rPr>
                              <w:t xml:space="preserve">Scan here for </w:t>
                            </w:r>
                            <w:r w:rsidR="00D247A6" w:rsidRPr="00D247A6">
                              <w:rPr>
                                <w:sz w:val="14"/>
                                <w:szCs w:val="14"/>
                              </w:rPr>
                              <w:t>more information and access to testimonials and example cases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151F6" id="_x0000_t202" coordsize="21600,21600" o:spt="202" path="m,l,21600r21600,l21600,xe">
                <v:stroke joinstyle="miter"/>
                <v:path gradientshapeok="t" o:connecttype="rect"/>
              </v:shapetype>
              <v:shape id="Text Box 2" o:spid="_x0000_s1026" type="#_x0000_t202" style="position:absolute;margin-left:-6.05pt;margin-top:8.55pt;width:115.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" stroked="f">
                <v:textbox style="mso-fit-shape-to-text:t">
                  <w:txbxContent>
                    <w:p w14:paraId="5F58DE88" w14:textId="1B6518CA" w:rsidR="004D01B7" w:rsidRPr="00D247A6" w:rsidRDefault="004D01B7">
                      <w:pPr>
                        <w:rPr>
                          <w:sz w:val="14"/>
                          <w:szCs w:val="14"/>
                        </w:rPr>
                      </w:pPr>
                      <w:r w:rsidRPr="00D247A6">
                        <w:rPr>
                          <w:sz w:val="14"/>
                          <w:szCs w:val="14"/>
                        </w:rPr>
                        <w:t xml:space="preserve">Scan here for </w:t>
                      </w:r>
                      <w:r w:rsidR="00D247A6" w:rsidRPr="00D247A6">
                        <w:rPr>
                          <w:sz w:val="14"/>
                          <w:szCs w:val="14"/>
                        </w:rPr>
                        <w:t>more information and access to testimonials and example cases</w:t>
                      </w:r>
                    </w:p>
                  </w:txbxContent>
                </v:textbox>
                <w10:wrap type="square"/>
              </v:shape>
            </w:pict>
          </mc:Fallback>
        </mc:AlternateContent>
      </w:r>
    </w:p>
    <w:sectPr w:rsidR="0028532B" w:rsidRPr="00D92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AB"/>
    <w:rsid w:val="00076E21"/>
    <w:rsid w:val="000936E2"/>
    <w:rsid w:val="00122C53"/>
    <w:rsid w:val="00187667"/>
    <w:rsid w:val="001D3B4E"/>
    <w:rsid w:val="001F6CEA"/>
    <w:rsid w:val="0028532B"/>
    <w:rsid w:val="002D4001"/>
    <w:rsid w:val="0033444B"/>
    <w:rsid w:val="00374C3B"/>
    <w:rsid w:val="00426B54"/>
    <w:rsid w:val="004D01B7"/>
    <w:rsid w:val="00527826"/>
    <w:rsid w:val="00580396"/>
    <w:rsid w:val="006D1291"/>
    <w:rsid w:val="007500B5"/>
    <w:rsid w:val="007A35B4"/>
    <w:rsid w:val="008305C4"/>
    <w:rsid w:val="00860C96"/>
    <w:rsid w:val="00896C96"/>
    <w:rsid w:val="009B1660"/>
    <w:rsid w:val="009C1F7C"/>
    <w:rsid w:val="00AD4DAE"/>
    <w:rsid w:val="00AE4396"/>
    <w:rsid w:val="00AE45AF"/>
    <w:rsid w:val="00B21BE6"/>
    <w:rsid w:val="00C65A84"/>
    <w:rsid w:val="00C83CF3"/>
    <w:rsid w:val="00C96DEC"/>
    <w:rsid w:val="00CB4D1E"/>
    <w:rsid w:val="00D247A6"/>
    <w:rsid w:val="00D76D0D"/>
    <w:rsid w:val="00D92DEA"/>
    <w:rsid w:val="00DF0C63"/>
    <w:rsid w:val="00E044C8"/>
    <w:rsid w:val="00E14BA0"/>
    <w:rsid w:val="00E40D0D"/>
    <w:rsid w:val="00E7418B"/>
    <w:rsid w:val="00EB13AB"/>
    <w:rsid w:val="00FF47D2"/>
    <w:rsid w:val="00FF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3DD0"/>
  <w15:chartTrackingRefBased/>
  <w15:docId w15:val="{11CEA88A-8C9F-484C-8860-D6A26283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96"/>
  </w:style>
  <w:style w:type="paragraph" w:styleId="Heading1">
    <w:name w:val="heading 1"/>
    <w:basedOn w:val="Normal"/>
    <w:next w:val="Normal"/>
    <w:link w:val="Heading1Char"/>
    <w:uiPriority w:val="9"/>
    <w:qFormat/>
    <w:rsid w:val="00580396"/>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80396"/>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80396"/>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580396"/>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580396"/>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580396"/>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580396"/>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58039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80396"/>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396"/>
    <w:rPr>
      <w:caps/>
      <w:color w:val="FFFFFF" w:themeColor="background1"/>
      <w:spacing w:val="15"/>
      <w:sz w:val="22"/>
      <w:szCs w:val="22"/>
      <w:shd w:val="clear" w:color="auto" w:fill="549E39" w:themeFill="accent1"/>
    </w:rPr>
  </w:style>
  <w:style w:type="character" w:customStyle="1" w:styleId="Heading2Char">
    <w:name w:val="Heading 2 Char"/>
    <w:basedOn w:val="DefaultParagraphFont"/>
    <w:link w:val="Heading2"/>
    <w:uiPriority w:val="9"/>
    <w:rsid w:val="00580396"/>
    <w:rPr>
      <w:caps/>
      <w:spacing w:val="15"/>
      <w:shd w:val="clear" w:color="auto" w:fill="DAEFD3" w:themeFill="accent1" w:themeFillTint="33"/>
    </w:rPr>
  </w:style>
  <w:style w:type="character" w:customStyle="1" w:styleId="Heading3Char">
    <w:name w:val="Heading 3 Char"/>
    <w:basedOn w:val="DefaultParagraphFont"/>
    <w:link w:val="Heading3"/>
    <w:uiPriority w:val="9"/>
    <w:semiHidden/>
    <w:rsid w:val="00580396"/>
    <w:rPr>
      <w:caps/>
      <w:color w:val="294E1C" w:themeColor="accent1" w:themeShade="7F"/>
      <w:spacing w:val="15"/>
    </w:rPr>
  </w:style>
  <w:style w:type="character" w:customStyle="1" w:styleId="Heading4Char">
    <w:name w:val="Heading 4 Char"/>
    <w:basedOn w:val="DefaultParagraphFont"/>
    <w:link w:val="Heading4"/>
    <w:uiPriority w:val="9"/>
    <w:semiHidden/>
    <w:rsid w:val="00580396"/>
    <w:rPr>
      <w:caps/>
      <w:color w:val="3E762A" w:themeColor="accent1" w:themeShade="BF"/>
      <w:spacing w:val="10"/>
    </w:rPr>
  </w:style>
  <w:style w:type="character" w:customStyle="1" w:styleId="Heading5Char">
    <w:name w:val="Heading 5 Char"/>
    <w:basedOn w:val="DefaultParagraphFont"/>
    <w:link w:val="Heading5"/>
    <w:uiPriority w:val="9"/>
    <w:semiHidden/>
    <w:rsid w:val="00580396"/>
    <w:rPr>
      <w:caps/>
      <w:color w:val="3E762A" w:themeColor="accent1" w:themeShade="BF"/>
      <w:spacing w:val="10"/>
    </w:rPr>
  </w:style>
  <w:style w:type="character" w:customStyle="1" w:styleId="Heading6Char">
    <w:name w:val="Heading 6 Char"/>
    <w:basedOn w:val="DefaultParagraphFont"/>
    <w:link w:val="Heading6"/>
    <w:uiPriority w:val="9"/>
    <w:semiHidden/>
    <w:rsid w:val="00580396"/>
    <w:rPr>
      <w:caps/>
      <w:color w:val="3E762A" w:themeColor="accent1" w:themeShade="BF"/>
      <w:spacing w:val="10"/>
    </w:rPr>
  </w:style>
  <w:style w:type="character" w:customStyle="1" w:styleId="Heading7Char">
    <w:name w:val="Heading 7 Char"/>
    <w:basedOn w:val="DefaultParagraphFont"/>
    <w:link w:val="Heading7"/>
    <w:uiPriority w:val="9"/>
    <w:semiHidden/>
    <w:rsid w:val="00580396"/>
    <w:rPr>
      <w:caps/>
      <w:color w:val="3E762A" w:themeColor="accent1" w:themeShade="BF"/>
      <w:spacing w:val="10"/>
    </w:rPr>
  </w:style>
  <w:style w:type="character" w:customStyle="1" w:styleId="Heading8Char">
    <w:name w:val="Heading 8 Char"/>
    <w:basedOn w:val="DefaultParagraphFont"/>
    <w:link w:val="Heading8"/>
    <w:uiPriority w:val="9"/>
    <w:semiHidden/>
    <w:rsid w:val="00580396"/>
    <w:rPr>
      <w:caps/>
      <w:spacing w:val="10"/>
      <w:sz w:val="18"/>
      <w:szCs w:val="18"/>
    </w:rPr>
  </w:style>
  <w:style w:type="character" w:customStyle="1" w:styleId="Heading9Char">
    <w:name w:val="Heading 9 Char"/>
    <w:basedOn w:val="DefaultParagraphFont"/>
    <w:link w:val="Heading9"/>
    <w:uiPriority w:val="9"/>
    <w:semiHidden/>
    <w:rsid w:val="00580396"/>
    <w:rPr>
      <w:i/>
      <w:iCs/>
      <w:caps/>
      <w:spacing w:val="10"/>
      <w:sz w:val="18"/>
      <w:szCs w:val="18"/>
    </w:rPr>
  </w:style>
  <w:style w:type="paragraph" w:styleId="Title">
    <w:name w:val="Title"/>
    <w:basedOn w:val="Normal"/>
    <w:next w:val="Normal"/>
    <w:link w:val="TitleChar"/>
    <w:uiPriority w:val="10"/>
    <w:qFormat/>
    <w:rsid w:val="00580396"/>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580396"/>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58039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80396"/>
    <w:rPr>
      <w:caps/>
      <w:color w:val="595959" w:themeColor="text1" w:themeTint="A6"/>
      <w:spacing w:val="10"/>
      <w:sz w:val="21"/>
      <w:szCs w:val="21"/>
    </w:rPr>
  </w:style>
  <w:style w:type="paragraph" w:styleId="Quote">
    <w:name w:val="Quote"/>
    <w:basedOn w:val="Normal"/>
    <w:next w:val="Normal"/>
    <w:link w:val="QuoteChar"/>
    <w:uiPriority w:val="29"/>
    <w:qFormat/>
    <w:rsid w:val="00580396"/>
    <w:rPr>
      <w:i/>
      <w:iCs/>
      <w:sz w:val="24"/>
      <w:szCs w:val="24"/>
    </w:rPr>
  </w:style>
  <w:style w:type="character" w:customStyle="1" w:styleId="QuoteChar">
    <w:name w:val="Quote Char"/>
    <w:basedOn w:val="DefaultParagraphFont"/>
    <w:link w:val="Quote"/>
    <w:uiPriority w:val="29"/>
    <w:rsid w:val="00580396"/>
    <w:rPr>
      <w:i/>
      <w:iCs/>
      <w:sz w:val="24"/>
      <w:szCs w:val="24"/>
    </w:rPr>
  </w:style>
  <w:style w:type="paragraph" w:styleId="ListParagraph">
    <w:name w:val="List Paragraph"/>
    <w:basedOn w:val="Normal"/>
    <w:uiPriority w:val="34"/>
    <w:qFormat/>
    <w:rsid w:val="00EB13AB"/>
    <w:pPr>
      <w:ind w:left="720"/>
      <w:contextualSpacing/>
    </w:pPr>
  </w:style>
  <w:style w:type="character" w:styleId="IntenseEmphasis">
    <w:name w:val="Intense Emphasis"/>
    <w:uiPriority w:val="21"/>
    <w:qFormat/>
    <w:rsid w:val="00580396"/>
    <w:rPr>
      <w:b/>
      <w:bCs/>
      <w:caps/>
      <w:color w:val="294E1C" w:themeColor="accent1" w:themeShade="7F"/>
      <w:spacing w:val="10"/>
    </w:rPr>
  </w:style>
  <w:style w:type="paragraph" w:styleId="IntenseQuote">
    <w:name w:val="Intense Quote"/>
    <w:basedOn w:val="Normal"/>
    <w:next w:val="Normal"/>
    <w:link w:val="IntenseQuoteChar"/>
    <w:uiPriority w:val="30"/>
    <w:qFormat/>
    <w:rsid w:val="00580396"/>
    <w:pPr>
      <w:spacing w:before="240" w:after="240" w:line="240" w:lineRule="auto"/>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580396"/>
    <w:rPr>
      <w:color w:val="549E39" w:themeColor="accent1"/>
      <w:sz w:val="24"/>
      <w:szCs w:val="24"/>
    </w:rPr>
  </w:style>
  <w:style w:type="character" w:styleId="IntenseReference">
    <w:name w:val="Intense Reference"/>
    <w:uiPriority w:val="32"/>
    <w:qFormat/>
    <w:rsid w:val="00580396"/>
    <w:rPr>
      <w:b/>
      <w:bCs/>
      <w:i/>
      <w:iCs/>
      <w:caps/>
      <w:color w:val="549E39" w:themeColor="accent1"/>
    </w:rPr>
  </w:style>
  <w:style w:type="paragraph" w:styleId="Caption">
    <w:name w:val="caption"/>
    <w:basedOn w:val="Normal"/>
    <w:next w:val="Normal"/>
    <w:uiPriority w:val="35"/>
    <w:semiHidden/>
    <w:unhideWhenUsed/>
    <w:qFormat/>
    <w:rsid w:val="00580396"/>
    <w:rPr>
      <w:b/>
      <w:bCs/>
      <w:color w:val="3E762A" w:themeColor="accent1" w:themeShade="BF"/>
      <w:sz w:val="16"/>
      <w:szCs w:val="16"/>
    </w:rPr>
  </w:style>
  <w:style w:type="character" w:styleId="Strong">
    <w:name w:val="Strong"/>
    <w:uiPriority w:val="22"/>
    <w:qFormat/>
    <w:rsid w:val="00580396"/>
    <w:rPr>
      <w:b/>
      <w:bCs/>
    </w:rPr>
  </w:style>
  <w:style w:type="character" w:styleId="Emphasis">
    <w:name w:val="Emphasis"/>
    <w:uiPriority w:val="20"/>
    <w:qFormat/>
    <w:rsid w:val="00580396"/>
    <w:rPr>
      <w:caps/>
      <w:color w:val="294E1C" w:themeColor="accent1" w:themeShade="7F"/>
      <w:spacing w:val="5"/>
    </w:rPr>
  </w:style>
  <w:style w:type="paragraph" w:styleId="NoSpacing">
    <w:name w:val="No Spacing"/>
    <w:uiPriority w:val="1"/>
    <w:qFormat/>
    <w:rsid w:val="00580396"/>
    <w:pPr>
      <w:spacing w:after="0" w:line="240" w:lineRule="auto"/>
    </w:pPr>
  </w:style>
  <w:style w:type="character" w:styleId="SubtleEmphasis">
    <w:name w:val="Subtle Emphasis"/>
    <w:uiPriority w:val="19"/>
    <w:qFormat/>
    <w:rsid w:val="00580396"/>
    <w:rPr>
      <w:i/>
      <w:iCs/>
      <w:color w:val="294E1C" w:themeColor="accent1" w:themeShade="7F"/>
    </w:rPr>
  </w:style>
  <w:style w:type="character" w:styleId="SubtleReference">
    <w:name w:val="Subtle Reference"/>
    <w:uiPriority w:val="31"/>
    <w:qFormat/>
    <w:rsid w:val="00580396"/>
    <w:rPr>
      <w:b/>
      <w:bCs/>
      <w:color w:val="549E39" w:themeColor="accent1"/>
    </w:rPr>
  </w:style>
  <w:style w:type="character" w:styleId="BookTitle">
    <w:name w:val="Book Title"/>
    <w:uiPriority w:val="33"/>
    <w:qFormat/>
    <w:rsid w:val="00580396"/>
    <w:rPr>
      <w:b/>
      <w:bCs/>
      <w:i/>
      <w:iCs/>
      <w:spacing w:val="0"/>
    </w:rPr>
  </w:style>
  <w:style w:type="paragraph" w:styleId="TOCHeading">
    <w:name w:val="TOC Heading"/>
    <w:basedOn w:val="Heading1"/>
    <w:next w:val="Normal"/>
    <w:uiPriority w:val="39"/>
    <w:semiHidden/>
    <w:unhideWhenUsed/>
    <w:qFormat/>
    <w:rsid w:val="00580396"/>
    <w:pPr>
      <w:outlineLvl w:val="9"/>
    </w:pPr>
  </w:style>
  <w:style w:type="character" w:styleId="Hyperlink">
    <w:name w:val="Hyperlink"/>
    <w:basedOn w:val="DefaultParagraphFont"/>
    <w:uiPriority w:val="99"/>
    <w:unhideWhenUsed/>
    <w:rsid w:val="000936E2"/>
    <w:rPr>
      <w:color w:val="6B9F25" w:themeColor="hyperlink"/>
      <w:u w:val="single"/>
    </w:rPr>
  </w:style>
  <w:style w:type="character" w:styleId="UnresolvedMention">
    <w:name w:val="Unresolved Mention"/>
    <w:basedOn w:val="DefaultParagraphFont"/>
    <w:uiPriority w:val="99"/>
    <w:semiHidden/>
    <w:unhideWhenUsed/>
    <w:rsid w:val="00093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minohoney.us"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David Gee</dc:creator>
  <cp:keywords/>
  <dc:description/>
  <cp:lastModifiedBy>P. David Gee</cp:lastModifiedBy>
  <cp:revision>34</cp:revision>
  <dcterms:created xsi:type="dcterms:W3CDTF">2026-06-10T17:14:00Z</dcterms:created>
  <dcterms:modified xsi:type="dcterms:W3CDTF">2026-06-11T14:52:00Z</dcterms:modified>
</cp:coreProperties>
</file>