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FE5B" w14:textId="00E98187" w:rsidR="00B657BD" w:rsidRDefault="008D39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E2788" wp14:editId="0D57C54C">
                <wp:simplePos x="0" y="0"/>
                <wp:positionH relativeFrom="column">
                  <wp:posOffset>-600075</wp:posOffset>
                </wp:positionH>
                <wp:positionV relativeFrom="paragraph">
                  <wp:posOffset>182880</wp:posOffset>
                </wp:positionV>
                <wp:extent cx="9413875" cy="614045"/>
                <wp:effectExtent l="0" t="0" r="158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3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1870" w14:textId="77777777" w:rsidR="008D391E" w:rsidRDefault="008D391E" w:rsidP="00A86A7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D391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We will not take a deposit UNTIL you are approved AND you have seen the inside of the property. </w:t>
                            </w:r>
                          </w:p>
                          <w:p w14:paraId="09C45847" w14:textId="03BFFB58" w:rsidR="008D391E" w:rsidRPr="008D391E" w:rsidRDefault="008D391E" w:rsidP="00A86A7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D391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All houses ARE NOT move in ready. It will take approximately 3 weeks for the make ready process to be completed.</w:t>
                            </w:r>
                          </w:p>
                          <w:p w14:paraId="154B45F4" w14:textId="5A5611E9" w:rsidR="008D391E" w:rsidRPr="008D391E" w:rsidRDefault="008D391E" w:rsidP="00A86A7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D391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You must fill out application and be approved BEFORE you will be allowed to view the inside of the unit.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391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Viewing of Properties will be by appt only IF you are approved.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E2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14.4pt;width:741.2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">
                <v:textbox>
                  <w:txbxContent>
                    <w:p w14:paraId="771A1870" w14:textId="77777777" w:rsidR="008D391E" w:rsidRDefault="008D391E" w:rsidP="00A86A7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D391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We will not take a deposit UNTIL you are approved AND you have seen the inside of the property. </w:t>
                      </w:r>
                    </w:p>
                    <w:p w14:paraId="09C45847" w14:textId="03BFFB58" w:rsidR="008D391E" w:rsidRPr="008D391E" w:rsidRDefault="008D391E" w:rsidP="00A86A7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D391E">
                        <w:rPr>
                          <w:rFonts w:ascii="Arial Narrow" w:hAnsi="Arial Narrow"/>
                          <w:sz w:val="22"/>
                          <w:szCs w:val="22"/>
                        </w:rPr>
                        <w:t>All houses ARE NOT move in ready. It will take approximately 3 weeks for the make ready process to be completed.</w:t>
                      </w:r>
                    </w:p>
                    <w:p w14:paraId="154B45F4" w14:textId="5A5611E9" w:rsidR="008D391E" w:rsidRPr="008D391E" w:rsidRDefault="008D391E" w:rsidP="00A86A7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D391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You must fill out application and be approved BEFORE you will be allowed to view the inside of the unit.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D391E">
                        <w:rPr>
                          <w:rFonts w:ascii="Arial Narrow" w:hAnsi="Arial Narrow"/>
                          <w:sz w:val="22"/>
                          <w:szCs w:val="22"/>
                        </w:rPr>
                        <w:t>Viewing of Properties will be by appt only IF you are approved.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2613"/>
        <w:gridCol w:w="1618"/>
        <w:gridCol w:w="1619"/>
        <w:gridCol w:w="1619"/>
        <w:gridCol w:w="1619"/>
        <w:gridCol w:w="1619"/>
        <w:gridCol w:w="1619"/>
        <w:gridCol w:w="2614"/>
      </w:tblGrid>
      <w:tr w:rsidR="00A86A7E" w14:paraId="74548889" w14:textId="0F56A3A0" w:rsidTr="006260FC">
        <w:trPr>
          <w:trHeight w:val="296"/>
        </w:trPr>
        <w:tc>
          <w:tcPr>
            <w:tcW w:w="2613" w:type="dxa"/>
          </w:tcPr>
          <w:p w14:paraId="20514686" w14:textId="79CF0A04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1618" w:type="dxa"/>
          </w:tcPr>
          <w:p w14:paraId="690B345B" w14:textId="1AB78DE3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AREA</w:t>
            </w:r>
          </w:p>
        </w:tc>
        <w:tc>
          <w:tcPr>
            <w:tcW w:w="1619" w:type="dxa"/>
          </w:tcPr>
          <w:p w14:paraId="6DE4714E" w14:textId="260B0C4E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BED</w:t>
            </w:r>
          </w:p>
        </w:tc>
        <w:tc>
          <w:tcPr>
            <w:tcW w:w="1619" w:type="dxa"/>
          </w:tcPr>
          <w:p w14:paraId="6FDBACE7" w14:textId="7B1931D9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BATH</w:t>
            </w:r>
          </w:p>
        </w:tc>
        <w:tc>
          <w:tcPr>
            <w:tcW w:w="1619" w:type="dxa"/>
          </w:tcPr>
          <w:p w14:paraId="59850597" w14:textId="7FF76621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GARAGE</w:t>
            </w:r>
          </w:p>
        </w:tc>
        <w:tc>
          <w:tcPr>
            <w:tcW w:w="1619" w:type="dxa"/>
          </w:tcPr>
          <w:p w14:paraId="5F344C71" w14:textId="2E948661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OTHER</w:t>
            </w:r>
          </w:p>
        </w:tc>
        <w:tc>
          <w:tcPr>
            <w:tcW w:w="1619" w:type="dxa"/>
          </w:tcPr>
          <w:p w14:paraId="74657C0A" w14:textId="2811E660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RENT</w:t>
            </w:r>
          </w:p>
        </w:tc>
        <w:tc>
          <w:tcPr>
            <w:tcW w:w="2614" w:type="dxa"/>
          </w:tcPr>
          <w:p w14:paraId="09CFFA69" w14:textId="725BA27C" w:rsidR="00A86A7E" w:rsidRPr="00BA161D" w:rsidRDefault="00BA161D" w:rsidP="00BA16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A161D">
              <w:rPr>
                <w:rFonts w:ascii="Arial Narrow" w:hAnsi="Arial Narrow"/>
                <w:b/>
                <w:bCs/>
              </w:rPr>
              <w:t>LOCATION</w:t>
            </w:r>
          </w:p>
        </w:tc>
      </w:tr>
      <w:tr w:rsidR="00763856" w:rsidRPr="00A1292D" w14:paraId="7FF38CD3" w14:textId="77777777" w:rsidTr="006260FC">
        <w:tc>
          <w:tcPr>
            <w:tcW w:w="2613" w:type="dxa"/>
          </w:tcPr>
          <w:p w14:paraId="78AFBA06" w14:textId="241B3D67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1300 NW 101</w:t>
            </w:r>
            <w:r w:rsidRPr="00763856">
              <w:rPr>
                <w:rFonts w:ascii="Arial Narrow" w:hAnsi="Arial Narrow"/>
                <w:sz w:val="26"/>
                <w:szCs w:val="26"/>
                <w:vertAlign w:val="superscript"/>
              </w:rPr>
              <w:t>st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1618" w:type="dxa"/>
          </w:tcPr>
          <w:p w14:paraId="08807158" w14:textId="36F90046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NW OKC</w:t>
            </w:r>
          </w:p>
        </w:tc>
        <w:tc>
          <w:tcPr>
            <w:tcW w:w="1619" w:type="dxa"/>
          </w:tcPr>
          <w:p w14:paraId="4288E581" w14:textId="098C5420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18D969F8" w14:textId="504F424C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 ½</w:t>
            </w:r>
          </w:p>
        </w:tc>
        <w:tc>
          <w:tcPr>
            <w:tcW w:w="1619" w:type="dxa"/>
          </w:tcPr>
          <w:p w14:paraId="67C31C58" w14:textId="0BAF2B50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43234039" w14:textId="3C9D2953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3A63A5E5" w14:textId="1458E1A9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$925</w:t>
            </w:r>
          </w:p>
        </w:tc>
        <w:tc>
          <w:tcPr>
            <w:tcW w:w="2614" w:type="dxa"/>
          </w:tcPr>
          <w:p w14:paraId="1BE01E35" w14:textId="4C376315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West of Western and South of Hefner</w:t>
            </w:r>
          </w:p>
        </w:tc>
      </w:tr>
      <w:tr w:rsidR="004515FB" w:rsidRPr="00A1292D" w14:paraId="23C9CA14" w14:textId="77777777" w:rsidTr="006260FC">
        <w:tc>
          <w:tcPr>
            <w:tcW w:w="2613" w:type="dxa"/>
          </w:tcPr>
          <w:p w14:paraId="182E30B4" w14:textId="29C1D393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708 Flamingo Ave</w:t>
            </w:r>
          </w:p>
        </w:tc>
        <w:tc>
          <w:tcPr>
            <w:tcW w:w="1618" w:type="dxa"/>
          </w:tcPr>
          <w:p w14:paraId="3F0F2E1A" w14:textId="6AEBF009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NW OKC</w:t>
            </w:r>
          </w:p>
        </w:tc>
        <w:tc>
          <w:tcPr>
            <w:tcW w:w="1619" w:type="dxa"/>
          </w:tcPr>
          <w:p w14:paraId="44686493" w14:textId="78648100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73E74007" w14:textId="376421A0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 ½</w:t>
            </w:r>
          </w:p>
        </w:tc>
        <w:tc>
          <w:tcPr>
            <w:tcW w:w="1619" w:type="dxa"/>
          </w:tcPr>
          <w:p w14:paraId="09904A93" w14:textId="176AD756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7F89B0F5" w14:textId="2E698B88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605692C0" w14:textId="05AD41C4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$900</w:t>
            </w:r>
          </w:p>
        </w:tc>
        <w:tc>
          <w:tcPr>
            <w:tcW w:w="2614" w:type="dxa"/>
          </w:tcPr>
          <w:p w14:paraId="7448B161" w14:textId="569F2B8F" w:rsidR="004515FB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East of Council &amp; North of Melrose Ln</w:t>
            </w:r>
          </w:p>
        </w:tc>
      </w:tr>
      <w:tr w:rsidR="00763856" w:rsidRPr="00A1292D" w14:paraId="60992731" w14:textId="77777777" w:rsidTr="006260FC">
        <w:tc>
          <w:tcPr>
            <w:tcW w:w="2613" w:type="dxa"/>
          </w:tcPr>
          <w:p w14:paraId="314E24B6" w14:textId="67F19DE5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113 Allenhurst</w:t>
            </w:r>
          </w:p>
        </w:tc>
        <w:tc>
          <w:tcPr>
            <w:tcW w:w="1618" w:type="dxa"/>
          </w:tcPr>
          <w:p w14:paraId="1DE3298B" w14:textId="2A063F1F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NE OKC</w:t>
            </w:r>
          </w:p>
        </w:tc>
        <w:tc>
          <w:tcPr>
            <w:tcW w:w="1619" w:type="dxa"/>
          </w:tcPr>
          <w:p w14:paraId="2EBD81A7" w14:textId="4CB05BF5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3723BA70" w14:textId="3EA8DBEB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 ½</w:t>
            </w:r>
          </w:p>
        </w:tc>
        <w:tc>
          <w:tcPr>
            <w:tcW w:w="1619" w:type="dxa"/>
          </w:tcPr>
          <w:p w14:paraId="70B41B33" w14:textId="6F09AB39" w:rsidR="00763856" w:rsidRDefault="00763856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48845C6D" w14:textId="63ADC40A" w:rsidR="00763856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18DAA6D4" w14:textId="54951F4B" w:rsidR="00763856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$985</w:t>
            </w:r>
          </w:p>
        </w:tc>
        <w:tc>
          <w:tcPr>
            <w:tcW w:w="2614" w:type="dxa"/>
          </w:tcPr>
          <w:p w14:paraId="173ED5B4" w14:textId="770538E1" w:rsidR="00763856" w:rsidRDefault="004515FB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North of Hefner &amp; East Broadway Ext Service Rd</w:t>
            </w:r>
          </w:p>
        </w:tc>
      </w:tr>
      <w:tr w:rsidR="00213186" w:rsidRPr="00A1292D" w14:paraId="2FE8E77A" w14:textId="77777777" w:rsidTr="006260FC">
        <w:tc>
          <w:tcPr>
            <w:tcW w:w="2613" w:type="dxa"/>
          </w:tcPr>
          <w:p w14:paraId="40BA6FA3" w14:textId="1B890BCC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3348 NE 13</w:t>
            </w:r>
            <w:r w:rsidRPr="00673E14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618" w:type="dxa"/>
          </w:tcPr>
          <w:p w14:paraId="4B599542" w14:textId="68FCB7A5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NE OKC</w:t>
            </w:r>
          </w:p>
        </w:tc>
        <w:tc>
          <w:tcPr>
            <w:tcW w:w="1619" w:type="dxa"/>
          </w:tcPr>
          <w:p w14:paraId="46BFE509" w14:textId="03B06662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4AC25EDD" w14:textId="3EC2469A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1DBE20E6" w14:textId="3E1B62E7" w:rsidR="00213186" w:rsidRPr="00493B55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2200DE84" w14:textId="01E808DB" w:rsidR="00213186" w:rsidRPr="00493B55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166521F5" w14:textId="607DD513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$600</w:t>
            </w:r>
          </w:p>
        </w:tc>
        <w:tc>
          <w:tcPr>
            <w:tcW w:w="2614" w:type="dxa"/>
          </w:tcPr>
          <w:p w14:paraId="40D469BA" w14:textId="2006FD2D" w:rsidR="00213186" w:rsidRDefault="00673E14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East of Standish &amp; South of SE 16</w:t>
            </w:r>
            <w:r w:rsidRPr="00673E14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  <w:tr w:rsidR="007507EA" w:rsidRPr="00A1292D" w14:paraId="0E2DAD97" w14:textId="77777777" w:rsidTr="006260FC">
        <w:tc>
          <w:tcPr>
            <w:tcW w:w="2613" w:type="dxa"/>
          </w:tcPr>
          <w:p w14:paraId="2E0392E6" w14:textId="0ED83A74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3102 SE 19</w:t>
            </w:r>
            <w:r w:rsidRPr="003F626D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618" w:type="dxa"/>
          </w:tcPr>
          <w:p w14:paraId="5A27594B" w14:textId="7B4C0258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Del City</w:t>
            </w:r>
          </w:p>
        </w:tc>
        <w:tc>
          <w:tcPr>
            <w:tcW w:w="1619" w:type="dxa"/>
          </w:tcPr>
          <w:p w14:paraId="329986FC" w14:textId="3F12806C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46DC4B3C" w14:textId="740677E8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0C3F26E6" w14:textId="2DF60ADD" w:rsidR="007507EA" w:rsidRPr="00493B55" w:rsidRDefault="007507EA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93B55"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6DC400D2" w14:textId="60D9B3B8" w:rsidR="007507EA" w:rsidRPr="00493B55" w:rsidRDefault="007507EA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93B55"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13606C22" w14:textId="21C1375E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$875</w:t>
            </w:r>
          </w:p>
        </w:tc>
        <w:tc>
          <w:tcPr>
            <w:tcW w:w="2614" w:type="dxa"/>
          </w:tcPr>
          <w:p w14:paraId="752100EE" w14:textId="1550FADA" w:rsidR="007507EA" w:rsidRPr="00493B55" w:rsidRDefault="003F626D" w:rsidP="006260FC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19</w:t>
            </w:r>
            <w:r w:rsidRPr="003F626D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&amp; S Bryant</w:t>
            </w:r>
          </w:p>
        </w:tc>
      </w:tr>
      <w:tr w:rsidR="005047AA" w:rsidRPr="00A1292D" w14:paraId="50D66AB0" w14:textId="77777777" w:rsidTr="006260FC">
        <w:tc>
          <w:tcPr>
            <w:tcW w:w="2613" w:type="dxa"/>
          </w:tcPr>
          <w:p w14:paraId="0F749725" w14:textId="4DADACEC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229 W Michael </w:t>
            </w:r>
          </w:p>
        </w:tc>
        <w:tc>
          <w:tcPr>
            <w:tcW w:w="1618" w:type="dxa"/>
          </w:tcPr>
          <w:p w14:paraId="06D724A3" w14:textId="3B8923BF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MWC</w:t>
            </w:r>
          </w:p>
        </w:tc>
        <w:tc>
          <w:tcPr>
            <w:tcW w:w="1619" w:type="dxa"/>
          </w:tcPr>
          <w:p w14:paraId="06A52B8E" w14:textId="172D267D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09848BC1" w14:textId="3A051477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 ½</w:t>
            </w:r>
          </w:p>
        </w:tc>
        <w:tc>
          <w:tcPr>
            <w:tcW w:w="1619" w:type="dxa"/>
          </w:tcPr>
          <w:p w14:paraId="3CF22230" w14:textId="6FEEEF78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30165252" w14:textId="5FD97076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6360E72F" w14:textId="04693CC3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$900</w:t>
            </w:r>
          </w:p>
        </w:tc>
        <w:tc>
          <w:tcPr>
            <w:tcW w:w="2614" w:type="dxa"/>
          </w:tcPr>
          <w:p w14:paraId="1791D649" w14:textId="55786644" w:rsidR="005047AA" w:rsidRPr="00493B55" w:rsidRDefault="005047AA" w:rsidP="003F626D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East of Air Depot &amp; North of NE 10</w:t>
            </w:r>
            <w:r w:rsidRPr="005047AA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St</w:t>
            </w:r>
          </w:p>
        </w:tc>
      </w:tr>
      <w:tr w:rsidR="00B652F3" w:rsidRPr="00A1292D" w14:paraId="10D8EA9C" w14:textId="77777777" w:rsidTr="006260FC">
        <w:tc>
          <w:tcPr>
            <w:tcW w:w="2613" w:type="dxa"/>
          </w:tcPr>
          <w:p w14:paraId="0B941DB4" w14:textId="211EED6C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3309 SE56th </w:t>
            </w:r>
          </w:p>
        </w:tc>
        <w:tc>
          <w:tcPr>
            <w:tcW w:w="1618" w:type="dxa"/>
          </w:tcPr>
          <w:p w14:paraId="4C4440F5" w14:textId="7E14D026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OKC</w:t>
            </w:r>
          </w:p>
        </w:tc>
        <w:tc>
          <w:tcPr>
            <w:tcW w:w="1619" w:type="dxa"/>
          </w:tcPr>
          <w:p w14:paraId="717CC42D" w14:textId="0D51DC17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5A7EF5FF" w14:textId="5E5C8A92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 ½ </w:t>
            </w:r>
          </w:p>
        </w:tc>
        <w:tc>
          <w:tcPr>
            <w:tcW w:w="1619" w:type="dxa"/>
          </w:tcPr>
          <w:p w14:paraId="53B01705" w14:textId="1F3CFA2D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256FFD6D" w14:textId="622C2621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5459F392" w14:textId="22EC3856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$925</w:t>
            </w:r>
          </w:p>
        </w:tc>
        <w:tc>
          <w:tcPr>
            <w:tcW w:w="2614" w:type="dxa"/>
          </w:tcPr>
          <w:p w14:paraId="19E211FE" w14:textId="74DE957B" w:rsidR="00B652F3" w:rsidRPr="00493B55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North of SE 59</w:t>
            </w:r>
            <w:r w:rsidRPr="00857952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&amp; East of S. Bryant</w:t>
            </w:r>
          </w:p>
        </w:tc>
      </w:tr>
      <w:tr w:rsidR="00B652F3" w:rsidRPr="00A1292D" w14:paraId="26843829" w14:textId="77777777" w:rsidTr="006260FC">
        <w:tc>
          <w:tcPr>
            <w:tcW w:w="2613" w:type="dxa"/>
          </w:tcPr>
          <w:p w14:paraId="76718B64" w14:textId="6F0ABB1C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3009 SE 57</w:t>
            </w:r>
            <w:r w:rsidRPr="00857952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618" w:type="dxa"/>
          </w:tcPr>
          <w:p w14:paraId="7CFD7815" w14:textId="76DAD3DA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OKC</w:t>
            </w:r>
          </w:p>
        </w:tc>
        <w:tc>
          <w:tcPr>
            <w:tcW w:w="1619" w:type="dxa"/>
          </w:tcPr>
          <w:p w14:paraId="22F4A81B" w14:textId="43FE473C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1EE1CBA2" w14:textId="2E06409E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 ½ </w:t>
            </w:r>
          </w:p>
        </w:tc>
        <w:tc>
          <w:tcPr>
            <w:tcW w:w="1619" w:type="dxa"/>
          </w:tcPr>
          <w:p w14:paraId="574DC5B0" w14:textId="40E9C91C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5DA5E7D9" w14:textId="122E8ABB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40BC53C9" w14:textId="7DF828FB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$925</w:t>
            </w:r>
          </w:p>
        </w:tc>
        <w:tc>
          <w:tcPr>
            <w:tcW w:w="2614" w:type="dxa"/>
          </w:tcPr>
          <w:p w14:paraId="13E72BB3" w14:textId="7282D76F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North of SE 59</w:t>
            </w:r>
            <w:r w:rsidRPr="00857952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&amp; East of S. Bryant</w:t>
            </w:r>
          </w:p>
        </w:tc>
      </w:tr>
      <w:tr w:rsidR="00B652F3" w:rsidRPr="00A1292D" w14:paraId="49D071C1" w14:textId="77777777" w:rsidTr="006260FC">
        <w:tc>
          <w:tcPr>
            <w:tcW w:w="2613" w:type="dxa"/>
          </w:tcPr>
          <w:p w14:paraId="483625C9" w14:textId="3F4171DB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5217 Briarwood</w:t>
            </w:r>
          </w:p>
        </w:tc>
        <w:tc>
          <w:tcPr>
            <w:tcW w:w="1618" w:type="dxa"/>
          </w:tcPr>
          <w:p w14:paraId="60545913" w14:textId="29EF8A31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OKC</w:t>
            </w:r>
          </w:p>
        </w:tc>
        <w:tc>
          <w:tcPr>
            <w:tcW w:w="1619" w:type="dxa"/>
          </w:tcPr>
          <w:p w14:paraId="1EEA0B91" w14:textId="65954853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13CA6F1A" w14:textId="2B047FC8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5814FF7A" w14:textId="5CF6340F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619" w:type="dxa"/>
          </w:tcPr>
          <w:p w14:paraId="3899CCA7" w14:textId="397AF1B2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7F4CFAA1" w14:textId="212B3C9B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$850</w:t>
            </w:r>
          </w:p>
        </w:tc>
        <w:tc>
          <w:tcPr>
            <w:tcW w:w="2614" w:type="dxa"/>
          </w:tcPr>
          <w:p w14:paraId="4737FC22" w14:textId="6E1E0F58" w:rsidR="00B652F3" w:rsidRDefault="00B652F3" w:rsidP="00B652F3">
            <w:pPr>
              <w:contextualSpacing/>
              <w:rPr>
                <w:rFonts w:ascii="Arial Narrow" w:hAnsi="Arial Narrow"/>
                <w:sz w:val="26"/>
                <w:szCs w:val="26"/>
              </w:rPr>
            </w:pPr>
            <w:proofErr w:type="gramStart"/>
            <w:r>
              <w:rPr>
                <w:rFonts w:ascii="Arial Narrow" w:hAnsi="Arial Narrow"/>
                <w:sz w:val="26"/>
                <w:szCs w:val="26"/>
              </w:rPr>
              <w:t>East  of</w:t>
            </w:r>
            <w:proofErr w:type="gramEnd"/>
            <w:r>
              <w:rPr>
                <w:rFonts w:ascii="Arial Narrow" w:hAnsi="Arial Narrow"/>
                <w:sz w:val="26"/>
                <w:szCs w:val="26"/>
              </w:rPr>
              <w:t xml:space="preserve"> Bryant &amp; South of SE 44th</w:t>
            </w:r>
          </w:p>
        </w:tc>
      </w:tr>
      <w:tr w:rsidR="00B652F3" w:rsidRPr="00A1292D" w14:paraId="4460AF30" w14:textId="77777777" w:rsidTr="006260FC">
        <w:tc>
          <w:tcPr>
            <w:tcW w:w="2613" w:type="dxa"/>
          </w:tcPr>
          <w:p w14:paraId="59CF7652" w14:textId="248B9A2C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5005 S Fairmont</w:t>
            </w:r>
          </w:p>
        </w:tc>
        <w:tc>
          <w:tcPr>
            <w:tcW w:w="1618" w:type="dxa"/>
          </w:tcPr>
          <w:p w14:paraId="06FAFBDD" w14:textId="6891E319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OKC</w:t>
            </w:r>
          </w:p>
        </w:tc>
        <w:tc>
          <w:tcPr>
            <w:tcW w:w="1619" w:type="dxa"/>
          </w:tcPr>
          <w:p w14:paraId="659CF91E" w14:textId="3FC23144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</w:p>
        </w:tc>
        <w:tc>
          <w:tcPr>
            <w:tcW w:w="1619" w:type="dxa"/>
          </w:tcPr>
          <w:p w14:paraId="520DD7B4" w14:textId="3B131B9F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 ½ </w:t>
            </w:r>
          </w:p>
        </w:tc>
        <w:tc>
          <w:tcPr>
            <w:tcW w:w="1619" w:type="dxa"/>
          </w:tcPr>
          <w:p w14:paraId="7818EC21" w14:textId="67177E3F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6F27A2B9" w14:textId="2477D0D5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None</w:t>
            </w:r>
          </w:p>
        </w:tc>
        <w:tc>
          <w:tcPr>
            <w:tcW w:w="1619" w:type="dxa"/>
          </w:tcPr>
          <w:p w14:paraId="5E9A9368" w14:textId="535F5CA9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$925</w:t>
            </w:r>
          </w:p>
        </w:tc>
        <w:tc>
          <w:tcPr>
            <w:tcW w:w="2614" w:type="dxa"/>
          </w:tcPr>
          <w:p w14:paraId="6B15F4E4" w14:textId="6366879E" w:rsidR="00B652F3" w:rsidRDefault="00B652F3" w:rsidP="00B652F3">
            <w:pPr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East of Eastern &amp; South of SE 44</w:t>
            </w:r>
            <w:r w:rsidRPr="003C7A0F">
              <w:rPr>
                <w:rFonts w:ascii="Arial Narrow" w:hAnsi="Arial Narrow"/>
                <w:sz w:val="26"/>
                <w:szCs w:val="26"/>
                <w:vertAlign w:val="superscript"/>
              </w:rPr>
              <w:t>th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</w:tbl>
    <w:p w14:paraId="6604DA3D" w14:textId="77777777" w:rsidR="00B9588F" w:rsidRPr="0066457A" w:rsidRDefault="00B9588F" w:rsidP="0066457A">
      <w:pPr>
        <w:tabs>
          <w:tab w:val="left" w:pos="1260"/>
        </w:tabs>
      </w:pPr>
    </w:p>
    <w:sectPr w:rsidR="00B9588F" w:rsidRPr="0066457A" w:rsidSect="005310D7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0531" w14:textId="77777777" w:rsidR="00C95275" w:rsidRDefault="00C95275" w:rsidP="00B657BD">
      <w:pPr>
        <w:spacing w:after="0" w:line="240" w:lineRule="auto"/>
      </w:pPr>
      <w:r>
        <w:separator/>
      </w:r>
    </w:p>
  </w:endnote>
  <w:endnote w:type="continuationSeparator" w:id="0">
    <w:p w14:paraId="78BF3A17" w14:textId="77777777" w:rsidR="00C95275" w:rsidRDefault="00C95275" w:rsidP="00B6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C714" w14:textId="3EE3B383" w:rsidR="00981A80" w:rsidRDefault="00981A80" w:rsidP="004515FB">
    <w:pPr>
      <w:pStyle w:val="Footer"/>
      <w:tabs>
        <w:tab w:val="clear" w:pos="9360"/>
        <w:tab w:val="left" w:pos="5823"/>
      </w:tabs>
    </w:pPr>
    <w:r>
      <w:tab/>
    </w:r>
    <w:r w:rsidR="004515F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92AA" w14:textId="69BB997E" w:rsidR="004515FB" w:rsidRDefault="004515F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0C4E" w14:textId="77777777" w:rsidR="00C95275" w:rsidRDefault="00C95275" w:rsidP="00B657BD">
      <w:pPr>
        <w:spacing w:after="0" w:line="240" w:lineRule="auto"/>
      </w:pPr>
      <w:r>
        <w:separator/>
      </w:r>
    </w:p>
  </w:footnote>
  <w:footnote w:type="continuationSeparator" w:id="0">
    <w:p w14:paraId="125BC3BB" w14:textId="77777777" w:rsidR="00C95275" w:rsidRDefault="00C95275" w:rsidP="00B6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294" w14:textId="77777777" w:rsidR="00B96E43" w:rsidRDefault="00B96E43">
    <w:pPr>
      <w:pStyle w:val="Header"/>
      <w:contextualSpacing/>
      <w:rPr>
        <w:rFonts w:ascii="Arial Narrow" w:hAnsi="Arial Narrow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475C" w14:textId="6FF6C557" w:rsidR="004515FB" w:rsidRDefault="004515FB" w:rsidP="004515FB">
    <w:pPr>
      <w:pStyle w:val="Header"/>
      <w:contextualSpacing/>
    </w:pPr>
    <w:r w:rsidRPr="00B657BD">
      <w:rPr>
        <w:rFonts w:ascii="Arial Narrow" w:hAnsi="Arial Narrow"/>
        <w:sz w:val="22"/>
        <w:szCs w:val="22"/>
      </w:rPr>
      <w:t>½ Due Upfront: Remainder due at lease signing</w:t>
    </w:r>
    <w:r>
      <w:t xml:space="preserve"> </w:t>
    </w:r>
    <w:r>
      <w:ptab w:relativeTo="margin" w:alignment="center" w:leader="none"/>
    </w:r>
    <w:r w:rsidRPr="00B657BD">
      <w:rPr>
        <w:rFonts w:ascii="Arial Narrow" w:hAnsi="Arial Narrow"/>
        <w:b/>
        <w:bCs/>
        <w:sz w:val="28"/>
        <w:szCs w:val="28"/>
      </w:rPr>
      <w:t>Oakwood Property Management</w:t>
    </w:r>
    <w:r>
      <w:ptab w:relativeTo="margin" w:alignment="right" w:leader="none"/>
    </w:r>
    <w:r>
      <w:t>S</w:t>
    </w:r>
    <w:r w:rsidR="005310D7">
      <w:t>ummer</w:t>
    </w:r>
    <w:r>
      <w:t xml:space="preserve"> 2025</w:t>
    </w:r>
  </w:p>
  <w:p w14:paraId="32547A9F" w14:textId="77777777" w:rsidR="005310D7" w:rsidRPr="00B657BD" w:rsidRDefault="005310D7" w:rsidP="005310D7">
    <w:pPr>
      <w:pStyle w:val="Header"/>
      <w:contextualSpacing/>
      <w:rPr>
        <w:rFonts w:ascii="Arial Narrow" w:hAnsi="Arial Narrow"/>
        <w:sz w:val="22"/>
        <w:szCs w:val="22"/>
      </w:rPr>
    </w:pPr>
    <w:r w:rsidRPr="00B657BD">
      <w:rPr>
        <w:rFonts w:ascii="Arial Narrow" w:hAnsi="Arial Narrow"/>
        <w:sz w:val="22"/>
        <w:szCs w:val="22"/>
      </w:rPr>
      <w:t>$400 Deposit (Unless Marked Otherwise)</w:t>
    </w:r>
  </w:p>
  <w:p w14:paraId="6DA65A41" w14:textId="77777777" w:rsidR="004515FB" w:rsidRDefault="004515FB" w:rsidP="004515FB">
    <w:pPr>
      <w:pStyle w:val="Header"/>
      <w:contextualSpacing/>
    </w:pPr>
    <w:r>
      <w:tab/>
    </w:r>
    <w:r>
      <w:tab/>
    </w:r>
    <w:r>
      <w:tab/>
      <w:t xml:space="preserve">                 Section 8 Accepted</w:t>
    </w:r>
  </w:p>
  <w:p w14:paraId="21E1548B" w14:textId="77777777" w:rsidR="004515FB" w:rsidRDefault="004515FB" w:rsidP="004515FB">
    <w:pPr>
      <w:pStyle w:val="Header"/>
      <w:contextualSpacing/>
    </w:pPr>
    <w:r>
      <w:t>No Deposit for Fire/Police/Retired Military                                                                                                                                          No Application Fee</w:t>
    </w:r>
  </w:p>
  <w:p w14:paraId="068A810B" w14:textId="77777777" w:rsidR="004515FB" w:rsidRPr="004515FB" w:rsidRDefault="004515FB" w:rsidP="00451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BD"/>
    <w:rsid w:val="000026BE"/>
    <w:rsid w:val="000934B1"/>
    <w:rsid w:val="00094257"/>
    <w:rsid w:val="000B5529"/>
    <w:rsid w:val="000F116C"/>
    <w:rsid w:val="000F439E"/>
    <w:rsid w:val="0012343E"/>
    <w:rsid w:val="00162707"/>
    <w:rsid w:val="001A0BDA"/>
    <w:rsid w:val="001B202C"/>
    <w:rsid w:val="00213186"/>
    <w:rsid w:val="0027796E"/>
    <w:rsid w:val="0028338B"/>
    <w:rsid w:val="002B48D5"/>
    <w:rsid w:val="002E1209"/>
    <w:rsid w:val="00307E4B"/>
    <w:rsid w:val="003C7A0F"/>
    <w:rsid w:val="003F626D"/>
    <w:rsid w:val="00420E0F"/>
    <w:rsid w:val="004515FB"/>
    <w:rsid w:val="0045340E"/>
    <w:rsid w:val="00467552"/>
    <w:rsid w:val="00493B55"/>
    <w:rsid w:val="00493D3A"/>
    <w:rsid w:val="004C7261"/>
    <w:rsid w:val="004E4835"/>
    <w:rsid w:val="005047AA"/>
    <w:rsid w:val="005310D7"/>
    <w:rsid w:val="00543407"/>
    <w:rsid w:val="00550D3A"/>
    <w:rsid w:val="0057396B"/>
    <w:rsid w:val="00590855"/>
    <w:rsid w:val="005A7D54"/>
    <w:rsid w:val="006161DF"/>
    <w:rsid w:val="006260FC"/>
    <w:rsid w:val="0066457A"/>
    <w:rsid w:val="00673E14"/>
    <w:rsid w:val="006910E2"/>
    <w:rsid w:val="00740472"/>
    <w:rsid w:val="007507EA"/>
    <w:rsid w:val="00763856"/>
    <w:rsid w:val="008137D1"/>
    <w:rsid w:val="00857952"/>
    <w:rsid w:val="008D391E"/>
    <w:rsid w:val="0092089E"/>
    <w:rsid w:val="00973D3F"/>
    <w:rsid w:val="0098153F"/>
    <w:rsid w:val="00981A80"/>
    <w:rsid w:val="009E3B21"/>
    <w:rsid w:val="00A01A49"/>
    <w:rsid w:val="00A061B6"/>
    <w:rsid w:val="00A1292D"/>
    <w:rsid w:val="00A32168"/>
    <w:rsid w:val="00A86A7E"/>
    <w:rsid w:val="00AD3C1C"/>
    <w:rsid w:val="00AE64EE"/>
    <w:rsid w:val="00B033D5"/>
    <w:rsid w:val="00B60EE6"/>
    <w:rsid w:val="00B652F3"/>
    <w:rsid w:val="00B657BD"/>
    <w:rsid w:val="00B71B1C"/>
    <w:rsid w:val="00B8064C"/>
    <w:rsid w:val="00B9588F"/>
    <w:rsid w:val="00B96E43"/>
    <w:rsid w:val="00BA161D"/>
    <w:rsid w:val="00C073FE"/>
    <w:rsid w:val="00C73DC7"/>
    <w:rsid w:val="00C95275"/>
    <w:rsid w:val="00CC3D4F"/>
    <w:rsid w:val="00D207C4"/>
    <w:rsid w:val="00D834BC"/>
    <w:rsid w:val="00DA5A0F"/>
    <w:rsid w:val="00DC296E"/>
    <w:rsid w:val="00DE5150"/>
    <w:rsid w:val="00E27AFF"/>
    <w:rsid w:val="00EC38AF"/>
    <w:rsid w:val="00F22745"/>
    <w:rsid w:val="00F53A90"/>
    <w:rsid w:val="00F719A7"/>
    <w:rsid w:val="00F928B7"/>
    <w:rsid w:val="00FA5C58"/>
    <w:rsid w:val="00FD32F4"/>
    <w:rsid w:val="00FF2D9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C336"/>
  <w15:chartTrackingRefBased/>
  <w15:docId w15:val="{447DEC59-C332-4402-8497-A8D7F104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8B"/>
  </w:style>
  <w:style w:type="paragraph" w:styleId="Heading1">
    <w:name w:val="heading 1"/>
    <w:basedOn w:val="Normal"/>
    <w:next w:val="Normal"/>
    <w:link w:val="Heading1Char"/>
    <w:uiPriority w:val="9"/>
    <w:qFormat/>
    <w:rsid w:val="00B65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7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BD"/>
  </w:style>
  <w:style w:type="paragraph" w:styleId="Footer">
    <w:name w:val="footer"/>
    <w:basedOn w:val="Normal"/>
    <w:link w:val="FooterChar"/>
    <w:uiPriority w:val="99"/>
    <w:unhideWhenUsed/>
    <w:rsid w:val="00B6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BD"/>
  </w:style>
  <w:style w:type="table" w:styleId="TableGrid">
    <w:name w:val="Table Grid"/>
    <w:basedOn w:val="TableNormal"/>
    <w:uiPriority w:val="39"/>
    <w:rsid w:val="00A8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Nelson</dc:creator>
  <cp:keywords/>
  <dc:description/>
  <cp:lastModifiedBy>Latonya Nelson</cp:lastModifiedBy>
  <cp:revision>33</cp:revision>
  <cp:lastPrinted>2025-06-04T14:04:00Z</cp:lastPrinted>
  <dcterms:created xsi:type="dcterms:W3CDTF">2025-02-21T19:45:00Z</dcterms:created>
  <dcterms:modified xsi:type="dcterms:W3CDTF">2025-06-04T14:07:00Z</dcterms:modified>
</cp:coreProperties>
</file>