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6AF0" w14:textId="77777777" w:rsidR="006F3D59" w:rsidRDefault="006F3D59" w:rsidP="006F3D59">
      <w:pPr>
        <w:rPr>
          <w:b/>
          <w:bCs/>
          <w:u w:val="single"/>
        </w:rPr>
      </w:pPr>
      <w:r>
        <w:rPr>
          <w:b/>
          <w:bCs/>
          <w:u w:val="single"/>
        </w:rPr>
        <w:t>NEW RATES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8"/>
        <w:gridCol w:w="66"/>
        <w:gridCol w:w="66"/>
        <w:gridCol w:w="66"/>
        <w:gridCol w:w="81"/>
      </w:tblGrid>
      <w:tr w:rsidR="006F3D59" w:rsidRPr="00204561" w14:paraId="2CAD471C" w14:textId="77777777" w:rsidTr="00E70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D6D40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sz w:val="18"/>
                <w:szCs w:val="18"/>
              </w:rPr>
              <w:t>Water rates will increase over a five-year period instead of a large one-time adjustment.</w:t>
            </w:r>
          </w:p>
        </w:tc>
        <w:tc>
          <w:tcPr>
            <w:tcW w:w="0" w:type="auto"/>
            <w:vAlign w:val="center"/>
            <w:hideMark/>
          </w:tcPr>
          <w:p w14:paraId="06F51808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A78DFA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E6398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FABC4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3D59" w:rsidRPr="00204561" w14:paraId="163BC232" w14:textId="77777777" w:rsidTr="00E70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DCCE6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FA5138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0ABDFD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277B70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B73A13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3D59" w:rsidRPr="00204561" w14:paraId="2D78198D" w14:textId="77777777" w:rsidTr="00E70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5C319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6A3BC5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83DC6B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ABC545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BBBE16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3D59" w:rsidRPr="00204561" w14:paraId="755A8A8F" w14:textId="77777777" w:rsidTr="00E70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8FB9A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594ACB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970D5D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E8646E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6199EB" w14:textId="77777777" w:rsidR="006F3D59" w:rsidRPr="00204561" w:rsidRDefault="006F3D59" w:rsidP="00E7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D828704" w14:textId="77777777" w:rsidR="006F3D59" w:rsidRDefault="006F3D59" w:rsidP="006F3D59"/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1692"/>
        <w:gridCol w:w="1584"/>
        <w:gridCol w:w="1520"/>
        <w:gridCol w:w="1522"/>
        <w:gridCol w:w="1522"/>
        <w:gridCol w:w="1520"/>
      </w:tblGrid>
      <w:tr w:rsidR="006F3D59" w14:paraId="070C1069" w14:textId="77777777" w:rsidTr="00E70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4" w:type="pct"/>
            <w:noWrap/>
          </w:tcPr>
          <w:p w14:paraId="038260A0" w14:textId="77777777" w:rsidR="006F3D59" w:rsidRDefault="006F3D59" w:rsidP="00E70FD6">
            <w:r>
              <w:t>Meter Size</w:t>
            </w:r>
          </w:p>
        </w:tc>
        <w:tc>
          <w:tcPr>
            <w:tcW w:w="846" w:type="pct"/>
          </w:tcPr>
          <w:p w14:paraId="3BC18822" w14:textId="77777777" w:rsidR="006F3D59" w:rsidRDefault="006F3D59" w:rsidP="00E70FD6">
            <w:r>
              <w:t>Proposed Base Charge for Yr 1</w:t>
            </w:r>
          </w:p>
        </w:tc>
        <w:tc>
          <w:tcPr>
            <w:tcW w:w="812" w:type="pct"/>
          </w:tcPr>
          <w:p w14:paraId="0A904810" w14:textId="77777777" w:rsidR="006F3D59" w:rsidRDefault="006F3D59" w:rsidP="00E70FD6">
            <w:r>
              <w:t>Year 2</w:t>
            </w:r>
          </w:p>
        </w:tc>
        <w:tc>
          <w:tcPr>
            <w:tcW w:w="813" w:type="pct"/>
          </w:tcPr>
          <w:p w14:paraId="5C293AC5" w14:textId="77777777" w:rsidR="006F3D59" w:rsidRDefault="006F3D59" w:rsidP="00E70FD6">
            <w:r>
              <w:t>Year 3</w:t>
            </w:r>
          </w:p>
        </w:tc>
        <w:tc>
          <w:tcPr>
            <w:tcW w:w="813" w:type="pct"/>
          </w:tcPr>
          <w:p w14:paraId="34C070CF" w14:textId="77777777" w:rsidR="006F3D59" w:rsidRDefault="006F3D59" w:rsidP="00E70FD6">
            <w:r>
              <w:t>Year 4</w:t>
            </w:r>
          </w:p>
        </w:tc>
        <w:tc>
          <w:tcPr>
            <w:tcW w:w="812" w:type="pct"/>
          </w:tcPr>
          <w:p w14:paraId="55B4757D" w14:textId="77777777" w:rsidR="006F3D59" w:rsidRDefault="006F3D59" w:rsidP="00E70FD6">
            <w:r>
              <w:t>Year 5</w:t>
            </w:r>
          </w:p>
        </w:tc>
      </w:tr>
      <w:tr w:rsidR="006F3D59" w14:paraId="30A5E807" w14:textId="77777777" w:rsidTr="00E70FD6">
        <w:tc>
          <w:tcPr>
            <w:tcW w:w="904" w:type="pct"/>
            <w:noWrap/>
          </w:tcPr>
          <w:p w14:paraId="74DE3102" w14:textId="77777777" w:rsidR="006F3D59" w:rsidRDefault="006F3D59" w:rsidP="00E70FD6"/>
        </w:tc>
        <w:tc>
          <w:tcPr>
            <w:tcW w:w="846" w:type="pct"/>
          </w:tcPr>
          <w:p w14:paraId="0B0B01A8" w14:textId="77777777" w:rsidR="006F3D59" w:rsidRDefault="006F3D59" w:rsidP="00E70FD6">
            <w:pPr>
              <w:rPr>
                <w:rStyle w:val="SubtleEmphasis"/>
              </w:rPr>
            </w:pPr>
          </w:p>
        </w:tc>
        <w:tc>
          <w:tcPr>
            <w:tcW w:w="812" w:type="pct"/>
          </w:tcPr>
          <w:p w14:paraId="404B3B1C" w14:textId="77777777" w:rsidR="006F3D59" w:rsidRDefault="006F3D59" w:rsidP="00E70FD6"/>
        </w:tc>
        <w:tc>
          <w:tcPr>
            <w:tcW w:w="813" w:type="pct"/>
          </w:tcPr>
          <w:p w14:paraId="21277A0A" w14:textId="77777777" w:rsidR="006F3D59" w:rsidRDefault="006F3D59" w:rsidP="00E70FD6"/>
        </w:tc>
        <w:tc>
          <w:tcPr>
            <w:tcW w:w="813" w:type="pct"/>
          </w:tcPr>
          <w:p w14:paraId="02819572" w14:textId="77777777" w:rsidR="006F3D59" w:rsidRDefault="006F3D59" w:rsidP="00E70FD6"/>
        </w:tc>
        <w:tc>
          <w:tcPr>
            <w:tcW w:w="812" w:type="pct"/>
          </w:tcPr>
          <w:p w14:paraId="404EF8A7" w14:textId="77777777" w:rsidR="006F3D59" w:rsidRDefault="006F3D59" w:rsidP="00E70FD6"/>
        </w:tc>
      </w:tr>
      <w:tr w:rsidR="006F3D59" w14:paraId="3AA78268" w14:textId="77777777" w:rsidTr="00E70FD6">
        <w:tc>
          <w:tcPr>
            <w:tcW w:w="904" w:type="pct"/>
            <w:noWrap/>
          </w:tcPr>
          <w:p w14:paraId="67C3185A" w14:textId="77777777" w:rsidR="006F3D59" w:rsidRDefault="006F3D59" w:rsidP="00E70FD6">
            <w:r>
              <w:t>¾”</w:t>
            </w:r>
          </w:p>
        </w:tc>
        <w:tc>
          <w:tcPr>
            <w:tcW w:w="846" w:type="pct"/>
          </w:tcPr>
          <w:p w14:paraId="428A1D4C" w14:textId="77777777" w:rsidR="006F3D59" w:rsidRDefault="006F3D59" w:rsidP="00E70FD6">
            <w:pPr>
              <w:pStyle w:val="DecimalAligned"/>
            </w:pPr>
            <w:r>
              <w:t>$31.96</w:t>
            </w:r>
          </w:p>
        </w:tc>
        <w:tc>
          <w:tcPr>
            <w:tcW w:w="812" w:type="pct"/>
          </w:tcPr>
          <w:p w14:paraId="4792B5F7" w14:textId="77777777" w:rsidR="006F3D59" w:rsidRDefault="006F3D59" w:rsidP="00E70FD6">
            <w:pPr>
              <w:pStyle w:val="DecimalAligned"/>
            </w:pPr>
            <w:r>
              <w:t>35.16</w:t>
            </w:r>
          </w:p>
        </w:tc>
        <w:tc>
          <w:tcPr>
            <w:tcW w:w="813" w:type="pct"/>
          </w:tcPr>
          <w:p w14:paraId="625B97E6" w14:textId="77777777" w:rsidR="006F3D59" w:rsidRDefault="006F3D59" w:rsidP="00E70FD6">
            <w:pPr>
              <w:pStyle w:val="DecimalAligned"/>
            </w:pPr>
            <w:r>
              <w:t>38.68</w:t>
            </w:r>
          </w:p>
        </w:tc>
        <w:tc>
          <w:tcPr>
            <w:tcW w:w="813" w:type="pct"/>
          </w:tcPr>
          <w:p w14:paraId="6EDF4438" w14:textId="77777777" w:rsidR="006F3D59" w:rsidRDefault="006F3D59" w:rsidP="00E70FD6">
            <w:pPr>
              <w:pStyle w:val="DecimalAligned"/>
            </w:pPr>
            <w:r>
              <w:t>42.55</w:t>
            </w:r>
          </w:p>
        </w:tc>
        <w:tc>
          <w:tcPr>
            <w:tcW w:w="812" w:type="pct"/>
          </w:tcPr>
          <w:p w14:paraId="0649073E" w14:textId="77777777" w:rsidR="006F3D59" w:rsidRDefault="006F3D59" w:rsidP="00E70FD6">
            <w:pPr>
              <w:pStyle w:val="DecimalAligned"/>
            </w:pPr>
            <w:r>
              <w:t>46.81</w:t>
            </w:r>
          </w:p>
        </w:tc>
      </w:tr>
      <w:tr w:rsidR="006F3D59" w14:paraId="0F91F940" w14:textId="77777777" w:rsidTr="00E70FD6">
        <w:tc>
          <w:tcPr>
            <w:tcW w:w="904" w:type="pct"/>
            <w:noWrap/>
          </w:tcPr>
          <w:p w14:paraId="4742A20D" w14:textId="77777777" w:rsidR="006F3D59" w:rsidRDefault="006F3D59" w:rsidP="00E70FD6">
            <w:r>
              <w:t>1”</w:t>
            </w:r>
          </w:p>
        </w:tc>
        <w:tc>
          <w:tcPr>
            <w:tcW w:w="846" w:type="pct"/>
          </w:tcPr>
          <w:p w14:paraId="624FB77E" w14:textId="77777777" w:rsidR="006F3D59" w:rsidRDefault="006F3D59" w:rsidP="00E70FD6">
            <w:pPr>
              <w:pStyle w:val="DecimalAligned"/>
            </w:pPr>
            <w:r>
              <w:t>48.25</w:t>
            </w:r>
          </w:p>
        </w:tc>
        <w:tc>
          <w:tcPr>
            <w:tcW w:w="812" w:type="pct"/>
          </w:tcPr>
          <w:p w14:paraId="273F56C2" w14:textId="77777777" w:rsidR="006F3D59" w:rsidRDefault="006F3D59" w:rsidP="00E70FD6">
            <w:pPr>
              <w:pStyle w:val="DecimalAligned"/>
            </w:pPr>
            <w:r>
              <w:t>53.08</w:t>
            </w:r>
          </w:p>
        </w:tc>
        <w:tc>
          <w:tcPr>
            <w:tcW w:w="813" w:type="pct"/>
          </w:tcPr>
          <w:p w14:paraId="43F01F3A" w14:textId="77777777" w:rsidR="006F3D59" w:rsidRDefault="006F3D59" w:rsidP="00E70FD6">
            <w:pPr>
              <w:pStyle w:val="DecimalAligned"/>
            </w:pPr>
            <w:r>
              <w:t>58.39</w:t>
            </w:r>
          </w:p>
        </w:tc>
        <w:tc>
          <w:tcPr>
            <w:tcW w:w="813" w:type="pct"/>
          </w:tcPr>
          <w:p w14:paraId="6DEACA3C" w14:textId="77777777" w:rsidR="006F3D59" w:rsidRDefault="006F3D59" w:rsidP="00E70FD6">
            <w:pPr>
              <w:pStyle w:val="DecimalAligned"/>
            </w:pPr>
            <w:r>
              <w:t>64.20</w:t>
            </w:r>
          </w:p>
        </w:tc>
        <w:tc>
          <w:tcPr>
            <w:tcW w:w="812" w:type="pct"/>
          </w:tcPr>
          <w:p w14:paraId="635D5BA7" w14:textId="77777777" w:rsidR="006F3D59" w:rsidRDefault="006F3D59" w:rsidP="00E70FD6">
            <w:pPr>
              <w:pStyle w:val="DecimalAligned"/>
            </w:pPr>
            <w:r>
              <w:t>70.62</w:t>
            </w:r>
          </w:p>
        </w:tc>
      </w:tr>
      <w:tr w:rsidR="006F3D59" w14:paraId="61689871" w14:textId="77777777" w:rsidTr="00E70FD6">
        <w:tc>
          <w:tcPr>
            <w:tcW w:w="904" w:type="pct"/>
            <w:noWrap/>
          </w:tcPr>
          <w:p w14:paraId="6E13CF15" w14:textId="77777777" w:rsidR="006F3D59" w:rsidRDefault="006F3D59" w:rsidP="00E70FD6">
            <w:r>
              <w:t>1.5”</w:t>
            </w:r>
          </w:p>
        </w:tc>
        <w:tc>
          <w:tcPr>
            <w:tcW w:w="846" w:type="pct"/>
          </w:tcPr>
          <w:p w14:paraId="08FC59BC" w14:textId="77777777" w:rsidR="006F3D59" w:rsidRDefault="006F3D59" w:rsidP="00E70FD6">
            <w:pPr>
              <w:pStyle w:val="DecimalAligned"/>
            </w:pPr>
            <w:r>
              <w:t>96.49</w:t>
            </w:r>
          </w:p>
        </w:tc>
        <w:tc>
          <w:tcPr>
            <w:tcW w:w="812" w:type="pct"/>
          </w:tcPr>
          <w:p w14:paraId="540B3393" w14:textId="77777777" w:rsidR="006F3D59" w:rsidRDefault="006F3D59" w:rsidP="00E70FD6">
            <w:pPr>
              <w:pStyle w:val="DecimalAligned"/>
            </w:pPr>
            <w:r>
              <w:t>106.14</w:t>
            </w:r>
          </w:p>
        </w:tc>
        <w:tc>
          <w:tcPr>
            <w:tcW w:w="813" w:type="pct"/>
          </w:tcPr>
          <w:p w14:paraId="4CC663AC" w14:textId="77777777" w:rsidR="006F3D59" w:rsidRDefault="006F3D59" w:rsidP="00E70FD6">
            <w:pPr>
              <w:pStyle w:val="DecimalAligned"/>
            </w:pPr>
            <w:r>
              <w:t>116.75</w:t>
            </w:r>
          </w:p>
        </w:tc>
        <w:tc>
          <w:tcPr>
            <w:tcW w:w="813" w:type="pct"/>
          </w:tcPr>
          <w:p w14:paraId="71EA8C15" w14:textId="77777777" w:rsidR="006F3D59" w:rsidRDefault="006F3D59" w:rsidP="00E70FD6">
            <w:pPr>
              <w:pStyle w:val="DecimalAligned"/>
            </w:pPr>
            <w:r>
              <w:t>128.41</w:t>
            </w:r>
          </w:p>
        </w:tc>
        <w:tc>
          <w:tcPr>
            <w:tcW w:w="812" w:type="pct"/>
          </w:tcPr>
          <w:p w14:paraId="4E0CF039" w14:textId="77777777" w:rsidR="006F3D59" w:rsidRDefault="006F3D59" w:rsidP="00E70FD6">
            <w:pPr>
              <w:pStyle w:val="DecimalAligned"/>
            </w:pPr>
            <w:r>
              <w:t>141.25</w:t>
            </w:r>
          </w:p>
        </w:tc>
      </w:tr>
      <w:tr w:rsidR="006F3D59" w14:paraId="0E8AB0E5" w14:textId="77777777" w:rsidTr="00E70FD6">
        <w:tc>
          <w:tcPr>
            <w:tcW w:w="904" w:type="pct"/>
            <w:noWrap/>
          </w:tcPr>
          <w:p w14:paraId="04AD09CF" w14:textId="77777777" w:rsidR="006F3D59" w:rsidRDefault="006F3D59" w:rsidP="00E70FD6">
            <w:r>
              <w:t>2”</w:t>
            </w:r>
          </w:p>
        </w:tc>
        <w:tc>
          <w:tcPr>
            <w:tcW w:w="846" w:type="pct"/>
          </w:tcPr>
          <w:p w14:paraId="7D5E0D1B" w14:textId="77777777" w:rsidR="006F3D59" w:rsidRDefault="006F3D59" w:rsidP="00E70FD6">
            <w:pPr>
              <w:pStyle w:val="DecimalAligned"/>
            </w:pPr>
            <w:r>
              <w:t>154.39</w:t>
            </w:r>
          </w:p>
        </w:tc>
        <w:tc>
          <w:tcPr>
            <w:tcW w:w="812" w:type="pct"/>
          </w:tcPr>
          <w:p w14:paraId="1C29CCE2" w14:textId="77777777" w:rsidR="006F3D59" w:rsidRDefault="006F3D59" w:rsidP="00E70FD6">
            <w:pPr>
              <w:pStyle w:val="DecimalAligned"/>
            </w:pPr>
            <w:r>
              <w:t>169.83</w:t>
            </w:r>
          </w:p>
        </w:tc>
        <w:tc>
          <w:tcPr>
            <w:tcW w:w="813" w:type="pct"/>
          </w:tcPr>
          <w:p w14:paraId="0AA5A830" w14:textId="77777777" w:rsidR="006F3D59" w:rsidRDefault="006F3D59" w:rsidP="00E70FD6">
            <w:pPr>
              <w:pStyle w:val="DecimalAligned"/>
            </w:pPr>
            <w:r>
              <w:t>186.82</w:t>
            </w:r>
          </w:p>
        </w:tc>
        <w:tc>
          <w:tcPr>
            <w:tcW w:w="813" w:type="pct"/>
          </w:tcPr>
          <w:p w14:paraId="1031E1C1" w14:textId="77777777" w:rsidR="006F3D59" w:rsidRDefault="006F3D59" w:rsidP="00E70FD6">
            <w:pPr>
              <w:pStyle w:val="DecimalAligned"/>
            </w:pPr>
            <w:r>
              <w:t>205.50</w:t>
            </w:r>
          </w:p>
        </w:tc>
        <w:tc>
          <w:tcPr>
            <w:tcW w:w="812" w:type="pct"/>
          </w:tcPr>
          <w:p w14:paraId="64AE51F3" w14:textId="77777777" w:rsidR="006F3D59" w:rsidRDefault="006F3D59" w:rsidP="00E70FD6">
            <w:pPr>
              <w:pStyle w:val="DecimalAligned"/>
            </w:pPr>
            <w:r>
              <w:t>226.05</w:t>
            </w:r>
          </w:p>
        </w:tc>
      </w:tr>
      <w:tr w:rsidR="006F3D59" w14:paraId="610B9ED5" w14:textId="77777777" w:rsidTr="00E70F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04" w:type="pct"/>
            <w:noWrap/>
          </w:tcPr>
          <w:p w14:paraId="79B0FDF4" w14:textId="77777777" w:rsidR="006F3D59" w:rsidRDefault="006F3D59" w:rsidP="00E70FD6"/>
        </w:tc>
        <w:tc>
          <w:tcPr>
            <w:tcW w:w="846" w:type="pct"/>
          </w:tcPr>
          <w:p w14:paraId="160B85C2" w14:textId="77777777" w:rsidR="006F3D59" w:rsidRDefault="006F3D59" w:rsidP="00E70FD6">
            <w:pPr>
              <w:pStyle w:val="DecimalAligned"/>
            </w:pPr>
          </w:p>
        </w:tc>
        <w:tc>
          <w:tcPr>
            <w:tcW w:w="812" w:type="pct"/>
          </w:tcPr>
          <w:p w14:paraId="531730BA" w14:textId="77777777" w:rsidR="006F3D59" w:rsidRDefault="006F3D59" w:rsidP="00E70FD6">
            <w:pPr>
              <w:pStyle w:val="DecimalAligned"/>
            </w:pPr>
          </w:p>
        </w:tc>
        <w:tc>
          <w:tcPr>
            <w:tcW w:w="813" w:type="pct"/>
          </w:tcPr>
          <w:p w14:paraId="3BB533D3" w14:textId="77777777" w:rsidR="006F3D59" w:rsidRDefault="006F3D59" w:rsidP="00E70FD6">
            <w:pPr>
              <w:pStyle w:val="DecimalAligned"/>
            </w:pPr>
          </w:p>
        </w:tc>
        <w:tc>
          <w:tcPr>
            <w:tcW w:w="813" w:type="pct"/>
          </w:tcPr>
          <w:p w14:paraId="319200D7" w14:textId="77777777" w:rsidR="006F3D59" w:rsidRDefault="006F3D59" w:rsidP="00E70FD6">
            <w:pPr>
              <w:pStyle w:val="DecimalAligned"/>
            </w:pPr>
          </w:p>
        </w:tc>
        <w:tc>
          <w:tcPr>
            <w:tcW w:w="812" w:type="pct"/>
          </w:tcPr>
          <w:p w14:paraId="4937141E" w14:textId="77777777" w:rsidR="006F3D59" w:rsidRDefault="006F3D59" w:rsidP="00E70FD6">
            <w:pPr>
              <w:pStyle w:val="DecimalAligned"/>
            </w:pPr>
          </w:p>
        </w:tc>
      </w:tr>
    </w:tbl>
    <w:p w14:paraId="15D94CB7" w14:textId="77777777" w:rsidR="006F3D59" w:rsidRDefault="006F3D59" w:rsidP="006F3D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18"/>
          <w:szCs w:val="18"/>
          <w14:ligatures w14:val="none"/>
        </w:rPr>
        <w:t>The new usage charge per *100 CF is $2.92 for all customers, increasing 10% each year for 5 years to $3.21, $ 3.53, $3.88, and $4.27.</w:t>
      </w:r>
    </w:p>
    <w:p w14:paraId="4C60BB35" w14:textId="77777777" w:rsidR="006F3D59" w:rsidRDefault="006F3D59" w:rsidP="006F3D59">
      <w:pPr>
        <w:spacing w:before="100" w:beforeAutospacing="1" w:after="0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18"/>
          <w:szCs w:val="18"/>
          <w14:ligatures w14:val="none"/>
        </w:rPr>
        <w:t>*100 CF = 748 Gallons</w:t>
      </w:r>
    </w:p>
    <w:p w14:paraId="2BBDA75A" w14:textId="77777777" w:rsidR="00AA71B4" w:rsidRDefault="00AA71B4"/>
    <w:sectPr w:rsidR="00AA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59"/>
    <w:rsid w:val="00295897"/>
    <w:rsid w:val="00411281"/>
    <w:rsid w:val="006F3D59"/>
    <w:rsid w:val="00784E32"/>
    <w:rsid w:val="00AA71B4"/>
    <w:rsid w:val="00F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6E0F"/>
  <w15:chartTrackingRefBased/>
  <w15:docId w15:val="{0546CDFB-0E03-44BE-996F-99A7351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D59"/>
  </w:style>
  <w:style w:type="paragraph" w:styleId="Heading1">
    <w:name w:val="heading 1"/>
    <w:basedOn w:val="Normal"/>
    <w:next w:val="Normal"/>
    <w:link w:val="Heading1Char"/>
    <w:uiPriority w:val="9"/>
    <w:qFormat/>
    <w:rsid w:val="006F3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D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D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D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D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D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D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D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D59"/>
    <w:rPr>
      <w:b/>
      <w:bCs/>
      <w:smallCaps/>
      <w:color w:val="2F5496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6F3D59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character" w:styleId="SubtleEmphasis">
    <w:name w:val="Subtle Emphasis"/>
    <w:basedOn w:val="DefaultParagraphFont"/>
    <w:uiPriority w:val="19"/>
    <w:qFormat/>
    <w:rsid w:val="006F3D59"/>
    <w:rPr>
      <w:i/>
      <w:iCs/>
    </w:rPr>
  </w:style>
  <w:style w:type="table" w:styleId="MediumShading2-Accent5">
    <w:name w:val="Medium Shading 2 Accent 5"/>
    <w:basedOn w:val="TableNormal"/>
    <w:uiPriority w:val="64"/>
    <w:rsid w:val="006F3D59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Bickert</dc:creator>
  <cp:keywords/>
  <dc:description/>
  <cp:lastModifiedBy>Tai Bickert</cp:lastModifiedBy>
  <cp:revision>1</cp:revision>
  <dcterms:created xsi:type="dcterms:W3CDTF">2025-03-05T15:20:00Z</dcterms:created>
  <dcterms:modified xsi:type="dcterms:W3CDTF">2025-03-05T15:22:00Z</dcterms:modified>
</cp:coreProperties>
</file>