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8631" w14:textId="77777777" w:rsidR="005E5278" w:rsidRPr="005E5278" w:rsidRDefault="005E5278" w:rsidP="005E5278">
      <w:pPr>
        <w:rPr>
          <w:rFonts w:ascii="Times New Roman" w:hAnsi="Times New Roman" w:cs="Times New Roman"/>
          <w:b/>
          <w:bCs/>
          <w:sz w:val="32"/>
          <w:szCs w:val="32"/>
          <w:u w:val="single"/>
        </w:rPr>
      </w:pPr>
      <w:r w:rsidRPr="005E5278">
        <w:rPr>
          <w:rFonts w:ascii="Times New Roman" w:hAnsi="Times New Roman" w:cs="Times New Roman"/>
          <w:b/>
          <w:bCs/>
          <w:sz w:val="32"/>
          <w:szCs w:val="32"/>
          <w:u w:val="single"/>
        </w:rPr>
        <w:t>Introduction</w:t>
      </w:r>
    </w:p>
    <w:p w14:paraId="73FEB9CC" w14:textId="77777777" w:rsidR="005E5278" w:rsidRPr="005E5278" w:rsidRDefault="005E5278" w:rsidP="005E5278">
      <w:r w:rsidRPr="005E5278">
        <w:t>Bougainvillea is a beloved ornamental plant, prized by homeowners and landscapers for its vibrant, long-lasting blooms and ability to create stunning hedges, trellises, and garden focal points. Its brilliant color displays can transform any space, from tropical gardens to urban patios, adding beauty and charm throughout much of the year.</w:t>
      </w:r>
    </w:p>
    <w:p w14:paraId="0E2AC990" w14:textId="77777777" w:rsidR="005E5278" w:rsidRPr="005E5278" w:rsidRDefault="005E5278" w:rsidP="005E5278">
      <w:r w:rsidRPr="005E5278">
        <w:t>However, maintaining healthy bougainvillea plants can be challenging. Young cuttings often struggle to root, established plants may face periods of poor growth, and environmental stress can lead to reduced flowering or premature bloom drop. For landscapers, inconsistent performance means more maintenance and less impact from these showpiece plants.</w:t>
      </w:r>
    </w:p>
    <w:p w14:paraId="1A8355EF" w14:textId="77777777" w:rsidR="005E5278" w:rsidRPr="005E5278" w:rsidRDefault="005E5278" w:rsidP="005E5278">
      <w:r w:rsidRPr="005E5278">
        <w:rPr>
          <w:b/>
          <w:bCs/>
        </w:rPr>
        <w:t>Biowash 25</w:t>
      </w:r>
      <w:r w:rsidRPr="005E5278">
        <w:t xml:space="preserve"> offers a complete bio stimulant solution to overcome these challenges. Specially formulated to enhance early root and shoot development, boost chlorophyll production, and improve flower production and retention, Biowash 25 supports bougainvillea plants through every stage of growth. When used as recommended, it ensures faster establishment, healthier foliage, and more abundant, longer-lasting blooms—helping both gardeners and professionals get the best from their bougainvillea year after year.</w:t>
      </w:r>
    </w:p>
    <w:p w14:paraId="7F92FC62" w14:textId="77777777" w:rsidR="0041261F" w:rsidRDefault="0041261F"/>
    <w:p w14:paraId="485D31FC" w14:textId="77777777" w:rsidR="005E5278" w:rsidRPr="005E5278" w:rsidRDefault="005E5278" w:rsidP="005E5278">
      <w:pPr>
        <w:jc w:val="center"/>
        <w:rPr>
          <w:b/>
          <w:bCs/>
          <w:sz w:val="32"/>
          <w:szCs w:val="32"/>
          <w:u w:val="single"/>
        </w:rPr>
      </w:pPr>
      <w:r w:rsidRPr="005E5278">
        <w:rPr>
          <w:b/>
          <w:bCs/>
          <w:sz w:val="32"/>
          <w:szCs w:val="32"/>
          <w:u w:val="single"/>
        </w:rPr>
        <w:t>Biowash 25 – Bougainvillea Application Protocol</w:t>
      </w:r>
    </w:p>
    <w:p w14:paraId="3A53704E" w14:textId="50B8147E" w:rsidR="005E5278" w:rsidRPr="005E5278" w:rsidRDefault="005E5278" w:rsidP="005E5278">
      <w:pPr>
        <w:jc w:val="center"/>
        <w:rPr>
          <w:rFonts w:ascii="Arial Black" w:hAnsi="Arial Black"/>
          <w:color w:val="EE0000"/>
          <w:sz w:val="28"/>
          <w:szCs w:val="28"/>
        </w:rPr>
      </w:pPr>
      <w:r>
        <w:rPr>
          <w:rFonts w:ascii="Arial Black" w:hAnsi="Arial Black"/>
          <w:b/>
          <w:bCs/>
          <w:color w:val="EE0000"/>
          <w:sz w:val="28"/>
          <w:szCs w:val="28"/>
        </w:rPr>
        <w:t>*</w:t>
      </w:r>
      <w:r w:rsidRPr="005E5278">
        <w:rPr>
          <w:rFonts w:ascii="Arial Black" w:hAnsi="Arial Black"/>
          <w:b/>
          <w:bCs/>
          <w:color w:val="EE0000"/>
          <w:sz w:val="28"/>
          <w:szCs w:val="28"/>
        </w:rPr>
        <w:t>Dilution Rate:</w:t>
      </w:r>
      <w:r w:rsidRPr="005E5278">
        <w:rPr>
          <w:rFonts w:ascii="Arial Black" w:hAnsi="Arial Black"/>
          <w:color w:val="EE0000"/>
          <w:sz w:val="28"/>
          <w:szCs w:val="28"/>
        </w:rPr>
        <w:t xml:space="preserve"> 1-ounce Biowash 25 per 1 gallon of water.</w:t>
      </w:r>
    </w:p>
    <w:p w14:paraId="2E083F6C" w14:textId="77777777" w:rsidR="005E5278" w:rsidRPr="005E5278" w:rsidRDefault="00FE64FA" w:rsidP="005E5278">
      <w:r>
        <w:rPr>
          <w:noProof/>
        </w:rPr>
      </w:r>
      <w:r>
        <w:pict w14:anchorId="040B6133">
          <v:rect id="Horizontal Line 1"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D75D8F8" w14:textId="77777777" w:rsidR="005E5278" w:rsidRPr="005E5278" w:rsidRDefault="005E5278" w:rsidP="005E5278">
      <w:pPr>
        <w:rPr>
          <w:b/>
          <w:bCs/>
        </w:rPr>
      </w:pPr>
      <w:r w:rsidRPr="005E5278">
        <w:rPr>
          <w:b/>
          <w:bCs/>
        </w:rPr>
        <w:t>1. Root Initiation Stage (Cuttings Preparation)</w:t>
      </w:r>
    </w:p>
    <w:p w14:paraId="7D11678D" w14:textId="77777777" w:rsidR="005E5278" w:rsidRPr="005E5278" w:rsidRDefault="005E5278" w:rsidP="005E5278">
      <w:pPr>
        <w:numPr>
          <w:ilvl w:val="0"/>
          <w:numId w:val="1"/>
        </w:numPr>
      </w:pPr>
      <w:r w:rsidRPr="005E5278">
        <w:rPr>
          <w:b/>
          <w:bCs/>
        </w:rPr>
        <w:t>Method:</w:t>
      </w:r>
      <w:r w:rsidRPr="005E5278">
        <w:t xml:space="preserve"> Place freshly cut bougainvillea cuttings in an open container with the Biowash 25 solution for </w:t>
      </w:r>
      <w:r w:rsidRPr="005E5278">
        <w:rPr>
          <w:b/>
          <w:bCs/>
        </w:rPr>
        <w:t>15–24 hours</w:t>
      </w:r>
      <w:r w:rsidRPr="005E5278">
        <w:t>.</w:t>
      </w:r>
    </w:p>
    <w:p w14:paraId="1FBE74AD" w14:textId="77777777" w:rsidR="005E5278" w:rsidRPr="005E5278" w:rsidRDefault="005E5278" w:rsidP="005E5278">
      <w:pPr>
        <w:numPr>
          <w:ilvl w:val="0"/>
          <w:numId w:val="1"/>
        </w:numPr>
      </w:pPr>
      <w:r w:rsidRPr="005E5278">
        <w:rPr>
          <w:b/>
          <w:bCs/>
        </w:rPr>
        <w:t>Purpose:</w:t>
      </w:r>
      <w:r w:rsidRPr="005E5278">
        <w:t xml:space="preserve"> This soaking process stimulates </w:t>
      </w:r>
      <w:r w:rsidRPr="005E5278">
        <w:rPr>
          <w:b/>
          <w:bCs/>
        </w:rPr>
        <w:t>rapid root initiation</w:t>
      </w:r>
      <w:r w:rsidRPr="005E5278">
        <w:t xml:space="preserve">, enhances </w:t>
      </w:r>
      <w:r w:rsidRPr="005E5278">
        <w:rPr>
          <w:b/>
          <w:bCs/>
        </w:rPr>
        <w:t>nutrient absorption</w:t>
      </w:r>
      <w:r w:rsidRPr="005E5278">
        <w:t xml:space="preserve"> capacity, and strengthens early tissue development.</w:t>
      </w:r>
    </w:p>
    <w:p w14:paraId="688ECC6A" w14:textId="77777777" w:rsidR="005E5278" w:rsidRPr="005E5278" w:rsidRDefault="005E5278" w:rsidP="005E5278">
      <w:pPr>
        <w:numPr>
          <w:ilvl w:val="0"/>
          <w:numId w:val="1"/>
        </w:numPr>
      </w:pPr>
      <w:r w:rsidRPr="005E5278">
        <w:rPr>
          <w:b/>
          <w:bCs/>
        </w:rPr>
        <w:t>Benefit:</w:t>
      </w:r>
      <w:r w:rsidRPr="005E5278">
        <w:t xml:space="preserve"> Ensures strong, healthy roots capable of supporting vigorous shoot growth after planting.</w:t>
      </w:r>
    </w:p>
    <w:p w14:paraId="4944E7DB" w14:textId="77777777" w:rsidR="005E5278" w:rsidRPr="005E5278" w:rsidRDefault="00FE64FA" w:rsidP="005E5278">
      <w:r>
        <w:rPr>
          <w:noProof/>
        </w:rPr>
      </w:r>
      <w:r>
        <w:pict w14:anchorId="79EF33A6">
          <v:rect id="Horizontal Line 2"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737FA53B" w14:textId="77777777" w:rsidR="005E5278" w:rsidRPr="005E5278" w:rsidRDefault="005E5278" w:rsidP="005E5278">
      <w:pPr>
        <w:rPr>
          <w:b/>
          <w:bCs/>
        </w:rPr>
      </w:pPr>
      <w:r w:rsidRPr="005E5278">
        <w:rPr>
          <w:b/>
          <w:bCs/>
        </w:rPr>
        <w:t>2. Transplanting Stage</w:t>
      </w:r>
    </w:p>
    <w:p w14:paraId="02F2BF20" w14:textId="77777777" w:rsidR="005E5278" w:rsidRPr="005E5278" w:rsidRDefault="005E5278" w:rsidP="005E5278">
      <w:pPr>
        <w:numPr>
          <w:ilvl w:val="0"/>
          <w:numId w:val="2"/>
        </w:numPr>
      </w:pPr>
      <w:r w:rsidRPr="005E5278">
        <w:lastRenderedPageBreak/>
        <w:t>After soaking, plant cuttings into pots with a well-draining growing medium.</w:t>
      </w:r>
    </w:p>
    <w:p w14:paraId="359AD750" w14:textId="77777777" w:rsidR="005E5278" w:rsidRPr="005E5278" w:rsidRDefault="005E5278" w:rsidP="005E5278">
      <w:pPr>
        <w:numPr>
          <w:ilvl w:val="0"/>
          <w:numId w:val="2"/>
        </w:numPr>
      </w:pPr>
      <w:r w:rsidRPr="005E5278">
        <w:rPr>
          <w:b/>
          <w:bCs/>
        </w:rPr>
        <w:t>Watering:</w:t>
      </w:r>
      <w:r w:rsidRPr="005E5278">
        <w:t xml:space="preserve"> Use the </w:t>
      </w:r>
      <w:r w:rsidRPr="005E5278">
        <w:rPr>
          <w:b/>
          <w:bCs/>
        </w:rPr>
        <w:t>same prepared Biowash 25 solution</w:t>
      </w:r>
      <w:r w:rsidRPr="005E5278">
        <w:t xml:space="preserve"> to water the soil immediately after planting.</w:t>
      </w:r>
    </w:p>
    <w:p w14:paraId="1042E3BF" w14:textId="77777777" w:rsidR="005E5278" w:rsidRPr="005E5278" w:rsidRDefault="005E5278" w:rsidP="005E5278">
      <w:pPr>
        <w:numPr>
          <w:ilvl w:val="0"/>
          <w:numId w:val="2"/>
        </w:numPr>
      </w:pPr>
      <w:r w:rsidRPr="005E5278">
        <w:rPr>
          <w:b/>
          <w:bCs/>
        </w:rPr>
        <w:t>Benefit:</w:t>
      </w:r>
      <w:r w:rsidRPr="005E5278">
        <w:t xml:space="preserve"> Continues to supply essential bioactive compounds to the root zone, reducing transplant shock and accelerating establishment.</w:t>
      </w:r>
    </w:p>
    <w:p w14:paraId="7127CC08" w14:textId="77777777" w:rsidR="005E5278" w:rsidRPr="005E5278" w:rsidRDefault="00FE64FA" w:rsidP="005E5278">
      <w:r>
        <w:rPr>
          <w:noProof/>
        </w:rPr>
      </w:r>
      <w:r>
        <w:pict w14:anchorId="4ACC920E">
          <v:rect id="Horizontal Line 3"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ECB5135" w14:textId="77777777" w:rsidR="005E5278" w:rsidRPr="005E5278" w:rsidRDefault="005E5278" w:rsidP="005E5278">
      <w:pPr>
        <w:rPr>
          <w:b/>
          <w:bCs/>
        </w:rPr>
      </w:pPr>
      <w:r w:rsidRPr="005E5278">
        <w:rPr>
          <w:b/>
          <w:bCs/>
        </w:rPr>
        <w:t>3. Vegetative Growth Stage</w:t>
      </w:r>
    </w:p>
    <w:p w14:paraId="78F7334B" w14:textId="77777777" w:rsidR="005E5278" w:rsidRPr="005E5278" w:rsidRDefault="005E5278" w:rsidP="005E5278">
      <w:pPr>
        <w:numPr>
          <w:ilvl w:val="0"/>
          <w:numId w:val="3"/>
        </w:numPr>
      </w:pPr>
      <w:r w:rsidRPr="005E5278">
        <w:rPr>
          <w:b/>
          <w:bCs/>
        </w:rPr>
        <w:t>Application:</w:t>
      </w:r>
      <w:r w:rsidRPr="005E5278">
        <w:t xml:space="preserve"> Drench the root zone or foliar spray with Biowash 25 solution every 10–14 days.</w:t>
      </w:r>
    </w:p>
    <w:p w14:paraId="3E77CAAB" w14:textId="77777777" w:rsidR="005E5278" w:rsidRPr="005E5278" w:rsidRDefault="005E5278" w:rsidP="005E5278">
      <w:pPr>
        <w:numPr>
          <w:ilvl w:val="0"/>
          <w:numId w:val="3"/>
        </w:numPr>
      </w:pPr>
      <w:r w:rsidRPr="005E5278">
        <w:rPr>
          <w:b/>
          <w:bCs/>
        </w:rPr>
        <w:t>Key Actions:</w:t>
      </w:r>
    </w:p>
    <w:p w14:paraId="14A6D6DE" w14:textId="77777777" w:rsidR="005E5278" w:rsidRPr="005E5278" w:rsidRDefault="005E5278" w:rsidP="005E5278">
      <w:pPr>
        <w:numPr>
          <w:ilvl w:val="1"/>
          <w:numId w:val="3"/>
        </w:numPr>
      </w:pPr>
      <w:r w:rsidRPr="005E5278">
        <w:t xml:space="preserve">Promotes </w:t>
      </w:r>
      <w:r w:rsidRPr="005E5278">
        <w:rPr>
          <w:b/>
          <w:bCs/>
        </w:rPr>
        <w:t>chlorophyll production</w:t>
      </w:r>
      <w:r w:rsidRPr="005E5278">
        <w:t xml:space="preserve"> for deep green foliage.</w:t>
      </w:r>
    </w:p>
    <w:p w14:paraId="5F8DC6D5" w14:textId="77777777" w:rsidR="005E5278" w:rsidRPr="005E5278" w:rsidRDefault="005E5278" w:rsidP="005E5278">
      <w:pPr>
        <w:numPr>
          <w:ilvl w:val="1"/>
          <w:numId w:val="3"/>
        </w:numPr>
      </w:pPr>
      <w:r w:rsidRPr="005E5278">
        <w:t xml:space="preserve">Encourages </w:t>
      </w:r>
      <w:r w:rsidRPr="005E5278">
        <w:rPr>
          <w:b/>
          <w:bCs/>
        </w:rPr>
        <w:t>shoot elongation</w:t>
      </w:r>
      <w:r w:rsidRPr="005E5278">
        <w:t xml:space="preserve"> for fuller, more vigorous plants.</w:t>
      </w:r>
    </w:p>
    <w:p w14:paraId="5D11BE75" w14:textId="77777777" w:rsidR="005E5278" w:rsidRPr="005E5278" w:rsidRDefault="005E5278" w:rsidP="005E5278">
      <w:pPr>
        <w:numPr>
          <w:ilvl w:val="1"/>
          <w:numId w:val="3"/>
        </w:numPr>
      </w:pPr>
      <w:r w:rsidRPr="005E5278">
        <w:t>Improves general plant health and resilience against environmental stress.</w:t>
      </w:r>
    </w:p>
    <w:p w14:paraId="0CC4699F" w14:textId="77777777" w:rsidR="005E5278" w:rsidRPr="005E5278" w:rsidRDefault="005E5278" w:rsidP="005E5278">
      <w:pPr>
        <w:numPr>
          <w:ilvl w:val="0"/>
          <w:numId w:val="3"/>
        </w:numPr>
      </w:pPr>
      <w:r w:rsidRPr="005E5278">
        <w:rPr>
          <w:b/>
          <w:bCs/>
        </w:rPr>
        <w:t>Benefit:</w:t>
      </w:r>
      <w:r w:rsidRPr="005E5278">
        <w:t xml:space="preserve"> Strong, well-branched plants with enhanced photosynthetic efficiency.</w:t>
      </w:r>
    </w:p>
    <w:p w14:paraId="6614A771" w14:textId="77777777" w:rsidR="005E5278" w:rsidRPr="005E5278" w:rsidRDefault="00FE64FA" w:rsidP="005E5278">
      <w:r>
        <w:rPr>
          <w:noProof/>
        </w:rPr>
      </w:r>
      <w:r>
        <w:pict w14:anchorId="1A96D2D6">
          <v:rect id="Horizontal Line 4"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41687A1C" w14:textId="77777777" w:rsidR="005E5278" w:rsidRPr="005E5278" w:rsidRDefault="005E5278" w:rsidP="005E5278">
      <w:pPr>
        <w:rPr>
          <w:b/>
          <w:bCs/>
        </w:rPr>
      </w:pPr>
      <w:r w:rsidRPr="005E5278">
        <w:rPr>
          <w:b/>
          <w:bCs/>
        </w:rPr>
        <w:t>4. Flowering Stage</w:t>
      </w:r>
    </w:p>
    <w:p w14:paraId="602158C4" w14:textId="77777777" w:rsidR="005E5278" w:rsidRPr="005E5278" w:rsidRDefault="005E5278" w:rsidP="005E5278">
      <w:pPr>
        <w:numPr>
          <w:ilvl w:val="0"/>
          <w:numId w:val="4"/>
        </w:numPr>
      </w:pPr>
      <w:r w:rsidRPr="005E5278">
        <w:rPr>
          <w:b/>
          <w:bCs/>
        </w:rPr>
        <w:t>Application:</w:t>
      </w:r>
      <w:r w:rsidRPr="005E5278">
        <w:t xml:space="preserve"> Continue root drench or foliar sprays every 14 days with the Biowash 25 solution.</w:t>
      </w:r>
    </w:p>
    <w:p w14:paraId="7A5733D0" w14:textId="77777777" w:rsidR="005E5278" w:rsidRPr="005E5278" w:rsidRDefault="005E5278" w:rsidP="005E5278">
      <w:pPr>
        <w:numPr>
          <w:ilvl w:val="0"/>
          <w:numId w:val="4"/>
        </w:numPr>
      </w:pPr>
      <w:r w:rsidRPr="005E5278">
        <w:rPr>
          <w:b/>
          <w:bCs/>
        </w:rPr>
        <w:t>Key Actions:</w:t>
      </w:r>
    </w:p>
    <w:p w14:paraId="7E6B9FE1" w14:textId="77777777" w:rsidR="005E5278" w:rsidRPr="005E5278" w:rsidRDefault="005E5278" w:rsidP="005E5278">
      <w:pPr>
        <w:numPr>
          <w:ilvl w:val="1"/>
          <w:numId w:val="4"/>
        </w:numPr>
      </w:pPr>
      <w:r w:rsidRPr="005E5278">
        <w:t xml:space="preserve">Stimulates abundant </w:t>
      </w:r>
      <w:r w:rsidRPr="005E5278">
        <w:rPr>
          <w:b/>
          <w:bCs/>
        </w:rPr>
        <w:t>flower bud formation</w:t>
      </w:r>
      <w:r w:rsidRPr="005E5278">
        <w:t>.</w:t>
      </w:r>
    </w:p>
    <w:p w14:paraId="01E17B8B" w14:textId="77777777" w:rsidR="005E5278" w:rsidRPr="005E5278" w:rsidRDefault="005E5278" w:rsidP="005E5278">
      <w:pPr>
        <w:numPr>
          <w:ilvl w:val="1"/>
          <w:numId w:val="4"/>
        </w:numPr>
      </w:pPr>
      <w:r w:rsidRPr="005E5278">
        <w:t xml:space="preserve">Enhances </w:t>
      </w:r>
      <w:r w:rsidRPr="005E5278">
        <w:rPr>
          <w:b/>
          <w:bCs/>
        </w:rPr>
        <w:t>flower retention</w:t>
      </w:r>
      <w:r w:rsidRPr="005E5278">
        <w:t xml:space="preserve"> to extend blooming periods.</w:t>
      </w:r>
    </w:p>
    <w:p w14:paraId="424D4043" w14:textId="77777777" w:rsidR="005E5278" w:rsidRPr="005E5278" w:rsidRDefault="005E5278" w:rsidP="005E5278">
      <w:pPr>
        <w:numPr>
          <w:ilvl w:val="1"/>
          <w:numId w:val="4"/>
        </w:numPr>
      </w:pPr>
      <w:r w:rsidRPr="005E5278">
        <w:t>Supports the plant’s energy requirements during heavy flowering.</w:t>
      </w:r>
    </w:p>
    <w:p w14:paraId="28A73019" w14:textId="77777777" w:rsidR="005E5278" w:rsidRPr="005E5278" w:rsidRDefault="005E5278" w:rsidP="005E5278">
      <w:pPr>
        <w:numPr>
          <w:ilvl w:val="0"/>
          <w:numId w:val="4"/>
        </w:numPr>
      </w:pPr>
      <w:r w:rsidRPr="005E5278">
        <w:rPr>
          <w:b/>
          <w:bCs/>
        </w:rPr>
        <w:t>Benefit:</w:t>
      </w:r>
      <w:r w:rsidRPr="005E5278">
        <w:t xml:space="preserve"> More vibrant, long-lasting blooms with improved overall display quality.</w:t>
      </w:r>
    </w:p>
    <w:p w14:paraId="30ECECD3" w14:textId="77777777" w:rsidR="005E5278" w:rsidRPr="005E5278" w:rsidRDefault="00FE64FA" w:rsidP="005E5278">
      <w:r>
        <w:rPr>
          <w:noProof/>
        </w:rPr>
      </w:r>
      <w:r>
        <w:pict w14:anchorId="5B240CF8">
          <v:rect id="Horizontal Line 5"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C4627E8" w14:textId="77777777" w:rsidR="005E5278" w:rsidRPr="005E5278" w:rsidRDefault="005E5278" w:rsidP="005E5278">
      <w:pPr>
        <w:rPr>
          <w:b/>
          <w:bCs/>
        </w:rPr>
      </w:pPr>
      <w:r w:rsidRPr="005E5278">
        <w:rPr>
          <w:b/>
          <w:bCs/>
        </w:rPr>
        <w:t>Summary of Benefits Across All Stages</w:t>
      </w:r>
    </w:p>
    <w:p w14:paraId="7A75AD2B" w14:textId="77777777" w:rsidR="005E5278" w:rsidRPr="005E5278" w:rsidRDefault="005E5278" w:rsidP="005E5278">
      <w:pPr>
        <w:numPr>
          <w:ilvl w:val="0"/>
          <w:numId w:val="5"/>
        </w:numPr>
      </w:pPr>
      <w:r w:rsidRPr="005E5278">
        <w:rPr>
          <w:b/>
          <w:bCs/>
        </w:rPr>
        <w:t>Early Root &amp; Shoot Development</w:t>
      </w:r>
      <w:r w:rsidRPr="005E5278">
        <w:t xml:space="preserve"> – Faster establishment from cuttings.</w:t>
      </w:r>
    </w:p>
    <w:p w14:paraId="0F814C2D" w14:textId="77777777" w:rsidR="005E5278" w:rsidRPr="005E5278" w:rsidRDefault="005E5278" w:rsidP="005E5278">
      <w:pPr>
        <w:numPr>
          <w:ilvl w:val="0"/>
          <w:numId w:val="5"/>
        </w:numPr>
      </w:pPr>
      <w:r w:rsidRPr="005E5278">
        <w:rPr>
          <w:b/>
          <w:bCs/>
        </w:rPr>
        <w:t>Enhanced Nutrient Uptake</w:t>
      </w:r>
      <w:r w:rsidRPr="005E5278">
        <w:t xml:space="preserve"> – Improved root function and metabolic activity.</w:t>
      </w:r>
    </w:p>
    <w:p w14:paraId="6E541012" w14:textId="77777777" w:rsidR="005E5278" w:rsidRPr="005E5278" w:rsidRDefault="005E5278" w:rsidP="005E5278">
      <w:pPr>
        <w:numPr>
          <w:ilvl w:val="0"/>
          <w:numId w:val="5"/>
        </w:numPr>
      </w:pPr>
      <w:r w:rsidRPr="005E5278">
        <w:rPr>
          <w:b/>
          <w:bCs/>
        </w:rPr>
        <w:lastRenderedPageBreak/>
        <w:t>Boosted Chlorophyll &amp; Shoot Growth</w:t>
      </w:r>
      <w:r w:rsidRPr="005E5278">
        <w:t xml:space="preserve"> – Stronger vegetative performance.</w:t>
      </w:r>
    </w:p>
    <w:p w14:paraId="29F96572" w14:textId="77777777" w:rsidR="005E5278" w:rsidRDefault="005E5278" w:rsidP="005E5278">
      <w:pPr>
        <w:numPr>
          <w:ilvl w:val="0"/>
          <w:numId w:val="5"/>
        </w:numPr>
      </w:pPr>
      <w:r w:rsidRPr="005E5278">
        <w:rPr>
          <w:b/>
          <w:bCs/>
        </w:rPr>
        <w:t>Increased Flower Production &amp; Retention</w:t>
      </w:r>
      <w:r w:rsidRPr="005E5278">
        <w:t xml:space="preserve"> – Maximized ornamental value.</w:t>
      </w:r>
    </w:p>
    <w:p w14:paraId="627B4FC3" w14:textId="77777777" w:rsidR="00C867DB" w:rsidRDefault="00C867DB" w:rsidP="00C867DB"/>
    <w:p w14:paraId="05D4EF29" w14:textId="77777777" w:rsidR="00C867DB" w:rsidRDefault="00C867DB" w:rsidP="00C867DB"/>
    <w:p w14:paraId="33CC7F12" w14:textId="77777777" w:rsidR="00C867DB" w:rsidRDefault="00C867DB" w:rsidP="00C867DB"/>
    <w:p w14:paraId="2354FF80" w14:textId="0A2F7B79" w:rsidR="00C867DB" w:rsidRPr="00C867DB" w:rsidRDefault="00C867DB" w:rsidP="00C867DB">
      <w:pPr>
        <w:jc w:val="center"/>
        <w:rPr>
          <w:rFonts w:ascii="Arial Black" w:hAnsi="Arial Black"/>
          <w:sz w:val="28"/>
          <w:szCs w:val="28"/>
        </w:rPr>
      </w:pPr>
      <w:r w:rsidRPr="00C867DB">
        <w:rPr>
          <w:rFonts w:ascii="Arial Black" w:hAnsi="Arial Black"/>
          <w:sz w:val="28"/>
          <w:szCs w:val="28"/>
        </w:rPr>
        <w:t>Stage-by-Stage Timeline &amp; Application Chart</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1509"/>
        <w:gridCol w:w="2046"/>
        <w:gridCol w:w="1918"/>
        <w:gridCol w:w="2008"/>
      </w:tblGrid>
      <w:tr w:rsidR="00C867DB" w:rsidRPr="00C867DB" w14:paraId="093C5405" w14:textId="77777777" w:rsidTr="00C867DB">
        <w:trPr>
          <w:tblHeader/>
          <w:tblCellSpacing w:w="15" w:type="dxa"/>
        </w:trPr>
        <w:tc>
          <w:tcPr>
            <w:tcW w:w="0" w:type="auto"/>
            <w:vAlign w:val="center"/>
            <w:hideMark/>
          </w:tcPr>
          <w:p w14:paraId="3E66260E" w14:textId="532978F6" w:rsidR="00C867DB" w:rsidRPr="00C867DB" w:rsidRDefault="00C867DB" w:rsidP="00C867DB">
            <w:pPr>
              <w:rPr>
                <w:b/>
                <w:bCs/>
                <w:color w:val="00B050"/>
              </w:rPr>
            </w:pPr>
            <w:r w:rsidRPr="00C867DB">
              <w:rPr>
                <w:b/>
                <w:bCs/>
                <w:color w:val="00B050"/>
              </w:rPr>
              <w:t>Growth Stage</w:t>
            </w:r>
          </w:p>
        </w:tc>
        <w:tc>
          <w:tcPr>
            <w:tcW w:w="0" w:type="auto"/>
            <w:vAlign w:val="center"/>
            <w:hideMark/>
          </w:tcPr>
          <w:p w14:paraId="6FCEC019" w14:textId="77777777" w:rsidR="00C867DB" w:rsidRPr="00C867DB" w:rsidRDefault="00C867DB" w:rsidP="00C867DB">
            <w:pPr>
              <w:rPr>
                <w:b/>
                <w:bCs/>
                <w:color w:val="00B050"/>
              </w:rPr>
            </w:pPr>
            <w:r w:rsidRPr="00C867DB">
              <w:rPr>
                <w:b/>
                <w:bCs/>
                <w:color w:val="00B050"/>
              </w:rPr>
              <w:t>Timing</w:t>
            </w:r>
          </w:p>
        </w:tc>
        <w:tc>
          <w:tcPr>
            <w:tcW w:w="0" w:type="auto"/>
            <w:vAlign w:val="center"/>
            <w:hideMark/>
          </w:tcPr>
          <w:p w14:paraId="69AC7731" w14:textId="77777777" w:rsidR="00C867DB" w:rsidRPr="00C867DB" w:rsidRDefault="00C867DB" w:rsidP="00C867DB">
            <w:pPr>
              <w:rPr>
                <w:b/>
                <w:bCs/>
                <w:color w:val="00B050"/>
              </w:rPr>
            </w:pPr>
            <w:r w:rsidRPr="00C867DB">
              <w:rPr>
                <w:b/>
                <w:bCs/>
                <w:color w:val="00B050"/>
              </w:rPr>
              <w:t>Application Method</w:t>
            </w:r>
          </w:p>
        </w:tc>
        <w:tc>
          <w:tcPr>
            <w:tcW w:w="0" w:type="auto"/>
            <w:vAlign w:val="center"/>
            <w:hideMark/>
          </w:tcPr>
          <w:p w14:paraId="1865733C" w14:textId="77777777" w:rsidR="00C867DB" w:rsidRPr="00C867DB" w:rsidRDefault="00C867DB" w:rsidP="00C867DB">
            <w:pPr>
              <w:rPr>
                <w:b/>
                <w:bCs/>
                <w:color w:val="00B050"/>
              </w:rPr>
            </w:pPr>
            <w:r w:rsidRPr="00C867DB">
              <w:rPr>
                <w:b/>
                <w:bCs/>
                <w:color w:val="00B050"/>
              </w:rPr>
              <w:t>Key Actions</w:t>
            </w:r>
          </w:p>
        </w:tc>
        <w:tc>
          <w:tcPr>
            <w:tcW w:w="0" w:type="auto"/>
            <w:vAlign w:val="center"/>
            <w:hideMark/>
          </w:tcPr>
          <w:p w14:paraId="070295E0" w14:textId="77777777" w:rsidR="00C867DB" w:rsidRPr="00C867DB" w:rsidRDefault="00C867DB" w:rsidP="00C867DB">
            <w:pPr>
              <w:rPr>
                <w:b/>
                <w:bCs/>
                <w:color w:val="00B050"/>
              </w:rPr>
            </w:pPr>
            <w:r w:rsidRPr="00C867DB">
              <w:rPr>
                <w:b/>
                <w:bCs/>
                <w:color w:val="00B050"/>
              </w:rPr>
              <w:t>Benefits</w:t>
            </w:r>
          </w:p>
        </w:tc>
      </w:tr>
      <w:tr w:rsidR="00C867DB" w:rsidRPr="00C867DB" w14:paraId="5A7175C6" w14:textId="77777777" w:rsidTr="00C867DB">
        <w:trPr>
          <w:tblCellSpacing w:w="15" w:type="dxa"/>
        </w:trPr>
        <w:tc>
          <w:tcPr>
            <w:tcW w:w="0" w:type="auto"/>
            <w:vAlign w:val="center"/>
            <w:hideMark/>
          </w:tcPr>
          <w:p w14:paraId="6A700CA5" w14:textId="77777777" w:rsidR="00C867DB" w:rsidRPr="00C867DB" w:rsidRDefault="00C867DB" w:rsidP="00C867DB">
            <w:r w:rsidRPr="00C867DB">
              <w:rPr>
                <w:b/>
                <w:bCs/>
              </w:rPr>
              <w:t>1. Root Initiation (Cuttings Preparation)</w:t>
            </w:r>
          </w:p>
        </w:tc>
        <w:tc>
          <w:tcPr>
            <w:tcW w:w="0" w:type="auto"/>
            <w:vAlign w:val="center"/>
            <w:hideMark/>
          </w:tcPr>
          <w:p w14:paraId="67A2050F" w14:textId="77777777" w:rsidR="00C867DB" w:rsidRPr="00C867DB" w:rsidRDefault="00C867DB" w:rsidP="00C867DB">
            <w:r w:rsidRPr="00C867DB">
              <w:t>Day 0</w:t>
            </w:r>
          </w:p>
        </w:tc>
        <w:tc>
          <w:tcPr>
            <w:tcW w:w="0" w:type="auto"/>
            <w:vAlign w:val="center"/>
            <w:hideMark/>
          </w:tcPr>
          <w:p w14:paraId="4DA8F899" w14:textId="77777777" w:rsidR="00C867DB" w:rsidRPr="00C867DB" w:rsidRDefault="00C867DB" w:rsidP="00C867DB">
            <w:r w:rsidRPr="00C867DB">
              <w:t xml:space="preserve">Soak cuttings in open container with Biowash 25 solution for </w:t>
            </w:r>
            <w:r w:rsidRPr="00C867DB">
              <w:rPr>
                <w:b/>
                <w:bCs/>
              </w:rPr>
              <w:t>15–24 hours</w:t>
            </w:r>
          </w:p>
        </w:tc>
        <w:tc>
          <w:tcPr>
            <w:tcW w:w="0" w:type="auto"/>
            <w:vAlign w:val="center"/>
            <w:hideMark/>
          </w:tcPr>
          <w:p w14:paraId="6655F1DA" w14:textId="77777777" w:rsidR="00C867DB" w:rsidRPr="00C867DB" w:rsidRDefault="00C867DB" w:rsidP="00C867DB">
            <w:r w:rsidRPr="00C867DB">
              <w:t>Stimulates rapid root initiation; enhances nutrient uptake capacity</w:t>
            </w:r>
          </w:p>
        </w:tc>
        <w:tc>
          <w:tcPr>
            <w:tcW w:w="0" w:type="auto"/>
            <w:vAlign w:val="center"/>
            <w:hideMark/>
          </w:tcPr>
          <w:p w14:paraId="0A2C2418" w14:textId="77777777" w:rsidR="00C867DB" w:rsidRPr="00C867DB" w:rsidRDefault="00C867DB" w:rsidP="00C867DB">
            <w:r w:rsidRPr="00C867DB">
              <w:t>Strong root system for successful establishment</w:t>
            </w:r>
          </w:p>
        </w:tc>
      </w:tr>
      <w:tr w:rsidR="00C867DB" w:rsidRPr="00C867DB" w14:paraId="6860399C" w14:textId="77777777" w:rsidTr="00C867DB">
        <w:trPr>
          <w:tblCellSpacing w:w="15" w:type="dxa"/>
        </w:trPr>
        <w:tc>
          <w:tcPr>
            <w:tcW w:w="0" w:type="auto"/>
            <w:vAlign w:val="center"/>
            <w:hideMark/>
          </w:tcPr>
          <w:p w14:paraId="4DC00A97" w14:textId="77777777" w:rsidR="00C867DB" w:rsidRPr="00C867DB" w:rsidRDefault="00C867DB" w:rsidP="00C867DB">
            <w:r w:rsidRPr="00C867DB">
              <w:rPr>
                <w:b/>
                <w:bCs/>
              </w:rPr>
              <w:t>2. Transplanting</w:t>
            </w:r>
          </w:p>
        </w:tc>
        <w:tc>
          <w:tcPr>
            <w:tcW w:w="0" w:type="auto"/>
            <w:vAlign w:val="center"/>
            <w:hideMark/>
          </w:tcPr>
          <w:p w14:paraId="5B631EA4" w14:textId="77777777" w:rsidR="00C867DB" w:rsidRPr="00C867DB" w:rsidRDefault="00C867DB" w:rsidP="00C867DB">
            <w:r w:rsidRPr="00C867DB">
              <w:t>Immediately after soaking</w:t>
            </w:r>
          </w:p>
        </w:tc>
        <w:tc>
          <w:tcPr>
            <w:tcW w:w="0" w:type="auto"/>
            <w:vAlign w:val="center"/>
            <w:hideMark/>
          </w:tcPr>
          <w:p w14:paraId="049B66FA" w14:textId="77777777" w:rsidR="00C867DB" w:rsidRPr="00C867DB" w:rsidRDefault="00C867DB" w:rsidP="00C867DB">
            <w:r w:rsidRPr="00C867DB">
              <w:t xml:space="preserve">Plant in pots, water soil with </w:t>
            </w:r>
            <w:r w:rsidRPr="00C867DB">
              <w:rPr>
                <w:b/>
                <w:bCs/>
              </w:rPr>
              <w:t>same solution</w:t>
            </w:r>
          </w:p>
        </w:tc>
        <w:tc>
          <w:tcPr>
            <w:tcW w:w="0" w:type="auto"/>
            <w:vAlign w:val="center"/>
            <w:hideMark/>
          </w:tcPr>
          <w:p w14:paraId="58CA3FCA" w14:textId="77777777" w:rsidR="00C867DB" w:rsidRPr="00C867DB" w:rsidRDefault="00C867DB" w:rsidP="00C867DB">
            <w:r w:rsidRPr="00C867DB">
              <w:t>Reduces transplant shock; continues bioactive stimulation</w:t>
            </w:r>
          </w:p>
        </w:tc>
        <w:tc>
          <w:tcPr>
            <w:tcW w:w="0" w:type="auto"/>
            <w:vAlign w:val="center"/>
            <w:hideMark/>
          </w:tcPr>
          <w:p w14:paraId="61FE0059" w14:textId="77777777" w:rsidR="00C867DB" w:rsidRPr="00C867DB" w:rsidRDefault="00C867DB" w:rsidP="00C867DB">
            <w:r w:rsidRPr="00C867DB">
              <w:t>Faster establishment and recovery</w:t>
            </w:r>
          </w:p>
        </w:tc>
      </w:tr>
      <w:tr w:rsidR="00C867DB" w:rsidRPr="00C867DB" w14:paraId="2F6E1001" w14:textId="77777777" w:rsidTr="00C867DB">
        <w:trPr>
          <w:tblCellSpacing w:w="15" w:type="dxa"/>
        </w:trPr>
        <w:tc>
          <w:tcPr>
            <w:tcW w:w="0" w:type="auto"/>
            <w:vAlign w:val="center"/>
            <w:hideMark/>
          </w:tcPr>
          <w:p w14:paraId="4E8F095C" w14:textId="77777777" w:rsidR="00C867DB" w:rsidRPr="00C867DB" w:rsidRDefault="00C867DB" w:rsidP="00C867DB">
            <w:r w:rsidRPr="00C867DB">
              <w:rPr>
                <w:b/>
                <w:bCs/>
              </w:rPr>
              <w:t>3. Vegetative Growth</w:t>
            </w:r>
          </w:p>
        </w:tc>
        <w:tc>
          <w:tcPr>
            <w:tcW w:w="0" w:type="auto"/>
            <w:vAlign w:val="center"/>
            <w:hideMark/>
          </w:tcPr>
          <w:p w14:paraId="6066F9A5" w14:textId="77777777" w:rsidR="00C867DB" w:rsidRPr="00C867DB" w:rsidRDefault="00C867DB" w:rsidP="00C867DB">
            <w:r w:rsidRPr="00C867DB">
              <w:t>Weeks 1–8</w:t>
            </w:r>
          </w:p>
        </w:tc>
        <w:tc>
          <w:tcPr>
            <w:tcW w:w="0" w:type="auto"/>
            <w:vAlign w:val="center"/>
            <w:hideMark/>
          </w:tcPr>
          <w:p w14:paraId="69840602" w14:textId="77777777" w:rsidR="00C867DB" w:rsidRPr="00C867DB" w:rsidRDefault="00C867DB" w:rsidP="00C867DB">
            <w:r w:rsidRPr="00C867DB">
              <w:t xml:space="preserve">Root drench or foliar spray every </w:t>
            </w:r>
            <w:r w:rsidRPr="00C867DB">
              <w:rPr>
                <w:b/>
                <w:bCs/>
              </w:rPr>
              <w:t>10–14 days</w:t>
            </w:r>
          </w:p>
        </w:tc>
        <w:tc>
          <w:tcPr>
            <w:tcW w:w="0" w:type="auto"/>
            <w:vAlign w:val="center"/>
            <w:hideMark/>
          </w:tcPr>
          <w:p w14:paraId="08E7571E" w14:textId="77777777" w:rsidR="00C867DB" w:rsidRPr="00C867DB" w:rsidRDefault="00C867DB" w:rsidP="00C867DB">
            <w:r w:rsidRPr="00C867DB">
              <w:t>Boosts chlorophyll production; promotes shoot elongation</w:t>
            </w:r>
          </w:p>
        </w:tc>
        <w:tc>
          <w:tcPr>
            <w:tcW w:w="0" w:type="auto"/>
            <w:vAlign w:val="center"/>
            <w:hideMark/>
          </w:tcPr>
          <w:p w14:paraId="2E05CBF4" w14:textId="77777777" w:rsidR="00C867DB" w:rsidRPr="00C867DB" w:rsidRDefault="00C867DB" w:rsidP="00C867DB">
            <w:r w:rsidRPr="00C867DB">
              <w:t>Deep green foliage, strong branching, robust growth</w:t>
            </w:r>
          </w:p>
        </w:tc>
      </w:tr>
      <w:tr w:rsidR="00C867DB" w:rsidRPr="00C867DB" w14:paraId="68A0D0BD" w14:textId="77777777" w:rsidTr="00C867DB">
        <w:trPr>
          <w:tblCellSpacing w:w="15" w:type="dxa"/>
        </w:trPr>
        <w:tc>
          <w:tcPr>
            <w:tcW w:w="0" w:type="auto"/>
            <w:vAlign w:val="center"/>
            <w:hideMark/>
          </w:tcPr>
          <w:p w14:paraId="2C68D154" w14:textId="77777777" w:rsidR="00C867DB" w:rsidRPr="00C867DB" w:rsidRDefault="00C867DB" w:rsidP="00C867DB">
            <w:r w:rsidRPr="00C867DB">
              <w:rPr>
                <w:b/>
                <w:bCs/>
              </w:rPr>
              <w:t>4. Flowering</w:t>
            </w:r>
          </w:p>
        </w:tc>
        <w:tc>
          <w:tcPr>
            <w:tcW w:w="0" w:type="auto"/>
            <w:vAlign w:val="center"/>
            <w:hideMark/>
          </w:tcPr>
          <w:p w14:paraId="4C334A9F" w14:textId="77777777" w:rsidR="00C867DB" w:rsidRPr="00C867DB" w:rsidRDefault="00C867DB" w:rsidP="00C867DB">
            <w:r w:rsidRPr="00C867DB">
              <w:t>After vegetative maturity</w:t>
            </w:r>
          </w:p>
        </w:tc>
        <w:tc>
          <w:tcPr>
            <w:tcW w:w="0" w:type="auto"/>
            <w:vAlign w:val="center"/>
            <w:hideMark/>
          </w:tcPr>
          <w:p w14:paraId="66C29E0F" w14:textId="77777777" w:rsidR="00C867DB" w:rsidRPr="00C867DB" w:rsidRDefault="00C867DB" w:rsidP="00C867DB">
            <w:r w:rsidRPr="00C867DB">
              <w:t xml:space="preserve">Root drench or foliar spray every </w:t>
            </w:r>
            <w:r w:rsidRPr="00C867DB">
              <w:rPr>
                <w:b/>
                <w:bCs/>
              </w:rPr>
              <w:t>14 days</w:t>
            </w:r>
          </w:p>
        </w:tc>
        <w:tc>
          <w:tcPr>
            <w:tcW w:w="0" w:type="auto"/>
            <w:vAlign w:val="center"/>
            <w:hideMark/>
          </w:tcPr>
          <w:p w14:paraId="53369FA8" w14:textId="77777777" w:rsidR="00C867DB" w:rsidRPr="00C867DB" w:rsidRDefault="00C867DB" w:rsidP="00C867DB">
            <w:r w:rsidRPr="00C867DB">
              <w:t>Enhances flower bud formation; improves bloom retention</w:t>
            </w:r>
          </w:p>
        </w:tc>
        <w:tc>
          <w:tcPr>
            <w:tcW w:w="0" w:type="auto"/>
            <w:vAlign w:val="center"/>
            <w:hideMark/>
          </w:tcPr>
          <w:p w14:paraId="7197D3AF" w14:textId="77777777" w:rsidR="00C867DB" w:rsidRPr="00C867DB" w:rsidRDefault="00C867DB" w:rsidP="00C867DB">
            <w:r w:rsidRPr="00C867DB">
              <w:t>Abundant, long-lasting blooms</w:t>
            </w:r>
          </w:p>
        </w:tc>
      </w:tr>
    </w:tbl>
    <w:p w14:paraId="739BD4EA" w14:textId="0EFBCE88" w:rsidR="00C867DB" w:rsidRPr="005E5278" w:rsidRDefault="00C867DB" w:rsidP="00C867DB">
      <w:r>
        <w:br w:type="textWrapping" w:clear="all"/>
      </w:r>
    </w:p>
    <w:p w14:paraId="53E3A73B" w14:textId="77777777" w:rsidR="00802FC4" w:rsidRPr="00802FC4" w:rsidRDefault="00802FC4" w:rsidP="00802FC4">
      <w:pPr>
        <w:rPr>
          <w:b/>
          <w:bCs/>
          <w:sz w:val="28"/>
          <w:szCs w:val="28"/>
          <w:u w:val="single"/>
        </w:rPr>
      </w:pPr>
      <w:r w:rsidRPr="00802FC4">
        <w:rPr>
          <w:b/>
          <w:bCs/>
          <w:sz w:val="28"/>
          <w:szCs w:val="28"/>
          <w:u w:val="single"/>
        </w:rPr>
        <w:t>Nutrient Compatibility</w:t>
      </w:r>
    </w:p>
    <w:p w14:paraId="5F9353E1" w14:textId="2E7808D6" w:rsidR="00802FC4" w:rsidRPr="00802FC4" w:rsidRDefault="00802FC4" w:rsidP="00802FC4">
      <w:r w:rsidRPr="00802FC4">
        <w:lastRenderedPageBreak/>
        <w:t xml:space="preserve">Biowash 25 is </w:t>
      </w:r>
      <w:r w:rsidRPr="00802FC4">
        <w:rPr>
          <w:b/>
          <w:bCs/>
        </w:rPr>
        <w:t xml:space="preserve">fully compatible with most macro and </w:t>
      </w:r>
      <w:r w:rsidR="008A501A" w:rsidRPr="00802FC4">
        <w:rPr>
          <w:b/>
          <w:bCs/>
        </w:rPr>
        <w:t>micronutrients</w:t>
      </w:r>
      <w:r w:rsidRPr="00802FC4">
        <w:t xml:space="preserve"> when used in a tank mix, making it easy to integrate into an existing feeding program. This allows growers to deliver essential nutrients alongside the bio stimulant benefits of Biowash 25, improving efficiency and reducing labor. </w:t>
      </w:r>
      <w:r w:rsidRPr="00802FC4">
        <w:rPr>
          <w:color w:val="EE0000"/>
        </w:rPr>
        <w:t xml:space="preserve">Always check for compatibility before mixing with new </w:t>
      </w:r>
      <w:r w:rsidRPr="00DB3EE1">
        <w:rPr>
          <w:color w:val="EE0000"/>
        </w:rPr>
        <w:t>products and</w:t>
      </w:r>
      <w:r w:rsidRPr="00802FC4">
        <w:rPr>
          <w:color w:val="EE0000"/>
        </w:rPr>
        <w:t xml:space="preserve"> ensure thorough agitation of the solution for best results</w:t>
      </w:r>
      <w:r w:rsidRPr="00802FC4">
        <w:t>.</w:t>
      </w:r>
    </w:p>
    <w:p w14:paraId="3205C996" w14:textId="77777777" w:rsidR="00802FC4" w:rsidRPr="00802FC4" w:rsidRDefault="00FE64FA" w:rsidP="00802FC4">
      <w:r>
        <w:rPr>
          <w:noProof/>
        </w:rPr>
      </w:r>
      <w:r>
        <w:pict w14:anchorId="5C24FD06">
          <v:rect id="Horizontal Line 6"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3135A15" w14:textId="77777777" w:rsidR="00802FC4" w:rsidRPr="00802FC4" w:rsidRDefault="00802FC4" w:rsidP="00802FC4">
      <w:pPr>
        <w:rPr>
          <w:b/>
          <w:bCs/>
        </w:rPr>
      </w:pPr>
      <w:r w:rsidRPr="00802FC4">
        <w:rPr>
          <w:b/>
          <w:bCs/>
        </w:rPr>
        <w:t>Pro Tips for Best Results</w:t>
      </w:r>
    </w:p>
    <w:p w14:paraId="3873A242" w14:textId="7E3D6A39" w:rsidR="00802FC4" w:rsidRPr="00802FC4" w:rsidRDefault="00802FC4" w:rsidP="00802FC4">
      <w:pPr>
        <w:numPr>
          <w:ilvl w:val="0"/>
          <w:numId w:val="6"/>
        </w:numPr>
      </w:pPr>
      <w:r w:rsidRPr="00802FC4">
        <w:t xml:space="preserve">Use </w:t>
      </w:r>
      <w:r w:rsidRPr="00802FC4">
        <w:rPr>
          <w:b/>
          <w:bCs/>
        </w:rPr>
        <w:t>fresh solution</w:t>
      </w:r>
      <w:r w:rsidRPr="00802FC4">
        <w:t xml:space="preserve"> for each soaking or drenching to maintain maximum bioactivity.</w:t>
      </w:r>
    </w:p>
    <w:p w14:paraId="47249485" w14:textId="77777777" w:rsidR="00802FC4" w:rsidRPr="00802FC4" w:rsidRDefault="00802FC4" w:rsidP="00802FC4">
      <w:pPr>
        <w:numPr>
          <w:ilvl w:val="0"/>
          <w:numId w:val="6"/>
        </w:numPr>
      </w:pPr>
      <w:r w:rsidRPr="00802FC4">
        <w:t xml:space="preserve">Ensure pots or planting beds have </w:t>
      </w:r>
      <w:r w:rsidRPr="00802FC4">
        <w:rPr>
          <w:b/>
          <w:bCs/>
        </w:rPr>
        <w:t>good drainage</w:t>
      </w:r>
      <w:r w:rsidRPr="00802FC4">
        <w:t xml:space="preserve"> to prevent root stress.</w:t>
      </w:r>
    </w:p>
    <w:p w14:paraId="61628449" w14:textId="77777777" w:rsidR="00802FC4" w:rsidRPr="00802FC4" w:rsidRDefault="00802FC4" w:rsidP="00802FC4">
      <w:pPr>
        <w:numPr>
          <w:ilvl w:val="0"/>
          <w:numId w:val="6"/>
        </w:numPr>
      </w:pPr>
      <w:r w:rsidRPr="00802FC4">
        <w:t xml:space="preserve">Apply in the </w:t>
      </w:r>
      <w:r w:rsidRPr="00802FC4">
        <w:rPr>
          <w:b/>
          <w:bCs/>
        </w:rPr>
        <w:t>early morning or late afternoon</w:t>
      </w:r>
      <w:r w:rsidRPr="00802FC4">
        <w:t xml:space="preserve"> to reduce evaporation and leaf scorch.</w:t>
      </w:r>
    </w:p>
    <w:p w14:paraId="1B79D9C9" w14:textId="77777777" w:rsidR="00802FC4" w:rsidRPr="00802FC4" w:rsidRDefault="00802FC4" w:rsidP="00802FC4">
      <w:pPr>
        <w:numPr>
          <w:ilvl w:val="0"/>
          <w:numId w:val="6"/>
        </w:numPr>
      </w:pPr>
      <w:r w:rsidRPr="00802FC4">
        <w:t>Continue light feeding during flowering to sustain energy for blooms.</w:t>
      </w:r>
    </w:p>
    <w:p w14:paraId="063AB9A8" w14:textId="77777777" w:rsidR="005E5278" w:rsidRDefault="005E5278"/>
    <w:sectPr w:rsidR="005E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8FF"/>
    <w:multiLevelType w:val="multilevel"/>
    <w:tmpl w:val="06DA2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67C6C"/>
    <w:multiLevelType w:val="multilevel"/>
    <w:tmpl w:val="1B9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A208E"/>
    <w:multiLevelType w:val="multilevel"/>
    <w:tmpl w:val="20E69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D6C5F"/>
    <w:multiLevelType w:val="multilevel"/>
    <w:tmpl w:val="A0D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B1B4A"/>
    <w:multiLevelType w:val="multilevel"/>
    <w:tmpl w:val="41F2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06DED"/>
    <w:multiLevelType w:val="multilevel"/>
    <w:tmpl w:val="D21A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390074">
    <w:abstractNumId w:val="1"/>
  </w:num>
  <w:num w:numId="2" w16cid:durableId="1842112906">
    <w:abstractNumId w:val="3"/>
  </w:num>
  <w:num w:numId="3" w16cid:durableId="476580750">
    <w:abstractNumId w:val="2"/>
  </w:num>
  <w:num w:numId="4" w16cid:durableId="1714035614">
    <w:abstractNumId w:val="0"/>
  </w:num>
  <w:num w:numId="5" w16cid:durableId="699670057">
    <w:abstractNumId w:val="5"/>
  </w:num>
  <w:num w:numId="6" w16cid:durableId="993685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78"/>
    <w:rsid w:val="002D306C"/>
    <w:rsid w:val="003C1FFB"/>
    <w:rsid w:val="00407AB8"/>
    <w:rsid w:val="0041261F"/>
    <w:rsid w:val="005E5278"/>
    <w:rsid w:val="006B2EE5"/>
    <w:rsid w:val="007E33B6"/>
    <w:rsid w:val="00802FC4"/>
    <w:rsid w:val="008A501A"/>
    <w:rsid w:val="0095770C"/>
    <w:rsid w:val="00C867DB"/>
    <w:rsid w:val="00DB3EE1"/>
    <w:rsid w:val="00FE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6D70ACB"/>
  <w15:chartTrackingRefBased/>
  <w15:docId w15:val="{4F47872D-944E-4C39-8CDE-42DC2359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78"/>
    <w:rPr>
      <w:rFonts w:eastAsiaTheme="majorEastAsia" w:cstheme="majorBidi"/>
      <w:color w:val="272727" w:themeColor="text1" w:themeTint="D8"/>
    </w:rPr>
  </w:style>
  <w:style w:type="paragraph" w:styleId="Title">
    <w:name w:val="Title"/>
    <w:basedOn w:val="Normal"/>
    <w:next w:val="Normal"/>
    <w:link w:val="TitleChar"/>
    <w:uiPriority w:val="10"/>
    <w:qFormat/>
    <w:rsid w:val="005E5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78"/>
    <w:pPr>
      <w:spacing w:before="160"/>
      <w:jc w:val="center"/>
    </w:pPr>
    <w:rPr>
      <w:i/>
      <w:iCs/>
      <w:color w:val="404040" w:themeColor="text1" w:themeTint="BF"/>
    </w:rPr>
  </w:style>
  <w:style w:type="character" w:customStyle="1" w:styleId="QuoteChar">
    <w:name w:val="Quote Char"/>
    <w:basedOn w:val="DefaultParagraphFont"/>
    <w:link w:val="Quote"/>
    <w:uiPriority w:val="29"/>
    <w:rsid w:val="005E5278"/>
    <w:rPr>
      <w:i/>
      <w:iCs/>
      <w:color w:val="404040" w:themeColor="text1" w:themeTint="BF"/>
    </w:rPr>
  </w:style>
  <w:style w:type="paragraph" w:styleId="ListParagraph">
    <w:name w:val="List Paragraph"/>
    <w:basedOn w:val="Normal"/>
    <w:uiPriority w:val="34"/>
    <w:qFormat/>
    <w:rsid w:val="005E5278"/>
    <w:pPr>
      <w:ind w:left="720"/>
      <w:contextualSpacing/>
    </w:pPr>
  </w:style>
  <w:style w:type="character" w:styleId="IntenseEmphasis">
    <w:name w:val="Intense Emphasis"/>
    <w:basedOn w:val="DefaultParagraphFont"/>
    <w:uiPriority w:val="21"/>
    <w:qFormat/>
    <w:rsid w:val="005E5278"/>
    <w:rPr>
      <w:i/>
      <w:iCs/>
      <w:color w:val="0F4761" w:themeColor="accent1" w:themeShade="BF"/>
    </w:rPr>
  </w:style>
  <w:style w:type="paragraph" w:styleId="IntenseQuote">
    <w:name w:val="Intense Quote"/>
    <w:basedOn w:val="Normal"/>
    <w:next w:val="Normal"/>
    <w:link w:val="IntenseQuoteChar"/>
    <w:uiPriority w:val="30"/>
    <w:qFormat/>
    <w:rsid w:val="005E5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78"/>
    <w:rPr>
      <w:i/>
      <w:iCs/>
      <w:color w:val="0F4761" w:themeColor="accent1" w:themeShade="BF"/>
    </w:rPr>
  </w:style>
  <w:style w:type="character" w:styleId="IntenseReference">
    <w:name w:val="Intense Reference"/>
    <w:basedOn w:val="DefaultParagraphFont"/>
    <w:uiPriority w:val="32"/>
    <w:qFormat/>
    <w:rsid w:val="005E5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696</Words>
  <Characters>4301</Characters>
  <Application>Microsoft Office Word</Application>
  <DocSecurity>0</DocSecurity>
  <Lines>148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Harnel Mathurin</dc:creator>
  <cp:keywords/>
  <dc:description/>
  <cp:lastModifiedBy>daniel piper</cp:lastModifiedBy>
  <cp:revision>6</cp:revision>
  <cp:lastPrinted>2026-04-27T21:05:00Z</cp:lastPrinted>
  <dcterms:created xsi:type="dcterms:W3CDTF">2025-08-15T18:18:00Z</dcterms:created>
  <dcterms:modified xsi:type="dcterms:W3CDTF">2026-04-27T21:05:00Z</dcterms:modified>
</cp:coreProperties>
</file>