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C3" w:rsidRPr="003D0EDF" w:rsidRDefault="003A17C3" w:rsidP="0071220B">
      <w:pPr>
        <w:jc w:val="center"/>
        <w:rPr>
          <w:bCs/>
        </w:rPr>
      </w:pPr>
      <w:bookmarkStart w:id="0" w:name="_GoBack"/>
      <w:bookmarkEnd w:id="0"/>
      <w:r w:rsidRPr="00F435BC">
        <w:rPr>
          <w:bCs/>
          <w:sz w:val="28"/>
          <w:szCs w:val="28"/>
        </w:rPr>
        <w:t>Tyler James Titus</w:t>
      </w:r>
      <w:r w:rsidR="003D0EDF" w:rsidRPr="00F435BC">
        <w:rPr>
          <w:bCs/>
          <w:sz w:val="28"/>
          <w:szCs w:val="28"/>
        </w:rPr>
        <w:t>, LPC</w:t>
      </w:r>
      <w:r w:rsidRPr="00F435BC">
        <w:rPr>
          <w:bCs/>
        </w:rPr>
        <w:br/>
      </w:r>
      <w:r w:rsidRPr="00F435BC">
        <w:rPr>
          <w:bCs/>
        </w:rPr>
        <w:br/>
        <w:t>814-</w:t>
      </w:r>
      <w:r w:rsidR="00D8138F">
        <w:rPr>
          <w:bCs/>
        </w:rPr>
        <w:t>431-4553</w:t>
      </w:r>
      <w:r w:rsidRPr="00F435BC">
        <w:rPr>
          <w:bCs/>
        </w:rPr>
        <w:br/>
      </w:r>
      <w:r w:rsidR="00D8138F">
        <w:rPr>
          <w:bCs/>
        </w:rPr>
        <w:t>tylertituslpc@gmail.com</w:t>
      </w:r>
    </w:p>
    <w:p w:rsidR="003A17C3" w:rsidRPr="00F435BC" w:rsidRDefault="00D8138F" w:rsidP="00F435BC">
      <w:pPr>
        <w:jc w:val="center"/>
        <w:rPr>
          <w:b/>
          <w:sz w:val="28"/>
          <w:szCs w:val="28"/>
        </w:rPr>
      </w:pPr>
      <w:r>
        <w:rPr>
          <w:b/>
          <w:sz w:val="28"/>
          <w:szCs w:val="28"/>
        </w:rPr>
        <w:t xml:space="preserve">Understanding </w:t>
      </w:r>
      <w:r w:rsidR="00295498">
        <w:rPr>
          <w:b/>
          <w:sz w:val="28"/>
          <w:szCs w:val="28"/>
        </w:rPr>
        <w:t>Our</w:t>
      </w:r>
      <w:r w:rsidR="00F435BC" w:rsidRPr="00F435BC">
        <w:rPr>
          <w:b/>
          <w:sz w:val="28"/>
          <w:szCs w:val="28"/>
        </w:rPr>
        <w:t xml:space="preserve"> </w:t>
      </w:r>
      <w:r w:rsidR="00767848">
        <w:rPr>
          <w:b/>
          <w:sz w:val="28"/>
          <w:szCs w:val="28"/>
        </w:rPr>
        <w:t>T</w:t>
      </w:r>
      <w:r w:rsidR="00295498">
        <w:rPr>
          <w:b/>
          <w:sz w:val="28"/>
          <w:szCs w:val="28"/>
        </w:rPr>
        <w:t>ransgender and Non-B</w:t>
      </w:r>
      <w:r w:rsidR="00295498" w:rsidRPr="00295498">
        <w:rPr>
          <w:b/>
          <w:sz w:val="28"/>
          <w:szCs w:val="28"/>
        </w:rPr>
        <w:t>inary</w:t>
      </w:r>
      <w:r w:rsidR="00F435BC" w:rsidRPr="00F435BC">
        <w:rPr>
          <w:b/>
          <w:sz w:val="28"/>
          <w:szCs w:val="28"/>
        </w:rPr>
        <w:t xml:space="preserve"> </w:t>
      </w:r>
      <w:r w:rsidR="00295498">
        <w:rPr>
          <w:b/>
          <w:sz w:val="28"/>
          <w:szCs w:val="28"/>
        </w:rPr>
        <w:t>Youth</w:t>
      </w:r>
    </w:p>
    <w:p w:rsidR="003A17C3" w:rsidRPr="00BE7805" w:rsidRDefault="003A17C3" w:rsidP="003A17C3">
      <w:pPr>
        <w:rPr>
          <w:b/>
        </w:rPr>
      </w:pPr>
      <w:r w:rsidRPr="00BE7805">
        <w:rPr>
          <w:b/>
        </w:rPr>
        <w:t>A brief description of the presentation</w:t>
      </w:r>
      <w:r w:rsidR="00F04274" w:rsidRPr="00BE7805">
        <w:rPr>
          <w:b/>
        </w:rPr>
        <w:t>:</w:t>
      </w:r>
    </w:p>
    <w:p w:rsidR="00093A2A" w:rsidRPr="003A17C3" w:rsidRDefault="0079458F" w:rsidP="003A17C3">
      <w:r>
        <w:t xml:space="preserve">In June of 2014, Tiffany begin his transition to Tyler in both his personal and professional life. Tyler struggled with depression and suicidal ideation prior to and during his transition. This workshop will focus on how those in the helping profession can address suicidal risks in the </w:t>
      </w:r>
      <w:r w:rsidR="00295498">
        <w:t>trans-youth</w:t>
      </w:r>
      <w:r>
        <w:t xml:space="preserve"> </w:t>
      </w:r>
      <w:r w:rsidR="00DA4AE3">
        <w:t>population</w:t>
      </w:r>
      <w:r w:rsidR="00700EF6">
        <w:t xml:space="preserve"> by creating an understanding of the detrimental, and potentially lethal, impact current cultural influences have become on this particularly vulnerable population</w:t>
      </w:r>
      <w:r>
        <w:t xml:space="preserve">. </w:t>
      </w:r>
      <w:r w:rsidR="00FB4669">
        <w:t xml:space="preserve">The </w:t>
      </w:r>
      <w:r w:rsidR="00DA4AE3">
        <w:t xml:space="preserve">session </w:t>
      </w:r>
      <w:r w:rsidR="00FB4669">
        <w:t xml:space="preserve">will </w:t>
      </w:r>
      <w:r w:rsidR="0071220B">
        <w:t>empower</w:t>
      </w:r>
      <w:r w:rsidR="00FB4669">
        <w:t xml:space="preserve"> </w:t>
      </w:r>
      <w:r w:rsidR="00D8138F">
        <w:t>participants</w:t>
      </w:r>
      <w:r w:rsidR="00FB4669">
        <w:t xml:space="preserve"> with</w:t>
      </w:r>
      <w:r w:rsidR="0071220B">
        <w:t xml:space="preserve"> tools necessary to </w:t>
      </w:r>
      <w:r w:rsidR="00700EF6">
        <w:t xml:space="preserve">not only </w:t>
      </w:r>
      <w:r w:rsidR="0071220B">
        <w:t>support</w:t>
      </w:r>
      <w:r w:rsidR="00FB4669">
        <w:t xml:space="preserve"> </w:t>
      </w:r>
      <w:r w:rsidR="00295498">
        <w:t>transgender and non-binary</w:t>
      </w:r>
      <w:r w:rsidR="00FB4669">
        <w:t xml:space="preserve"> </w:t>
      </w:r>
      <w:r w:rsidR="00D8138F">
        <w:t>youth</w:t>
      </w:r>
      <w:r w:rsidR="00FB4669">
        <w:t xml:space="preserve"> in their care</w:t>
      </w:r>
      <w:r w:rsidR="00700EF6">
        <w:t>, but how to effectively advocate for them</w:t>
      </w:r>
      <w:r w:rsidR="00FB4669">
        <w:t>.</w:t>
      </w:r>
      <w:r w:rsidR="00D8138F">
        <w:t xml:space="preserve"> Tyler is an independent consult</w:t>
      </w:r>
      <w:r w:rsidR="00970B11">
        <w:t xml:space="preserve"> who works with </w:t>
      </w:r>
      <w:r w:rsidR="00D8138F">
        <w:t>community and state organizations to assure equitable and affirmatives services are provided to LGBTQA youth.  In 2017 he</w:t>
      </w:r>
      <w:r w:rsidR="00295498">
        <w:t xml:space="preserve"> became the first openly transgender person elected to office in the state of Pennsylvania</w:t>
      </w:r>
      <w:r w:rsidR="00700EF6">
        <w:t>.</w:t>
      </w:r>
    </w:p>
    <w:p w:rsidR="00F32D9D" w:rsidRPr="00F04274" w:rsidRDefault="003A17C3" w:rsidP="003A17C3">
      <w:pPr>
        <w:rPr>
          <w:b/>
        </w:rPr>
      </w:pPr>
      <w:r w:rsidRPr="00F04274">
        <w:rPr>
          <w:b/>
        </w:rPr>
        <w:t>An expanded description of the presentation</w:t>
      </w:r>
      <w:r w:rsidR="00F04274" w:rsidRPr="00F04274">
        <w:rPr>
          <w:b/>
        </w:rPr>
        <w:t>.</w:t>
      </w:r>
      <w:r w:rsidRPr="00F04274">
        <w:rPr>
          <w:b/>
        </w:rPr>
        <w:t xml:space="preserve"> </w:t>
      </w:r>
    </w:p>
    <w:p w:rsidR="003D7311" w:rsidRDefault="003D0EDF" w:rsidP="003D7311">
      <w:r>
        <w:t>This presentation will review the</w:t>
      </w:r>
      <w:r w:rsidR="00565096">
        <w:t xml:space="preserve"> </w:t>
      </w:r>
      <w:r w:rsidR="0079458F">
        <w:t xml:space="preserve">risks within the </w:t>
      </w:r>
      <w:r w:rsidR="00295498">
        <w:t xml:space="preserve">transgender and non-binary </w:t>
      </w:r>
      <w:r w:rsidR="0079458F">
        <w:t>population</w:t>
      </w:r>
      <w:r>
        <w:t xml:space="preserve">, gaps </w:t>
      </w:r>
      <w:r w:rsidR="00D8138F">
        <w:t>within our current</w:t>
      </w:r>
      <w:r>
        <w:t xml:space="preserve"> system</w:t>
      </w:r>
      <w:r w:rsidR="00D8138F">
        <w:t>s</w:t>
      </w:r>
      <w:r w:rsidR="00565096">
        <w:t xml:space="preserve"> for </w:t>
      </w:r>
      <w:r w:rsidR="00295498">
        <w:t>transgender and non-binary</w:t>
      </w:r>
      <w:r w:rsidR="00565096">
        <w:t>, and how to advocate for and support the youth through the process of self-discovery.</w:t>
      </w:r>
      <w:r w:rsidR="003D7311">
        <w:t xml:space="preserve"> </w:t>
      </w:r>
    </w:p>
    <w:p w:rsidR="003D7311" w:rsidRDefault="003D7311" w:rsidP="003D7311">
      <w:r>
        <w:t>Learning Objective of this presentation are</w:t>
      </w:r>
      <w:r w:rsidR="004434B7">
        <w:t xml:space="preserve"> to</w:t>
      </w:r>
      <w:r>
        <w:t>:</w:t>
      </w:r>
    </w:p>
    <w:p w:rsidR="003D0EDF" w:rsidRDefault="00137F78" w:rsidP="00137F78">
      <w:r>
        <w:t xml:space="preserve">1) </w:t>
      </w:r>
      <w:r w:rsidRPr="00137F78">
        <w:t>Expand awareness of the intersections of sex, gender, gender identity, and sexual orientation</w:t>
      </w:r>
      <w:r>
        <w:br/>
        <w:t>2</w:t>
      </w:r>
      <w:r w:rsidR="00F15387">
        <w:t xml:space="preserve">) </w:t>
      </w:r>
      <w:r w:rsidR="003D7311">
        <w:t xml:space="preserve">Increase understanding about the need for </w:t>
      </w:r>
      <w:r w:rsidR="00295498">
        <w:t>transgender and non-binary</w:t>
      </w:r>
      <w:r w:rsidR="003D7311">
        <w:t xml:space="preserve"> competent services</w:t>
      </w:r>
      <w:r w:rsidR="000A26B6">
        <w:t xml:space="preserve"> and the detrimental impact the lack of competent services can cause</w:t>
      </w:r>
      <w:r>
        <w:br/>
      </w:r>
      <w:r w:rsidR="000A26B6">
        <w:t>3</w:t>
      </w:r>
      <w:r w:rsidR="003D7311">
        <w:t xml:space="preserve">) Develop an understanding of how to </w:t>
      </w:r>
      <w:r w:rsidR="00B55E0E">
        <w:t>support</w:t>
      </w:r>
      <w:r w:rsidR="003D7311">
        <w:t xml:space="preserve"> and </w:t>
      </w:r>
      <w:r w:rsidR="00B55E0E">
        <w:t>advocate for quality care</w:t>
      </w:r>
      <w:r w:rsidR="003D7311">
        <w:t xml:space="preserve"> when working with </w:t>
      </w:r>
      <w:r w:rsidR="00295498">
        <w:t>transgender and non-binary</w:t>
      </w:r>
      <w:r w:rsidR="00F435BC">
        <w:t xml:space="preserve"> </w:t>
      </w:r>
      <w:r w:rsidR="00B55E0E">
        <w:t>youth</w:t>
      </w:r>
      <w:r w:rsidR="00F15387">
        <w:t>.</w:t>
      </w:r>
    </w:p>
    <w:p w:rsidR="00F15387" w:rsidRDefault="0079458F" w:rsidP="0079458F">
      <w:r w:rsidRPr="0079458F">
        <w:t>LGBTQA teens are 6x more likely to experience depression vs. general population</w:t>
      </w:r>
      <w:r>
        <w:t xml:space="preserve">. Supporting evidence shows </w:t>
      </w:r>
      <w:r w:rsidR="00F15387">
        <w:t>that LGBTQ</w:t>
      </w:r>
      <w:r>
        <w:t>A</w:t>
      </w:r>
      <w:r w:rsidR="00F15387">
        <w:t xml:space="preserve"> individuals are 2-3 times more likely to seek out assistance from a helping professional than their heterosexual counterparts</w:t>
      </w:r>
      <w:r w:rsidR="00D87EF5">
        <w:t xml:space="preserve"> (works cited </w:t>
      </w:r>
      <w:r w:rsidR="00D87EF5" w:rsidRPr="00D87EF5">
        <w:t>1</w:t>
      </w:r>
      <w:proofErr w:type="gramStart"/>
      <w:r w:rsidR="00D87EF5" w:rsidRPr="00D87EF5">
        <w:t>,2,3,4,5</w:t>
      </w:r>
      <w:proofErr w:type="gramEnd"/>
      <w:r w:rsidR="00D87EF5">
        <w:t>)</w:t>
      </w:r>
      <w:r w:rsidR="00F15387">
        <w:t xml:space="preserve">. As a result of heterosexism and homophobia, </w:t>
      </w:r>
      <w:r w:rsidR="00F435BC">
        <w:t>LGBTQA individuals are</w:t>
      </w:r>
      <w:r w:rsidR="00F15387">
        <w:t xml:space="preserve"> at an increased risk for depression, anxiety disorders, s</w:t>
      </w:r>
      <w:r w:rsidR="006C7672">
        <w:t xml:space="preserve">ubstance abuse, and </w:t>
      </w:r>
      <w:r w:rsidR="00F435BC">
        <w:t>suicide</w:t>
      </w:r>
      <w:r w:rsidR="00D87EF5">
        <w:t xml:space="preserve"> (works cited </w:t>
      </w:r>
      <w:r w:rsidR="00D87EF5" w:rsidRPr="00D87EF5">
        <w:t>6</w:t>
      </w:r>
      <w:proofErr w:type="gramStart"/>
      <w:r w:rsidR="00D87EF5" w:rsidRPr="00D87EF5">
        <w:t>,7,8,9,10</w:t>
      </w:r>
      <w:proofErr w:type="gramEnd"/>
      <w:r w:rsidR="00D87EF5">
        <w:t>)</w:t>
      </w:r>
      <w:r w:rsidR="00F15387">
        <w:t xml:space="preserve">. </w:t>
      </w:r>
      <w:r w:rsidR="00F435BC" w:rsidRPr="00F435BC">
        <w:t>Suicide is one of the leading causes of death for LGBTQA people between 10 -24</w:t>
      </w:r>
      <w:r w:rsidR="00F435BC">
        <w:t xml:space="preserve"> years of age. </w:t>
      </w:r>
      <w:r>
        <w:t xml:space="preserve">Those rejected by their family are 8x more likely to attempt suicide than those who are accepted and supported. </w:t>
      </w:r>
      <w:r w:rsidR="00F15387">
        <w:t>Sexual minority individuals are significantly more likely to experience childhood physical and sexual abuse, violence in their communities (including hate crimes), intimate partner violence, and</w:t>
      </w:r>
      <w:r w:rsidR="00922AD3">
        <w:t xml:space="preserve"> sexual assault in adulthood</w:t>
      </w:r>
      <w:r w:rsidR="00D87EF5">
        <w:t xml:space="preserve"> (works cited 11, 18)</w:t>
      </w:r>
      <w:r w:rsidR="00922AD3">
        <w:t xml:space="preserve">. </w:t>
      </w:r>
      <w:r>
        <w:t>R</w:t>
      </w:r>
      <w:r w:rsidR="00922AD3">
        <w:t>esearch indicates that t</w:t>
      </w:r>
      <w:r w:rsidR="00F15387">
        <w:t xml:space="preserve">he </w:t>
      </w:r>
      <w:proofErr w:type="gramStart"/>
      <w:r w:rsidR="00F15387">
        <w:t>trans</w:t>
      </w:r>
      <w:proofErr w:type="gramEnd"/>
      <w:r w:rsidR="00F15387">
        <w:t xml:space="preserve"> population </w:t>
      </w:r>
      <w:r w:rsidR="00922AD3">
        <w:t>continues to face</w:t>
      </w:r>
      <w:r w:rsidR="00F15387">
        <w:t xml:space="preserve"> extremely high rates of </w:t>
      </w:r>
      <w:r w:rsidR="00F15387">
        <w:lastRenderedPageBreak/>
        <w:t>unemployment, poverty, suicidality, and harassment and discrimination in health care, educa</w:t>
      </w:r>
      <w:r w:rsidR="00922AD3">
        <w:t>tional, and forensic settings</w:t>
      </w:r>
      <w:r w:rsidR="00D87EF5">
        <w:t xml:space="preserve"> (works cited 20)</w:t>
      </w:r>
      <w:r w:rsidR="00922AD3">
        <w:t xml:space="preserve">. </w:t>
      </w:r>
    </w:p>
    <w:p w:rsidR="003A17C3" w:rsidRPr="003A17C3" w:rsidRDefault="008729DA" w:rsidP="00D8138F">
      <w:r>
        <w:t xml:space="preserve">This workshop will teach </w:t>
      </w:r>
      <w:r w:rsidR="00D8138F">
        <w:t>service providers</w:t>
      </w:r>
      <w:r>
        <w:t xml:space="preserve"> h</w:t>
      </w:r>
      <w:r w:rsidR="00D8138F">
        <w:t>ow to advocate within the various</w:t>
      </w:r>
      <w:r>
        <w:t xml:space="preserve"> </w:t>
      </w:r>
      <w:r w:rsidR="002961D5">
        <w:t>system</w:t>
      </w:r>
      <w:r w:rsidR="00D8138F">
        <w:t>s</w:t>
      </w:r>
      <w:r>
        <w:t>, the youth’s personal and social life, and ho</w:t>
      </w:r>
      <w:r w:rsidR="00D8138F">
        <w:t>w to support them while they navigate various intersections of healing, growth and self-discovery</w:t>
      </w:r>
      <w:r>
        <w:t xml:space="preserve">. </w:t>
      </w:r>
      <w:r w:rsidR="002961D5">
        <w:t>By the end of the presentation, the attendee will be more awar</w:t>
      </w:r>
      <w:r w:rsidR="000A26B6">
        <w:t xml:space="preserve">e of daily struggles faced by transgender </w:t>
      </w:r>
      <w:r w:rsidR="002961D5">
        <w:t>youth</w:t>
      </w:r>
      <w:r w:rsidR="0079458F">
        <w:t xml:space="preserve"> and their families</w:t>
      </w:r>
      <w:r w:rsidR="002961D5">
        <w:t>, be prepared to engage in informative discussions surrounding tough topics such as transitioning and coming out, and feel confident in their abili</w:t>
      </w:r>
      <w:r w:rsidR="000A26B6">
        <w:t>ty to provide quality care to transgender and non-binary youth who are</w:t>
      </w:r>
      <w:r w:rsidR="0079458F">
        <w:t xml:space="preserve"> experiencing </w:t>
      </w:r>
      <w:r w:rsidR="00D8138F">
        <w:t>isolation,</w:t>
      </w:r>
      <w:r w:rsidR="000A26B6">
        <w:t xml:space="preserve"> suicidal ideation</w:t>
      </w:r>
      <w:r w:rsidR="00D8138F">
        <w:t>, and/or delinquent behaviors</w:t>
      </w:r>
      <w:r w:rsidR="002961D5">
        <w:t>.</w:t>
      </w:r>
      <w:r w:rsidR="00F04274">
        <w:t xml:space="preserve"> This presentation will be conducted through PowerPoint with handouts, video segments,</w:t>
      </w:r>
      <w:r w:rsidR="000A26B6">
        <w:t xml:space="preserve"> interaction through collaboration of creating solutions to existing barriers,</w:t>
      </w:r>
      <w:r w:rsidR="00F04274">
        <w:t xml:space="preserve"> and end wi</w:t>
      </w:r>
      <w:r w:rsidR="00D8138F">
        <w:t>th a Question &amp; Answer session.</w:t>
      </w:r>
    </w:p>
    <w:p w:rsidR="00BE7805" w:rsidRDefault="00BE7805">
      <w:pPr>
        <w:rPr>
          <w:b/>
          <w:bCs/>
        </w:rPr>
      </w:pPr>
      <w:r>
        <w:rPr>
          <w:b/>
          <w:bCs/>
        </w:rPr>
        <w:br w:type="page"/>
      </w:r>
    </w:p>
    <w:p w:rsidR="00D166A0" w:rsidRDefault="009225E6">
      <w:pPr>
        <w:rPr>
          <w:bCs/>
        </w:rPr>
      </w:pPr>
      <w:r w:rsidRPr="009225E6">
        <w:rPr>
          <w:b/>
          <w:bCs/>
          <w:u w:val="single"/>
        </w:rPr>
        <w:lastRenderedPageBreak/>
        <w:t>Professional References</w:t>
      </w:r>
      <w:r w:rsidRPr="009225E6">
        <w:rPr>
          <w:b/>
          <w:bCs/>
        </w:rPr>
        <w:t xml:space="preserve"> </w:t>
      </w:r>
      <w:r w:rsidRPr="009225E6">
        <w:rPr>
          <w:b/>
          <w:bCs/>
        </w:rPr>
        <w:br/>
      </w:r>
      <w:r w:rsidRPr="009225E6">
        <w:rPr>
          <w:bCs/>
        </w:rPr>
        <w:t xml:space="preserve">Jessica </w:t>
      </w:r>
      <w:proofErr w:type="spellStart"/>
      <w:r w:rsidRPr="009225E6">
        <w:rPr>
          <w:bCs/>
        </w:rPr>
        <w:t>Hippley</w:t>
      </w:r>
      <w:proofErr w:type="spellEnd"/>
      <w:r w:rsidRPr="009225E6">
        <w:rPr>
          <w:bCs/>
        </w:rPr>
        <w:t>, LCSW</w:t>
      </w:r>
      <w:r w:rsidRPr="009225E6">
        <w:rPr>
          <w:bCs/>
        </w:rPr>
        <w:br/>
        <w:t xml:space="preserve">Professor at </w:t>
      </w:r>
      <w:proofErr w:type="spellStart"/>
      <w:r w:rsidRPr="009225E6">
        <w:rPr>
          <w:bCs/>
        </w:rPr>
        <w:t>Edinboro</w:t>
      </w:r>
      <w:proofErr w:type="spellEnd"/>
      <w:r w:rsidRPr="009225E6">
        <w:rPr>
          <w:bCs/>
        </w:rPr>
        <w:t xml:space="preserve"> University</w:t>
      </w:r>
      <w:r w:rsidRPr="009225E6">
        <w:rPr>
          <w:bCs/>
        </w:rPr>
        <w:br/>
      </w:r>
      <w:r w:rsidR="00D166A0" w:rsidRPr="00D166A0">
        <w:rPr>
          <w:bCs/>
        </w:rPr>
        <w:t>jhippley@edinboro.edu</w:t>
      </w:r>
    </w:p>
    <w:p w:rsidR="00D166A0" w:rsidRDefault="00D166A0">
      <w:pPr>
        <w:rPr>
          <w:bCs/>
        </w:rPr>
      </w:pPr>
      <w:r>
        <w:rPr>
          <w:bCs/>
        </w:rPr>
        <w:t>Marlo Torrelli, LPC, NCC</w:t>
      </w:r>
      <w:r>
        <w:rPr>
          <w:bCs/>
        </w:rPr>
        <w:br/>
        <w:t>Licensed Professional Counselor</w:t>
      </w:r>
      <w:r>
        <w:rPr>
          <w:bCs/>
        </w:rPr>
        <w:br/>
      </w:r>
      <w:r w:rsidRPr="00D166A0">
        <w:rPr>
          <w:bCs/>
        </w:rPr>
        <w:t>mtorrelli@gmail.com</w:t>
      </w:r>
    </w:p>
    <w:p w:rsidR="00DF45E3" w:rsidRDefault="00260577">
      <w:pPr>
        <w:rPr>
          <w:bCs/>
        </w:rPr>
      </w:pPr>
      <w:r>
        <w:rPr>
          <w:bCs/>
        </w:rPr>
        <w:t xml:space="preserve">John </w:t>
      </w:r>
      <w:proofErr w:type="spellStart"/>
      <w:r>
        <w:rPr>
          <w:bCs/>
        </w:rPr>
        <w:t>Petulla</w:t>
      </w:r>
      <w:proofErr w:type="spellEnd"/>
      <w:r>
        <w:rPr>
          <w:bCs/>
        </w:rPr>
        <w:br/>
        <w:t xml:space="preserve">CEO </w:t>
      </w:r>
      <w:proofErr w:type="spellStart"/>
      <w:r>
        <w:rPr>
          <w:bCs/>
        </w:rPr>
        <w:t>Harborcreek</w:t>
      </w:r>
      <w:proofErr w:type="spellEnd"/>
      <w:r>
        <w:rPr>
          <w:bCs/>
        </w:rPr>
        <w:t xml:space="preserve"> Youth Services</w:t>
      </w:r>
      <w:r>
        <w:rPr>
          <w:bCs/>
        </w:rPr>
        <w:br/>
      </w:r>
      <w:r w:rsidR="00295498" w:rsidRPr="00295498">
        <w:rPr>
          <w:bCs/>
        </w:rPr>
        <w:t>Jpetulla@hys-erie.org</w:t>
      </w:r>
    </w:p>
    <w:p w:rsidR="00295498" w:rsidRDefault="00295498">
      <w:pPr>
        <w:rPr>
          <w:bCs/>
        </w:rPr>
      </w:pPr>
      <w:r>
        <w:rPr>
          <w:bCs/>
        </w:rPr>
        <w:t>William Koehler, PhD</w:t>
      </w:r>
      <w:r>
        <w:rPr>
          <w:bCs/>
        </w:rPr>
        <w:br/>
        <w:t xml:space="preserve">Professor at </w:t>
      </w:r>
      <w:proofErr w:type="spellStart"/>
      <w:r>
        <w:rPr>
          <w:bCs/>
        </w:rPr>
        <w:t>Edinboro</w:t>
      </w:r>
      <w:proofErr w:type="spellEnd"/>
      <w:r>
        <w:rPr>
          <w:bCs/>
        </w:rPr>
        <w:t xml:space="preserve"> University</w:t>
      </w:r>
      <w:r>
        <w:rPr>
          <w:bCs/>
        </w:rPr>
        <w:br/>
        <w:t>wkoehler@edinboro.edu</w:t>
      </w:r>
    </w:p>
    <w:p w:rsidR="00DF45E3" w:rsidRDefault="00DF45E3">
      <w:pPr>
        <w:rPr>
          <w:bCs/>
        </w:rPr>
      </w:pPr>
      <w:r>
        <w:rPr>
          <w:bCs/>
        </w:rPr>
        <w:br w:type="page"/>
      </w:r>
    </w:p>
    <w:p w:rsidR="006C7870" w:rsidRDefault="009D1138" w:rsidP="00FE67B0">
      <w:pPr>
        <w:jc w:val="center"/>
        <w:rPr>
          <w:b/>
          <w:bCs/>
        </w:rPr>
      </w:pPr>
      <w:r>
        <w:rPr>
          <w:b/>
          <w:bCs/>
        </w:rPr>
        <w:lastRenderedPageBreak/>
        <w:t>References</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r w:rsidRPr="006C7870">
        <w:rPr>
          <w:rFonts w:eastAsiaTheme="minorEastAsia" w:hAnsi="Gill Sans MT"/>
          <w:color w:val="000000" w:themeColor="text1"/>
          <w:kern w:val="24"/>
          <w:sz w:val="24"/>
          <w:szCs w:val="24"/>
        </w:rPr>
        <w:t>Nystrom, N., (1997).  Oppression by Mental Health Providers: A report by gay men, and lesbians about their treatment.  Unpublished PhD Thesis. University of Washington.</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r w:rsidRPr="006C7870">
        <w:rPr>
          <w:rFonts w:eastAsiaTheme="minorEastAsia" w:hAnsi="Gill Sans MT"/>
          <w:color w:val="000000" w:themeColor="text1"/>
          <w:kern w:val="24"/>
          <w:sz w:val="24"/>
          <w:szCs w:val="24"/>
        </w:rPr>
        <w:t>Hughes, T., Haas, A., Avery, L., (1997).  Lesbians and mental health: Preliminary results from the Chicago Women</w:t>
      </w:r>
      <w:r w:rsidRPr="006C7870">
        <w:rPr>
          <w:rFonts w:eastAsiaTheme="minorEastAsia" w:hAnsi="Gill Sans MT"/>
          <w:color w:val="000000" w:themeColor="text1"/>
          <w:kern w:val="24"/>
          <w:sz w:val="24"/>
          <w:szCs w:val="24"/>
        </w:rPr>
        <w:t>’</w:t>
      </w:r>
      <w:r w:rsidRPr="006C7870">
        <w:rPr>
          <w:rFonts w:eastAsiaTheme="minorEastAsia" w:hAnsi="Gill Sans MT"/>
          <w:color w:val="000000" w:themeColor="text1"/>
          <w:kern w:val="24"/>
          <w:sz w:val="24"/>
          <w:szCs w:val="24"/>
        </w:rPr>
        <w:t xml:space="preserve">s Health Survey.  </w:t>
      </w:r>
      <w:r w:rsidRPr="006C7870">
        <w:rPr>
          <w:rFonts w:eastAsiaTheme="minorEastAsia" w:hAnsi="Gill Sans MT"/>
          <w:i/>
          <w:iCs/>
          <w:color w:val="000000" w:themeColor="text1"/>
          <w:kern w:val="24"/>
          <w:sz w:val="24"/>
          <w:szCs w:val="24"/>
        </w:rPr>
        <w:t>Journal of Gay and Lesbian Medical Association</w:t>
      </w:r>
      <w:r w:rsidRPr="006C7870">
        <w:rPr>
          <w:rFonts w:eastAsiaTheme="minorEastAsia" w:hAnsi="Gill Sans MT"/>
          <w:color w:val="000000" w:themeColor="text1"/>
          <w:kern w:val="24"/>
          <w:sz w:val="24"/>
          <w:szCs w:val="24"/>
        </w:rPr>
        <w:t>, 1(3), 137-148.</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r w:rsidRPr="006C7870">
        <w:rPr>
          <w:rFonts w:eastAsiaTheme="minorEastAsia" w:hAnsi="Gill Sans MT"/>
          <w:color w:val="000000" w:themeColor="text1"/>
          <w:kern w:val="24"/>
          <w:sz w:val="24"/>
          <w:szCs w:val="24"/>
        </w:rPr>
        <w:t xml:space="preserve">Jones, M., A., Gabriel, M., (1999). Utilization of psychotherapy by lesbians, gay men and bisexuals:  Findings from a nationwide survey. </w:t>
      </w:r>
      <w:r w:rsidRPr="006C7870">
        <w:rPr>
          <w:rFonts w:eastAsiaTheme="minorEastAsia" w:hAnsi="Gill Sans MT"/>
          <w:i/>
          <w:iCs/>
          <w:color w:val="000000" w:themeColor="text1"/>
          <w:kern w:val="24"/>
          <w:sz w:val="24"/>
          <w:szCs w:val="24"/>
        </w:rPr>
        <w:t>American Journal of Orthopsychiatry</w:t>
      </w:r>
      <w:r w:rsidRPr="006C7870">
        <w:rPr>
          <w:rFonts w:eastAsiaTheme="minorEastAsia" w:hAnsi="Gill Sans MT"/>
          <w:color w:val="000000" w:themeColor="text1"/>
          <w:kern w:val="24"/>
          <w:sz w:val="24"/>
          <w:szCs w:val="24"/>
        </w:rPr>
        <w:t>, 69, 209-219.</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proofErr w:type="spellStart"/>
      <w:r w:rsidRPr="006C7870">
        <w:rPr>
          <w:rFonts w:eastAsiaTheme="minorEastAsia" w:hAnsi="Gill Sans MT"/>
          <w:color w:val="000000" w:themeColor="text1"/>
          <w:kern w:val="24"/>
          <w:sz w:val="24"/>
          <w:szCs w:val="24"/>
        </w:rPr>
        <w:t>Bieschke</w:t>
      </w:r>
      <w:proofErr w:type="spellEnd"/>
      <w:r w:rsidRPr="006C7870">
        <w:rPr>
          <w:rFonts w:eastAsiaTheme="minorEastAsia" w:hAnsi="Gill Sans MT"/>
          <w:color w:val="000000" w:themeColor="text1"/>
          <w:kern w:val="24"/>
          <w:sz w:val="24"/>
          <w:szCs w:val="24"/>
        </w:rPr>
        <w:t xml:space="preserve">, K., McClanahan, M., Tozer, E., </w:t>
      </w:r>
      <w:proofErr w:type="spellStart"/>
      <w:r w:rsidRPr="006C7870">
        <w:rPr>
          <w:rFonts w:eastAsiaTheme="minorEastAsia" w:hAnsi="Gill Sans MT"/>
          <w:color w:val="000000" w:themeColor="text1"/>
          <w:kern w:val="24"/>
          <w:sz w:val="24"/>
          <w:szCs w:val="24"/>
        </w:rPr>
        <w:t>Grzegorek</w:t>
      </w:r>
      <w:proofErr w:type="spellEnd"/>
      <w:r w:rsidRPr="006C7870">
        <w:rPr>
          <w:rFonts w:eastAsiaTheme="minorEastAsia" w:hAnsi="Gill Sans MT"/>
          <w:color w:val="000000" w:themeColor="text1"/>
          <w:kern w:val="24"/>
          <w:sz w:val="24"/>
          <w:szCs w:val="24"/>
        </w:rPr>
        <w:t xml:space="preserve">, J., Park, J., (2000).  Programmatic research on the treatment of lesbian, gay, and bisexual clients:  The past, the present, and the course for the future.  In </w:t>
      </w:r>
      <w:r w:rsidRPr="006C7870">
        <w:rPr>
          <w:rFonts w:eastAsiaTheme="minorEastAsia" w:hAnsi="Gill Sans MT"/>
          <w:i/>
          <w:iCs/>
          <w:color w:val="000000" w:themeColor="text1"/>
          <w:kern w:val="24"/>
          <w:sz w:val="24"/>
          <w:szCs w:val="24"/>
        </w:rPr>
        <w:t>Handbook of counseling and psychotherapy with lesbian, gay, and bisexual clients</w:t>
      </w:r>
      <w:r w:rsidRPr="006C7870">
        <w:rPr>
          <w:rFonts w:eastAsiaTheme="minorEastAsia" w:hAnsi="Gill Sans MT"/>
          <w:color w:val="000000" w:themeColor="text1"/>
          <w:kern w:val="24"/>
          <w:sz w:val="24"/>
          <w:szCs w:val="24"/>
        </w:rPr>
        <w:t xml:space="preserve">, edited by Perez, R., </w:t>
      </w:r>
      <w:proofErr w:type="spellStart"/>
      <w:r w:rsidRPr="006C7870">
        <w:rPr>
          <w:rFonts w:eastAsiaTheme="minorEastAsia" w:hAnsi="Gill Sans MT"/>
          <w:color w:val="000000" w:themeColor="text1"/>
          <w:kern w:val="24"/>
          <w:sz w:val="24"/>
          <w:szCs w:val="24"/>
        </w:rPr>
        <w:t>DeBord</w:t>
      </w:r>
      <w:proofErr w:type="spellEnd"/>
      <w:r w:rsidRPr="006C7870">
        <w:rPr>
          <w:rFonts w:eastAsiaTheme="minorEastAsia" w:hAnsi="Gill Sans MT"/>
          <w:color w:val="000000" w:themeColor="text1"/>
          <w:kern w:val="24"/>
          <w:sz w:val="24"/>
          <w:szCs w:val="24"/>
        </w:rPr>
        <w:t xml:space="preserve">, K, </w:t>
      </w:r>
      <w:proofErr w:type="spellStart"/>
      <w:r w:rsidRPr="006C7870">
        <w:rPr>
          <w:rFonts w:eastAsiaTheme="minorEastAsia" w:hAnsi="Gill Sans MT"/>
          <w:color w:val="000000" w:themeColor="text1"/>
          <w:kern w:val="24"/>
          <w:sz w:val="24"/>
          <w:szCs w:val="24"/>
        </w:rPr>
        <w:t>Bieschke</w:t>
      </w:r>
      <w:proofErr w:type="spellEnd"/>
      <w:r w:rsidRPr="006C7870">
        <w:rPr>
          <w:rFonts w:eastAsiaTheme="minorEastAsia" w:hAnsi="Gill Sans MT"/>
          <w:color w:val="000000" w:themeColor="text1"/>
          <w:kern w:val="24"/>
          <w:sz w:val="24"/>
          <w:szCs w:val="24"/>
        </w:rPr>
        <w:t xml:space="preserve">, K., Washington, DC, </w:t>
      </w:r>
      <w:proofErr w:type="gramStart"/>
      <w:r w:rsidRPr="006C7870">
        <w:rPr>
          <w:rFonts w:eastAsiaTheme="minorEastAsia" w:hAnsi="Gill Sans MT"/>
          <w:color w:val="000000" w:themeColor="text1"/>
          <w:kern w:val="24"/>
          <w:sz w:val="24"/>
          <w:szCs w:val="24"/>
        </w:rPr>
        <w:t>APA</w:t>
      </w:r>
      <w:proofErr w:type="gramEnd"/>
      <w:r w:rsidRPr="006C7870">
        <w:rPr>
          <w:rFonts w:eastAsiaTheme="minorEastAsia" w:hAnsi="Gill Sans MT"/>
          <w:color w:val="000000" w:themeColor="text1"/>
          <w:kern w:val="24"/>
          <w:sz w:val="24"/>
          <w:szCs w:val="24"/>
        </w:rPr>
        <w:t>.</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proofErr w:type="spellStart"/>
      <w:r w:rsidRPr="006C7870">
        <w:rPr>
          <w:rFonts w:eastAsiaTheme="minorEastAsia" w:hAnsi="Gill Sans MT"/>
          <w:color w:val="000000" w:themeColor="text1"/>
          <w:kern w:val="24"/>
          <w:sz w:val="24"/>
          <w:szCs w:val="24"/>
        </w:rPr>
        <w:t>Malley</w:t>
      </w:r>
      <w:proofErr w:type="spellEnd"/>
      <w:r w:rsidRPr="006C7870">
        <w:rPr>
          <w:rFonts w:eastAsiaTheme="minorEastAsia" w:hAnsi="Gill Sans MT"/>
          <w:color w:val="000000" w:themeColor="text1"/>
          <w:kern w:val="24"/>
          <w:sz w:val="24"/>
          <w:szCs w:val="24"/>
        </w:rPr>
        <w:t xml:space="preserve">, M. (2002).  Systemic Therapy with Lesbian and Gay Clients:  A Truly Social Approach to Psychological Practice.  Journal of Community &amp; Applied Social Psychology. 12, 237-241.  </w:t>
      </w:r>
      <w:proofErr w:type="spellStart"/>
      <w:proofErr w:type="gramStart"/>
      <w:r w:rsidRPr="006C7870">
        <w:rPr>
          <w:rFonts w:eastAsiaTheme="minorEastAsia" w:hAnsi="Gill Sans MT"/>
          <w:color w:val="000000" w:themeColor="text1"/>
          <w:kern w:val="24"/>
          <w:sz w:val="24"/>
          <w:szCs w:val="24"/>
        </w:rPr>
        <w:t>doi</w:t>
      </w:r>
      <w:proofErr w:type="spellEnd"/>
      <w:proofErr w:type="gramEnd"/>
      <w:r w:rsidRPr="006C7870">
        <w:rPr>
          <w:rFonts w:eastAsiaTheme="minorEastAsia" w:hAnsi="Gill Sans MT"/>
          <w:color w:val="000000" w:themeColor="text1"/>
          <w:kern w:val="24"/>
          <w:sz w:val="24"/>
          <w:szCs w:val="24"/>
        </w:rPr>
        <w:t>: 10.1002/casp.676.</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r w:rsidRPr="006C7870">
        <w:rPr>
          <w:rFonts w:eastAsiaTheme="minorEastAsia" w:hAnsi="Gill Sans MT"/>
          <w:color w:val="000000" w:themeColor="text1"/>
          <w:kern w:val="24"/>
          <w:sz w:val="24"/>
          <w:szCs w:val="24"/>
        </w:rPr>
        <w:t xml:space="preserve">Dean, L., Meyer, I., Robinson, K., Sell, R., </w:t>
      </w:r>
      <w:proofErr w:type="spellStart"/>
      <w:r w:rsidRPr="006C7870">
        <w:rPr>
          <w:rFonts w:eastAsiaTheme="minorEastAsia" w:hAnsi="Gill Sans MT"/>
          <w:color w:val="000000" w:themeColor="text1"/>
          <w:kern w:val="24"/>
          <w:sz w:val="24"/>
          <w:szCs w:val="24"/>
        </w:rPr>
        <w:t>Sember</w:t>
      </w:r>
      <w:proofErr w:type="spellEnd"/>
      <w:r w:rsidRPr="006C7870">
        <w:rPr>
          <w:rFonts w:eastAsiaTheme="minorEastAsia" w:hAnsi="Gill Sans MT"/>
          <w:color w:val="000000" w:themeColor="text1"/>
          <w:kern w:val="24"/>
          <w:sz w:val="24"/>
          <w:szCs w:val="24"/>
        </w:rPr>
        <w:t xml:space="preserve">, R., </w:t>
      </w:r>
      <w:proofErr w:type="spellStart"/>
      <w:r w:rsidRPr="006C7870">
        <w:rPr>
          <w:rFonts w:eastAsiaTheme="minorEastAsia" w:hAnsi="Gill Sans MT"/>
          <w:color w:val="000000" w:themeColor="text1"/>
          <w:kern w:val="24"/>
          <w:sz w:val="24"/>
          <w:szCs w:val="24"/>
        </w:rPr>
        <w:t>Silenzio</w:t>
      </w:r>
      <w:proofErr w:type="spellEnd"/>
      <w:r w:rsidRPr="006C7870">
        <w:rPr>
          <w:rFonts w:eastAsiaTheme="minorEastAsia" w:hAnsi="Gill Sans MT"/>
          <w:color w:val="000000" w:themeColor="text1"/>
          <w:kern w:val="24"/>
          <w:sz w:val="24"/>
          <w:szCs w:val="24"/>
        </w:rPr>
        <w:t>, V</w:t>
      </w:r>
      <w:proofErr w:type="gramStart"/>
      <w:r w:rsidRPr="006C7870">
        <w:rPr>
          <w:rFonts w:eastAsiaTheme="minorEastAsia" w:hAnsi="Gill Sans MT"/>
          <w:color w:val="000000" w:themeColor="text1"/>
          <w:kern w:val="24"/>
          <w:sz w:val="24"/>
          <w:szCs w:val="24"/>
        </w:rPr>
        <w:t xml:space="preserve">., </w:t>
      </w:r>
      <w:r w:rsidRPr="006C7870">
        <w:rPr>
          <w:rFonts w:eastAsiaTheme="minorEastAsia" w:hAnsi="Gill Sans MT"/>
          <w:color w:val="000000" w:themeColor="text1"/>
          <w:kern w:val="24"/>
          <w:sz w:val="24"/>
          <w:szCs w:val="24"/>
        </w:rPr>
        <w:t>…</w:t>
      </w:r>
      <w:proofErr w:type="gramEnd"/>
      <w:r w:rsidRPr="006C7870">
        <w:rPr>
          <w:rFonts w:eastAsiaTheme="minorEastAsia" w:hAnsi="Gill Sans MT"/>
          <w:color w:val="000000" w:themeColor="text1"/>
          <w:kern w:val="24"/>
          <w:sz w:val="24"/>
          <w:szCs w:val="24"/>
        </w:rPr>
        <w:t xml:space="preserve"> Tierney, R. (2000).  Lesbian, Gay, Bisexual, and Transgender Health: Findings and Concerns.  </w:t>
      </w:r>
      <w:r w:rsidRPr="006C7870">
        <w:rPr>
          <w:rFonts w:eastAsiaTheme="minorEastAsia" w:hAnsi="Gill Sans MT"/>
          <w:i/>
          <w:iCs/>
          <w:color w:val="000000" w:themeColor="text1"/>
          <w:kern w:val="24"/>
          <w:sz w:val="24"/>
          <w:szCs w:val="24"/>
        </w:rPr>
        <w:t xml:space="preserve">Journal of the Gay and Lesbian Medical Association. </w:t>
      </w:r>
      <w:r w:rsidRPr="006C7870">
        <w:rPr>
          <w:rFonts w:eastAsiaTheme="minorEastAsia" w:hAnsi="Gill Sans MT"/>
          <w:color w:val="000000" w:themeColor="text1"/>
          <w:kern w:val="24"/>
          <w:sz w:val="24"/>
          <w:szCs w:val="24"/>
        </w:rPr>
        <w:t>4(3), 101-152.</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r w:rsidRPr="006C7870">
        <w:rPr>
          <w:rFonts w:eastAsiaTheme="minorEastAsia" w:hAnsi="Gill Sans MT"/>
          <w:color w:val="000000" w:themeColor="text1"/>
          <w:kern w:val="24"/>
          <w:sz w:val="24"/>
          <w:szCs w:val="24"/>
        </w:rPr>
        <w:t xml:space="preserve">Mays, V., Cochran, S., (2001).  Mental Health correlates of Perceived Discrimination among Lesbian, Gay and Bisexual Adults in the United States.  </w:t>
      </w:r>
      <w:r w:rsidRPr="006C7870">
        <w:rPr>
          <w:rFonts w:eastAsiaTheme="minorEastAsia" w:hAnsi="Gill Sans MT"/>
          <w:i/>
          <w:iCs/>
          <w:color w:val="000000" w:themeColor="text1"/>
          <w:kern w:val="24"/>
          <w:sz w:val="24"/>
          <w:szCs w:val="24"/>
        </w:rPr>
        <w:t>American Journal of Public Health</w:t>
      </w:r>
      <w:r w:rsidRPr="006C7870">
        <w:rPr>
          <w:rFonts w:eastAsiaTheme="minorEastAsia" w:hAnsi="Gill Sans MT"/>
          <w:color w:val="000000" w:themeColor="text1"/>
          <w:kern w:val="24"/>
          <w:sz w:val="24"/>
          <w:szCs w:val="24"/>
        </w:rPr>
        <w:t>, 91, 1869-1876.</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proofErr w:type="spellStart"/>
      <w:r w:rsidRPr="006C7870">
        <w:rPr>
          <w:rFonts w:eastAsiaTheme="minorEastAsia" w:hAnsi="Gill Sans MT"/>
          <w:color w:val="000000" w:themeColor="text1"/>
          <w:kern w:val="24"/>
          <w:sz w:val="24"/>
          <w:szCs w:val="24"/>
        </w:rPr>
        <w:t>Bontempo</w:t>
      </w:r>
      <w:proofErr w:type="spellEnd"/>
      <w:r w:rsidRPr="006C7870">
        <w:rPr>
          <w:rFonts w:eastAsiaTheme="minorEastAsia" w:hAnsi="Gill Sans MT"/>
          <w:color w:val="000000" w:themeColor="text1"/>
          <w:kern w:val="24"/>
          <w:sz w:val="24"/>
          <w:szCs w:val="24"/>
        </w:rPr>
        <w:t xml:space="preserve">, D., </w:t>
      </w:r>
      <w:proofErr w:type="spellStart"/>
      <w:r w:rsidRPr="006C7870">
        <w:rPr>
          <w:rFonts w:eastAsiaTheme="minorEastAsia" w:hAnsi="Gill Sans MT"/>
          <w:color w:val="000000" w:themeColor="text1"/>
          <w:kern w:val="24"/>
          <w:sz w:val="24"/>
          <w:szCs w:val="24"/>
        </w:rPr>
        <w:t>D</w:t>
      </w:r>
      <w:r w:rsidRPr="006C7870">
        <w:rPr>
          <w:rFonts w:eastAsiaTheme="minorEastAsia" w:hAnsi="Gill Sans MT"/>
          <w:color w:val="000000" w:themeColor="text1"/>
          <w:kern w:val="24"/>
          <w:sz w:val="24"/>
          <w:szCs w:val="24"/>
        </w:rPr>
        <w:t>’</w:t>
      </w:r>
      <w:r w:rsidRPr="006C7870">
        <w:rPr>
          <w:rFonts w:eastAsiaTheme="minorEastAsia" w:hAnsi="Gill Sans MT"/>
          <w:color w:val="000000" w:themeColor="text1"/>
          <w:kern w:val="24"/>
          <w:sz w:val="24"/>
          <w:szCs w:val="24"/>
        </w:rPr>
        <w:t>Augelli</w:t>
      </w:r>
      <w:proofErr w:type="spellEnd"/>
      <w:r w:rsidRPr="006C7870">
        <w:rPr>
          <w:rFonts w:eastAsiaTheme="minorEastAsia" w:hAnsi="Gill Sans MT"/>
          <w:color w:val="000000" w:themeColor="text1"/>
          <w:kern w:val="24"/>
          <w:sz w:val="24"/>
          <w:szCs w:val="24"/>
        </w:rPr>
        <w:t>, A., (2002).  Effects of at-school victimization and sexual orientation on lesbian, gay or bisexual youths</w:t>
      </w:r>
      <w:r w:rsidRPr="006C7870">
        <w:rPr>
          <w:rFonts w:eastAsiaTheme="minorEastAsia" w:hAnsi="Gill Sans MT"/>
          <w:color w:val="000000" w:themeColor="text1"/>
          <w:kern w:val="24"/>
          <w:sz w:val="24"/>
          <w:szCs w:val="24"/>
        </w:rPr>
        <w:t>’</w:t>
      </w:r>
      <w:r w:rsidRPr="006C7870">
        <w:rPr>
          <w:rFonts w:eastAsiaTheme="minorEastAsia" w:hAnsi="Gill Sans MT"/>
          <w:color w:val="000000" w:themeColor="text1"/>
          <w:kern w:val="24"/>
          <w:sz w:val="24"/>
          <w:szCs w:val="24"/>
        </w:rPr>
        <w:t xml:space="preserve"> health risk behavior.  </w:t>
      </w:r>
      <w:r w:rsidRPr="006C7870">
        <w:rPr>
          <w:rFonts w:eastAsiaTheme="minorEastAsia" w:hAnsi="Gill Sans MT"/>
          <w:i/>
          <w:iCs/>
          <w:color w:val="000000" w:themeColor="text1"/>
          <w:kern w:val="24"/>
          <w:sz w:val="24"/>
          <w:szCs w:val="24"/>
        </w:rPr>
        <w:t>Journal of Adolescent Health</w:t>
      </w:r>
      <w:r w:rsidRPr="006C7870">
        <w:rPr>
          <w:rFonts w:eastAsiaTheme="minorEastAsia" w:hAnsi="Gill Sans MT"/>
          <w:color w:val="000000" w:themeColor="text1"/>
          <w:kern w:val="24"/>
          <w:sz w:val="24"/>
          <w:szCs w:val="24"/>
        </w:rPr>
        <w:t>, 30, 364-374.</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r w:rsidRPr="006C7870">
        <w:rPr>
          <w:rFonts w:eastAsiaTheme="minorEastAsia" w:hAnsi="Gill Sans MT"/>
          <w:color w:val="000000" w:themeColor="text1"/>
          <w:kern w:val="24"/>
          <w:sz w:val="24"/>
          <w:szCs w:val="24"/>
        </w:rPr>
        <w:t xml:space="preserve">Meyer, I. (2003).  Prejudice, Social Stress and Mental Health in Lesbian, Gay and Bisexual populations: Conceptual Issues and Research Evidence, </w:t>
      </w:r>
      <w:r w:rsidRPr="006C7870">
        <w:rPr>
          <w:rFonts w:eastAsiaTheme="minorEastAsia" w:hAnsi="Gill Sans MT"/>
          <w:i/>
          <w:iCs/>
          <w:color w:val="000000" w:themeColor="text1"/>
          <w:kern w:val="24"/>
          <w:sz w:val="24"/>
          <w:szCs w:val="24"/>
        </w:rPr>
        <w:t>Psychology Bulletin</w:t>
      </w:r>
      <w:r w:rsidRPr="006C7870">
        <w:rPr>
          <w:rFonts w:eastAsiaTheme="minorEastAsia" w:hAnsi="Gill Sans MT"/>
          <w:color w:val="000000" w:themeColor="text1"/>
          <w:kern w:val="24"/>
          <w:sz w:val="24"/>
          <w:szCs w:val="24"/>
        </w:rPr>
        <w:t>, 129(5) 674-697.</w:t>
      </w:r>
    </w:p>
    <w:p w:rsidR="006C7870" w:rsidRPr="006C7870" w:rsidRDefault="006C7870" w:rsidP="006C7870">
      <w:pPr>
        <w:numPr>
          <w:ilvl w:val="0"/>
          <w:numId w:val="4"/>
        </w:numPr>
        <w:spacing w:after="0" w:line="240" w:lineRule="auto"/>
        <w:ind w:left="1267"/>
        <w:contextualSpacing/>
        <w:rPr>
          <w:rFonts w:ascii="Times New Roman" w:eastAsia="Times New Roman" w:hAnsi="Times New Roman" w:cs="Times New Roman"/>
          <w:color w:val="000000"/>
          <w:sz w:val="16"/>
          <w:szCs w:val="24"/>
        </w:rPr>
      </w:pPr>
      <w:r w:rsidRPr="006C7870">
        <w:rPr>
          <w:rFonts w:eastAsiaTheme="minorEastAsia" w:hAnsi="Gill Sans MT"/>
          <w:color w:val="000000" w:themeColor="text1"/>
          <w:kern w:val="24"/>
          <w:sz w:val="24"/>
          <w:szCs w:val="24"/>
        </w:rPr>
        <w:t xml:space="preserve">Gilman, S., Cochran, S., Mays, V., </w:t>
      </w:r>
      <w:proofErr w:type="spellStart"/>
      <w:r w:rsidRPr="006C7870">
        <w:rPr>
          <w:rFonts w:eastAsiaTheme="minorEastAsia" w:hAnsi="Gill Sans MT"/>
          <w:color w:val="000000" w:themeColor="text1"/>
          <w:kern w:val="24"/>
          <w:sz w:val="24"/>
          <w:szCs w:val="24"/>
        </w:rPr>
        <w:t>Hughs</w:t>
      </w:r>
      <w:proofErr w:type="spellEnd"/>
      <w:r w:rsidRPr="006C7870">
        <w:rPr>
          <w:rFonts w:eastAsiaTheme="minorEastAsia" w:hAnsi="Gill Sans MT"/>
          <w:color w:val="000000" w:themeColor="text1"/>
          <w:kern w:val="24"/>
          <w:sz w:val="24"/>
          <w:szCs w:val="24"/>
        </w:rPr>
        <w:t xml:space="preserve">, M., </w:t>
      </w:r>
      <w:proofErr w:type="spellStart"/>
      <w:r w:rsidRPr="006C7870">
        <w:rPr>
          <w:rFonts w:eastAsiaTheme="minorEastAsia" w:hAnsi="Gill Sans MT"/>
          <w:color w:val="000000" w:themeColor="text1"/>
          <w:kern w:val="24"/>
          <w:sz w:val="24"/>
          <w:szCs w:val="24"/>
        </w:rPr>
        <w:t>Ostrow</w:t>
      </w:r>
      <w:proofErr w:type="spellEnd"/>
      <w:r w:rsidRPr="006C7870">
        <w:rPr>
          <w:rFonts w:eastAsiaTheme="minorEastAsia" w:hAnsi="Gill Sans MT"/>
          <w:color w:val="000000" w:themeColor="text1"/>
          <w:kern w:val="24"/>
          <w:sz w:val="24"/>
          <w:szCs w:val="24"/>
        </w:rPr>
        <w:t xml:space="preserve">, D., Kessler, R., (2001). Risk of Psychiatric Disorders </w:t>
      </w:r>
      <w:proofErr w:type="gramStart"/>
      <w:r w:rsidRPr="006C7870">
        <w:rPr>
          <w:rFonts w:eastAsiaTheme="minorEastAsia" w:hAnsi="Gill Sans MT"/>
          <w:color w:val="000000" w:themeColor="text1"/>
          <w:kern w:val="24"/>
          <w:sz w:val="24"/>
          <w:szCs w:val="24"/>
        </w:rPr>
        <w:t>Among</w:t>
      </w:r>
      <w:proofErr w:type="gramEnd"/>
      <w:r w:rsidRPr="006C7870">
        <w:rPr>
          <w:rFonts w:eastAsiaTheme="minorEastAsia" w:hAnsi="Gill Sans MT"/>
          <w:color w:val="000000" w:themeColor="text1"/>
          <w:kern w:val="24"/>
          <w:sz w:val="24"/>
          <w:szCs w:val="24"/>
        </w:rPr>
        <w:t xml:space="preserve"> Individuals Reporting Same-sex Sexual </w:t>
      </w:r>
      <w:proofErr w:type="spellStart"/>
      <w:r w:rsidRPr="006C7870">
        <w:rPr>
          <w:rFonts w:eastAsiaTheme="minorEastAsia" w:hAnsi="Gill Sans MT"/>
          <w:color w:val="000000" w:themeColor="text1"/>
          <w:kern w:val="24"/>
          <w:sz w:val="24"/>
          <w:szCs w:val="24"/>
        </w:rPr>
        <w:t>Pertners</w:t>
      </w:r>
      <w:proofErr w:type="spellEnd"/>
      <w:r w:rsidRPr="006C7870">
        <w:rPr>
          <w:rFonts w:eastAsiaTheme="minorEastAsia" w:hAnsi="Gill Sans MT"/>
          <w:color w:val="000000" w:themeColor="text1"/>
          <w:kern w:val="24"/>
          <w:sz w:val="24"/>
          <w:szCs w:val="24"/>
        </w:rPr>
        <w:t xml:space="preserve"> in the National Comorbidity Survey.  </w:t>
      </w:r>
      <w:r w:rsidRPr="006C7870">
        <w:rPr>
          <w:rFonts w:eastAsiaTheme="minorEastAsia" w:hAnsi="Gill Sans MT"/>
          <w:i/>
          <w:iCs/>
          <w:color w:val="000000" w:themeColor="text1"/>
          <w:kern w:val="24"/>
          <w:sz w:val="24"/>
          <w:szCs w:val="24"/>
        </w:rPr>
        <w:t>American Journal of Public Health</w:t>
      </w:r>
      <w:r w:rsidRPr="006C7870">
        <w:rPr>
          <w:rFonts w:eastAsiaTheme="minorEastAsia" w:hAnsi="Gill Sans MT"/>
          <w:color w:val="000000" w:themeColor="text1"/>
          <w:kern w:val="24"/>
          <w:sz w:val="24"/>
          <w:szCs w:val="24"/>
        </w:rPr>
        <w:t>, 91(6) 933-939.</w:t>
      </w:r>
    </w:p>
    <w:p w:rsidR="006C7870" w:rsidRPr="006C7870" w:rsidRDefault="006C7870" w:rsidP="006C7870">
      <w:pPr>
        <w:numPr>
          <w:ilvl w:val="0"/>
          <w:numId w:val="5"/>
        </w:numPr>
        <w:spacing w:after="0" w:line="240" w:lineRule="auto"/>
        <w:ind w:left="1267"/>
        <w:contextualSpacing/>
        <w:rPr>
          <w:rFonts w:ascii="Times New Roman" w:eastAsia="Times New Roman" w:hAnsi="Times New Roman" w:cs="Times New Roman"/>
          <w:color w:val="000000"/>
          <w:sz w:val="16"/>
          <w:szCs w:val="24"/>
        </w:rPr>
      </w:pPr>
      <w:proofErr w:type="spellStart"/>
      <w:r w:rsidRPr="006C7870">
        <w:rPr>
          <w:rFonts w:ascii="Gill Sans MT" w:eastAsia="+mn-ea" w:hAnsi="Gill Sans MT" w:cs="+mn-cs"/>
          <w:color w:val="000000"/>
          <w:kern w:val="24"/>
          <w:sz w:val="24"/>
          <w:szCs w:val="24"/>
        </w:rPr>
        <w:t>Mizock</w:t>
      </w:r>
      <w:proofErr w:type="spellEnd"/>
      <w:r w:rsidRPr="006C7870">
        <w:rPr>
          <w:rFonts w:ascii="Gill Sans MT" w:eastAsia="+mn-ea" w:hAnsi="Gill Sans MT" w:cs="+mn-cs"/>
          <w:color w:val="000000"/>
          <w:kern w:val="24"/>
          <w:sz w:val="24"/>
          <w:szCs w:val="24"/>
        </w:rPr>
        <w:t xml:space="preserve">, L., Fleming, M., (2011). Transgender and Gender Variant Populations </w:t>
      </w:r>
      <w:proofErr w:type="gramStart"/>
      <w:r w:rsidRPr="006C7870">
        <w:rPr>
          <w:rFonts w:ascii="Gill Sans MT" w:eastAsia="+mn-ea" w:hAnsi="Gill Sans MT" w:cs="+mn-cs"/>
          <w:color w:val="000000"/>
          <w:kern w:val="24"/>
          <w:sz w:val="24"/>
          <w:szCs w:val="24"/>
        </w:rPr>
        <w:t>With</w:t>
      </w:r>
      <w:proofErr w:type="gramEnd"/>
      <w:r w:rsidRPr="006C7870">
        <w:rPr>
          <w:rFonts w:ascii="Gill Sans MT" w:eastAsia="+mn-ea" w:hAnsi="Gill Sans MT" w:cs="+mn-cs"/>
          <w:color w:val="000000"/>
          <w:kern w:val="24"/>
          <w:sz w:val="24"/>
          <w:szCs w:val="24"/>
        </w:rPr>
        <w:t xml:space="preserve"> Mental Illness: Implications for Clinical Care. Professional Psychology: Research &amp; Practice, 07357028, Apr2011, Vol. 42, Issue 2</w:t>
      </w:r>
    </w:p>
    <w:p w:rsidR="006C7870" w:rsidRPr="006C7870" w:rsidRDefault="006C7870" w:rsidP="006C7870">
      <w:pPr>
        <w:numPr>
          <w:ilvl w:val="0"/>
          <w:numId w:val="5"/>
        </w:numPr>
        <w:spacing w:after="0" w:line="240" w:lineRule="auto"/>
        <w:ind w:left="1267"/>
        <w:contextualSpacing/>
        <w:rPr>
          <w:rFonts w:ascii="Times New Roman" w:eastAsia="Times New Roman" w:hAnsi="Times New Roman" w:cs="Times New Roman"/>
          <w:color w:val="000000"/>
          <w:sz w:val="16"/>
          <w:szCs w:val="24"/>
        </w:rPr>
      </w:pPr>
      <w:r w:rsidRPr="006C7870">
        <w:rPr>
          <w:rFonts w:ascii="Gill Sans MT" w:eastAsia="+mn-ea" w:hAnsi="Gill Sans MT" w:cs="+mn-cs"/>
          <w:color w:val="000000"/>
          <w:kern w:val="24"/>
          <w:sz w:val="24"/>
          <w:szCs w:val="24"/>
        </w:rPr>
        <w:t xml:space="preserve">Phillips, P., Bartlett, A., King, M., (2001).  Psychotherapists’ approaches to gay and lesbian patients/clients:  A qualitative study.  </w:t>
      </w:r>
      <w:r w:rsidRPr="006C7870">
        <w:rPr>
          <w:rFonts w:ascii="Gill Sans MT" w:eastAsia="+mn-ea" w:hAnsi="Gill Sans MT" w:cs="+mn-cs"/>
          <w:i/>
          <w:iCs/>
          <w:color w:val="000000"/>
          <w:kern w:val="24"/>
          <w:sz w:val="24"/>
          <w:szCs w:val="24"/>
        </w:rPr>
        <w:t>British Journal of Medical Psychology</w:t>
      </w:r>
      <w:r w:rsidRPr="006C7870">
        <w:rPr>
          <w:rFonts w:ascii="Gill Sans MT" w:eastAsia="+mn-ea" w:hAnsi="Gill Sans MT" w:cs="+mn-cs"/>
          <w:color w:val="000000"/>
          <w:kern w:val="24"/>
          <w:sz w:val="24"/>
          <w:szCs w:val="24"/>
        </w:rPr>
        <w:t>, 74, 73-84.</w:t>
      </w:r>
    </w:p>
    <w:p w:rsidR="006C7870" w:rsidRPr="006C7870" w:rsidRDefault="006C7870" w:rsidP="006C7870">
      <w:pPr>
        <w:numPr>
          <w:ilvl w:val="0"/>
          <w:numId w:val="5"/>
        </w:numPr>
        <w:spacing w:after="0" w:line="240" w:lineRule="auto"/>
        <w:ind w:left="1267"/>
        <w:contextualSpacing/>
        <w:rPr>
          <w:rFonts w:ascii="Times New Roman" w:eastAsia="Times New Roman" w:hAnsi="Times New Roman" w:cs="Times New Roman"/>
          <w:color w:val="000000"/>
          <w:sz w:val="16"/>
          <w:szCs w:val="24"/>
        </w:rPr>
      </w:pPr>
      <w:r w:rsidRPr="006C7870">
        <w:rPr>
          <w:rFonts w:ascii="Gill Sans MT" w:eastAsia="+mn-ea" w:hAnsi="Gill Sans MT" w:cs="+mn-cs"/>
          <w:color w:val="000000"/>
          <w:kern w:val="24"/>
          <w:sz w:val="24"/>
          <w:szCs w:val="24"/>
        </w:rPr>
        <w:t xml:space="preserve">Crisp, C., (2005).  Homophobia and Use of Gay Affirmative Practice in a Sample of Social Workers and Psychologists.  </w:t>
      </w:r>
      <w:r w:rsidRPr="006C7870">
        <w:rPr>
          <w:rFonts w:ascii="Gill Sans MT" w:eastAsia="+mn-ea" w:hAnsi="Gill Sans MT" w:cs="+mn-cs"/>
          <w:i/>
          <w:iCs/>
          <w:color w:val="000000"/>
          <w:kern w:val="24"/>
          <w:sz w:val="24"/>
          <w:szCs w:val="24"/>
        </w:rPr>
        <w:t>Journal of Gay &amp; Lesbian Social Services</w:t>
      </w:r>
      <w:r w:rsidRPr="006C7870">
        <w:rPr>
          <w:rFonts w:ascii="Gill Sans MT" w:eastAsia="+mn-ea" w:hAnsi="Gill Sans MT" w:cs="+mn-cs"/>
          <w:color w:val="000000"/>
          <w:kern w:val="24"/>
          <w:sz w:val="24"/>
          <w:szCs w:val="24"/>
        </w:rPr>
        <w:t xml:space="preserve">, 18(1), 51-70. </w:t>
      </w:r>
      <w:proofErr w:type="spellStart"/>
      <w:r w:rsidRPr="006C7870">
        <w:rPr>
          <w:rFonts w:ascii="Gill Sans MT" w:eastAsia="+mn-ea" w:hAnsi="Gill Sans MT" w:cs="+mn-cs"/>
          <w:color w:val="000000"/>
          <w:kern w:val="24"/>
          <w:sz w:val="24"/>
          <w:szCs w:val="24"/>
        </w:rPr>
        <w:t>doi</w:t>
      </w:r>
      <w:proofErr w:type="spellEnd"/>
      <w:r w:rsidRPr="006C7870">
        <w:rPr>
          <w:rFonts w:ascii="Gill Sans MT" w:eastAsia="+mn-ea" w:hAnsi="Gill Sans MT" w:cs="+mn-cs"/>
          <w:color w:val="000000"/>
          <w:kern w:val="24"/>
          <w:sz w:val="24"/>
          <w:szCs w:val="24"/>
        </w:rPr>
        <w:t>: 10.1300/J041v18n01_05</w:t>
      </w:r>
    </w:p>
    <w:p w:rsidR="006C7870" w:rsidRPr="006C7870" w:rsidRDefault="006C7870" w:rsidP="006C7870">
      <w:pPr>
        <w:numPr>
          <w:ilvl w:val="0"/>
          <w:numId w:val="5"/>
        </w:numPr>
        <w:spacing w:after="0" w:line="240" w:lineRule="auto"/>
        <w:ind w:left="1267"/>
        <w:contextualSpacing/>
        <w:rPr>
          <w:rFonts w:ascii="Times New Roman" w:eastAsia="Times New Roman" w:hAnsi="Times New Roman" w:cs="Times New Roman"/>
          <w:color w:val="000000"/>
          <w:sz w:val="16"/>
          <w:szCs w:val="24"/>
        </w:rPr>
      </w:pPr>
      <w:r w:rsidRPr="006C7870">
        <w:rPr>
          <w:rFonts w:ascii="Gill Sans MT" w:eastAsia="+mn-ea" w:hAnsi="Gill Sans MT" w:cs="+mn-cs"/>
          <w:color w:val="000000"/>
          <w:kern w:val="24"/>
          <w:sz w:val="24"/>
          <w:szCs w:val="24"/>
        </w:rPr>
        <w:t>The Guidelines for Psychological Practice with Lesbian, Gay, and Bisexual Clients were adopted by the APA Council of Representatives, February 18-20, 2011.</w:t>
      </w:r>
    </w:p>
    <w:p w:rsidR="006C7870" w:rsidRPr="006C7870" w:rsidRDefault="006C7870" w:rsidP="006C7870">
      <w:pPr>
        <w:numPr>
          <w:ilvl w:val="0"/>
          <w:numId w:val="6"/>
        </w:numPr>
        <w:spacing w:after="0" w:line="240" w:lineRule="auto"/>
        <w:ind w:left="1267"/>
        <w:contextualSpacing/>
        <w:rPr>
          <w:rFonts w:ascii="Times New Roman" w:eastAsia="Times New Roman" w:hAnsi="Times New Roman" w:cs="Times New Roman"/>
          <w:color w:val="000000"/>
          <w:sz w:val="16"/>
          <w:szCs w:val="24"/>
        </w:rPr>
      </w:pPr>
      <w:r w:rsidRPr="006C7870">
        <w:rPr>
          <w:rFonts w:ascii="Gill Sans MT" w:eastAsia="+mn-ea" w:hAnsi="Gill Sans MT" w:cs="+mn-cs"/>
          <w:color w:val="000000"/>
          <w:kern w:val="24"/>
          <w:sz w:val="24"/>
          <w:szCs w:val="24"/>
        </w:rPr>
        <w:lastRenderedPageBreak/>
        <w:t xml:space="preserve">American Psychiatric Association Position Statements can be found at: </w:t>
      </w:r>
      <w:hyperlink r:id="rId7" w:history="1">
        <w:r w:rsidR="009D1138" w:rsidRPr="006C7870">
          <w:rPr>
            <w:rFonts w:ascii="Gill Sans MT" w:eastAsia="+mn-ea" w:hAnsi="Gill Sans MT" w:cs="+mn-cs"/>
            <w:color w:val="000000"/>
            <w:kern w:val="24"/>
            <w:sz w:val="24"/>
            <w:szCs w:val="24"/>
            <w:u w:val="single"/>
          </w:rPr>
          <w:t>http</w:t>
        </w:r>
      </w:hyperlink>
      <w:hyperlink r:id="rId8" w:history="1">
        <w:r w:rsidR="009D1138" w:rsidRPr="006C7870">
          <w:rPr>
            <w:rFonts w:ascii="Gill Sans MT" w:eastAsia="+mn-ea" w:hAnsi="Gill Sans MT" w:cs="+mn-cs"/>
            <w:color w:val="000000"/>
            <w:kern w:val="24"/>
            <w:sz w:val="24"/>
            <w:szCs w:val="24"/>
            <w:u w:val="single"/>
          </w:rPr>
          <w:t>://www.psychiatry.org/advocacy--</w:t>
        </w:r>
      </w:hyperlink>
      <w:hyperlink r:id="rId9" w:history="1">
        <w:r w:rsidR="009D1138" w:rsidRPr="006C7870">
          <w:rPr>
            <w:rFonts w:ascii="Gill Sans MT" w:eastAsia="+mn-ea" w:hAnsi="Gill Sans MT" w:cs="+mn-cs"/>
            <w:color w:val="000000"/>
            <w:kern w:val="24"/>
            <w:sz w:val="24"/>
            <w:szCs w:val="24"/>
            <w:u w:val="single"/>
          </w:rPr>
          <w:t>newsroom/position-statements</w:t>
        </w:r>
      </w:hyperlink>
    </w:p>
    <w:p w:rsidR="006C7870" w:rsidRPr="006C7870" w:rsidRDefault="006C7870" w:rsidP="006C7870">
      <w:pPr>
        <w:numPr>
          <w:ilvl w:val="0"/>
          <w:numId w:val="6"/>
        </w:numPr>
        <w:spacing w:after="0" w:line="240" w:lineRule="auto"/>
        <w:ind w:left="1267"/>
        <w:contextualSpacing/>
        <w:rPr>
          <w:rFonts w:ascii="Times New Roman" w:eastAsia="Times New Roman" w:hAnsi="Times New Roman" w:cs="Times New Roman"/>
          <w:color w:val="000000"/>
          <w:sz w:val="16"/>
          <w:szCs w:val="24"/>
        </w:rPr>
      </w:pPr>
      <w:r w:rsidRPr="006C7870">
        <w:rPr>
          <w:rFonts w:ascii="Gill Sans MT" w:eastAsia="+mn-ea" w:hAnsi="Gill Sans MT" w:cs="+mn-cs"/>
          <w:color w:val="000000"/>
          <w:kern w:val="24"/>
          <w:sz w:val="24"/>
          <w:szCs w:val="24"/>
        </w:rPr>
        <w:t xml:space="preserve">National Association of Social Workers Guidelines can be found at: </w:t>
      </w:r>
      <w:hyperlink r:id="rId10" w:history="1">
        <w:r w:rsidR="009D1138" w:rsidRPr="006C7870">
          <w:rPr>
            <w:rFonts w:ascii="Gill Sans MT" w:eastAsia="+mn-ea" w:hAnsi="Gill Sans MT" w:cs="+mn-cs"/>
            <w:color w:val="000000"/>
            <w:kern w:val="24"/>
            <w:sz w:val="24"/>
            <w:szCs w:val="24"/>
            <w:u w:val="single"/>
          </w:rPr>
          <w:t>https://</w:t>
        </w:r>
      </w:hyperlink>
      <w:hyperlink r:id="rId11" w:history="1">
        <w:r w:rsidR="009D1138" w:rsidRPr="006C7870">
          <w:rPr>
            <w:rFonts w:ascii="Gill Sans MT" w:eastAsia="+mn-ea" w:hAnsi="Gill Sans MT" w:cs="+mn-cs"/>
            <w:color w:val="000000"/>
            <w:kern w:val="24"/>
            <w:sz w:val="24"/>
            <w:szCs w:val="24"/>
            <w:u w:val="single"/>
          </w:rPr>
          <w:t>www.socialworkers.org/diversity/new/lgbt.asp</w:t>
        </w:r>
      </w:hyperlink>
      <w:r w:rsidRPr="006C7870">
        <w:rPr>
          <w:rFonts w:ascii="Gill Sans MT" w:eastAsia="+mn-ea" w:hAnsi="Gill Sans MT" w:cs="+mn-cs"/>
          <w:color w:val="000000"/>
          <w:kern w:val="24"/>
          <w:sz w:val="24"/>
          <w:szCs w:val="24"/>
        </w:rPr>
        <w:t xml:space="preserve"> </w:t>
      </w:r>
    </w:p>
    <w:p w:rsidR="006C7870" w:rsidRPr="006C7870" w:rsidRDefault="006C7870" w:rsidP="006C7870">
      <w:pPr>
        <w:numPr>
          <w:ilvl w:val="0"/>
          <w:numId w:val="6"/>
        </w:numPr>
        <w:spacing w:after="0" w:line="240" w:lineRule="auto"/>
        <w:ind w:left="1267"/>
        <w:contextualSpacing/>
        <w:rPr>
          <w:rFonts w:ascii="Times New Roman" w:eastAsia="Times New Roman" w:hAnsi="Times New Roman" w:cs="Times New Roman"/>
          <w:color w:val="000000"/>
          <w:sz w:val="16"/>
          <w:szCs w:val="24"/>
        </w:rPr>
      </w:pPr>
      <w:r w:rsidRPr="006C7870">
        <w:rPr>
          <w:rFonts w:ascii="Gill Sans MT" w:eastAsia="+mn-ea" w:hAnsi="Gill Sans MT" w:cs="+mn-cs"/>
          <w:color w:val="000000"/>
          <w:kern w:val="24"/>
          <w:sz w:val="24"/>
          <w:szCs w:val="24"/>
        </w:rPr>
        <w:t xml:space="preserve">World Professional Association of Transgender Health Standards of Care can be found at: </w:t>
      </w:r>
      <w:hyperlink r:id="rId12" w:history="1">
        <w:r w:rsidR="009D1138" w:rsidRPr="006C7870">
          <w:rPr>
            <w:rFonts w:ascii="Gill Sans MT" w:eastAsia="+mn-ea" w:hAnsi="Gill Sans MT" w:cs="+mn-cs"/>
            <w:color w:val="000000"/>
            <w:kern w:val="24"/>
            <w:sz w:val="24"/>
            <w:szCs w:val="24"/>
            <w:u w:val="single"/>
          </w:rPr>
          <w:t>http://</w:t>
        </w:r>
      </w:hyperlink>
      <w:hyperlink r:id="rId13" w:history="1">
        <w:r w:rsidR="009D1138" w:rsidRPr="006C7870">
          <w:rPr>
            <w:rFonts w:ascii="Gill Sans MT" w:eastAsia="+mn-ea" w:hAnsi="Gill Sans MT" w:cs="+mn-cs"/>
            <w:color w:val="000000"/>
            <w:kern w:val="24"/>
            <w:sz w:val="24"/>
            <w:szCs w:val="24"/>
            <w:u w:val="single"/>
          </w:rPr>
          <w:t>www.wpath.org/site_page.cfm?pk_association_webpage_menu=1351</w:t>
        </w:r>
      </w:hyperlink>
      <w:r w:rsidRPr="006C7870">
        <w:rPr>
          <w:rFonts w:ascii="Gill Sans MT" w:eastAsia="+mn-ea" w:hAnsi="Gill Sans MT" w:cs="+mn-cs"/>
          <w:color w:val="000000"/>
          <w:kern w:val="24"/>
          <w:sz w:val="24"/>
          <w:szCs w:val="24"/>
        </w:rPr>
        <w:t xml:space="preserve"> </w:t>
      </w:r>
    </w:p>
    <w:p w:rsidR="006C7870" w:rsidRPr="006C7870" w:rsidRDefault="006C7870" w:rsidP="006C7870">
      <w:pPr>
        <w:numPr>
          <w:ilvl w:val="0"/>
          <w:numId w:val="6"/>
        </w:numPr>
        <w:spacing w:after="0" w:line="240" w:lineRule="auto"/>
        <w:ind w:left="1267"/>
        <w:contextualSpacing/>
        <w:rPr>
          <w:rFonts w:ascii="Times New Roman" w:eastAsia="Times New Roman" w:hAnsi="Times New Roman" w:cs="Times New Roman"/>
          <w:color w:val="000000"/>
          <w:sz w:val="16"/>
          <w:szCs w:val="24"/>
        </w:rPr>
      </w:pPr>
      <w:r w:rsidRPr="006C7870">
        <w:rPr>
          <w:rFonts w:ascii="Gill Sans MT" w:eastAsia="+mn-ea" w:hAnsi="Gill Sans MT" w:cs="+mn-cs"/>
          <w:color w:val="000000"/>
          <w:kern w:val="24"/>
          <w:sz w:val="24"/>
          <w:szCs w:val="24"/>
        </w:rPr>
        <w:t xml:space="preserve">Roberts, A. L., Austin, S. B., Corliss, H. L., </w:t>
      </w:r>
      <w:proofErr w:type="spellStart"/>
      <w:r w:rsidRPr="006C7870">
        <w:rPr>
          <w:rFonts w:ascii="Gill Sans MT" w:eastAsia="+mn-ea" w:hAnsi="Gill Sans MT" w:cs="+mn-cs"/>
          <w:color w:val="000000"/>
          <w:kern w:val="24"/>
          <w:sz w:val="24"/>
          <w:szCs w:val="24"/>
        </w:rPr>
        <w:t>Vandermorris</w:t>
      </w:r>
      <w:proofErr w:type="spellEnd"/>
      <w:r w:rsidRPr="006C7870">
        <w:rPr>
          <w:rFonts w:ascii="Gill Sans MT" w:eastAsia="+mn-ea" w:hAnsi="Gill Sans MT" w:cs="+mn-cs"/>
          <w:color w:val="000000"/>
          <w:kern w:val="24"/>
          <w:sz w:val="24"/>
          <w:szCs w:val="24"/>
        </w:rPr>
        <w:t xml:space="preserve">, A. K., &amp; </w:t>
      </w:r>
      <w:proofErr w:type="spellStart"/>
      <w:r w:rsidRPr="006C7870">
        <w:rPr>
          <w:rFonts w:ascii="Gill Sans MT" w:eastAsia="+mn-ea" w:hAnsi="Gill Sans MT" w:cs="+mn-cs"/>
          <w:color w:val="000000"/>
          <w:kern w:val="24"/>
          <w:sz w:val="24"/>
          <w:szCs w:val="24"/>
        </w:rPr>
        <w:t>Koenen</w:t>
      </w:r>
      <w:proofErr w:type="spellEnd"/>
      <w:r w:rsidRPr="006C7870">
        <w:rPr>
          <w:rFonts w:ascii="Gill Sans MT" w:eastAsia="+mn-ea" w:hAnsi="Gill Sans MT" w:cs="+mn-cs"/>
          <w:color w:val="000000"/>
          <w:kern w:val="24"/>
          <w:sz w:val="24"/>
          <w:szCs w:val="24"/>
        </w:rPr>
        <w:t xml:space="preserve">, K. C. (2010). Pervasive trauma exposure among US sexual orientation minority adults and risk of posttraumatic stress disorder. </w:t>
      </w:r>
      <w:r w:rsidRPr="006C7870">
        <w:rPr>
          <w:rFonts w:ascii="Gill Sans MT" w:eastAsia="+mn-ea" w:hAnsi="Gill Sans MT" w:cs="+mn-cs"/>
          <w:i/>
          <w:iCs/>
          <w:color w:val="000000"/>
          <w:kern w:val="24"/>
          <w:sz w:val="24"/>
          <w:szCs w:val="24"/>
        </w:rPr>
        <w:t>American Journal of Public Health, 100</w:t>
      </w:r>
      <w:r w:rsidRPr="006C7870">
        <w:rPr>
          <w:rFonts w:ascii="Gill Sans MT" w:eastAsia="+mn-ea" w:hAnsi="Gill Sans MT" w:cs="+mn-cs"/>
          <w:color w:val="000000"/>
          <w:kern w:val="24"/>
          <w:sz w:val="24"/>
          <w:szCs w:val="24"/>
        </w:rPr>
        <w:t>(12), 2433-2441.</w:t>
      </w:r>
    </w:p>
    <w:p w:rsidR="006C7870" w:rsidRPr="006C7870" w:rsidRDefault="006C7870" w:rsidP="006C7870">
      <w:pPr>
        <w:numPr>
          <w:ilvl w:val="0"/>
          <w:numId w:val="6"/>
        </w:numPr>
        <w:spacing w:after="0" w:line="240" w:lineRule="auto"/>
        <w:ind w:left="1267"/>
        <w:contextualSpacing/>
        <w:rPr>
          <w:rFonts w:ascii="Times New Roman" w:eastAsia="Times New Roman" w:hAnsi="Times New Roman" w:cs="Times New Roman"/>
          <w:color w:val="000000"/>
          <w:sz w:val="16"/>
          <w:szCs w:val="24"/>
        </w:rPr>
      </w:pPr>
      <w:proofErr w:type="spellStart"/>
      <w:r w:rsidRPr="006C7870">
        <w:rPr>
          <w:rFonts w:ascii="Gill Sans MT" w:eastAsia="+mn-ea" w:hAnsi="Gill Sans MT" w:cs="+mn-cs"/>
          <w:color w:val="000000"/>
          <w:kern w:val="24"/>
          <w:sz w:val="24"/>
          <w:szCs w:val="24"/>
        </w:rPr>
        <w:t>Stotzer</w:t>
      </w:r>
      <w:proofErr w:type="spellEnd"/>
      <w:r w:rsidRPr="006C7870">
        <w:rPr>
          <w:rFonts w:ascii="Gill Sans MT" w:eastAsia="+mn-ea" w:hAnsi="Gill Sans MT" w:cs="+mn-cs"/>
          <w:color w:val="000000"/>
          <w:kern w:val="24"/>
          <w:sz w:val="24"/>
          <w:szCs w:val="24"/>
        </w:rPr>
        <w:t xml:space="preserve">, R. L. (2009, May-June). Violence against transgender people: A review of United States data. </w:t>
      </w:r>
      <w:r w:rsidRPr="006C7870">
        <w:rPr>
          <w:rFonts w:ascii="Gill Sans MT" w:eastAsia="+mn-ea" w:hAnsi="Gill Sans MT" w:cs="+mn-cs"/>
          <w:i/>
          <w:iCs/>
          <w:color w:val="000000"/>
          <w:kern w:val="24"/>
          <w:sz w:val="24"/>
          <w:szCs w:val="24"/>
        </w:rPr>
        <w:t>Aggression and Violent Behavior, 14</w:t>
      </w:r>
      <w:r w:rsidRPr="006C7870">
        <w:rPr>
          <w:rFonts w:ascii="Gill Sans MT" w:eastAsia="+mn-ea" w:hAnsi="Gill Sans MT" w:cs="+mn-cs"/>
          <w:color w:val="000000"/>
          <w:kern w:val="24"/>
          <w:sz w:val="24"/>
          <w:szCs w:val="24"/>
        </w:rPr>
        <w:t>(3), 170-179.</w:t>
      </w:r>
    </w:p>
    <w:p w:rsidR="006C7870" w:rsidRPr="006C7870" w:rsidRDefault="006C7870" w:rsidP="00FE67B0">
      <w:pPr>
        <w:numPr>
          <w:ilvl w:val="0"/>
          <w:numId w:val="6"/>
        </w:numPr>
        <w:tabs>
          <w:tab w:val="clear" w:pos="720"/>
          <w:tab w:val="num" w:pos="1260"/>
        </w:tabs>
        <w:spacing w:after="0" w:line="240" w:lineRule="auto"/>
        <w:ind w:left="1260" w:hanging="367"/>
        <w:contextualSpacing/>
        <w:rPr>
          <w:rFonts w:ascii="Times New Roman" w:eastAsia="Times New Roman" w:hAnsi="Times New Roman" w:cs="Times New Roman"/>
          <w:color w:val="000000"/>
          <w:sz w:val="16"/>
          <w:szCs w:val="24"/>
        </w:rPr>
      </w:pPr>
      <w:r w:rsidRPr="006C7870">
        <w:rPr>
          <w:rFonts w:ascii="Gill Sans MT" w:eastAsia="+mn-ea" w:hAnsi="Gill Sans MT" w:cs="+mn-cs"/>
          <w:color w:val="000000"/>
          <w:kern w:val="24"/>
          <w:sz w:val="24"/>
          <w:szCs w:val="24"/>
        </w:rPr>
        <w:t xml:space="preserve">Grant, J. M., </w:t>
      </w:r>
      <w:proofErr w:type="spellStart"/>
      <w:r w:rsidRPr="006C7870">
        <w:rPr>
          <w:rFonts w:ascii="Gill Sans MT" w:eastAsia="+mn-ea" w:hAnsi="Gill Sans MT" w:cs="+mn-cs"/>
          <w:color w:val="000000"/>
          <w:kern w:val="24"/>
          <w:sz w:val="24"/>
          <w:szCs w:val="24"/>
        </w:rPr>
        <w:t>Mottet</w:t>
      </w:r>
      <w:proofErr w:type="spellEnd"/>
      <w:r w:rsidRPr="006C7870">
        <w:rPr>
          <w:rFonts w:ascii="Gill Sans MT" w:eastAsia="+mn-ea" w:hAnsi="Gill Sans MT" w:cs="+mn-cs"/>
          <w:color w:val="000000"/>
          <w:kern w:val="24"/>
          <w:sz w:val="24"/>
          <w:szCs w:val="24"/>
        </w:rPr>
        <w:t xml:space="preserve">, L. A. Tanis, J., Harrison, J., Herman, J. L., &amp; </w:t>
      </w:r>
      <w:proofErr w:type="spellStart"/>
      <w:r w:rsidRPr="006C7870">
        <w:rPr>
          <w:rFonts w:ascii="Gill Sans MT" w:eastAsia="+mn-ea" w:hAnsi="Gill Sans MT" w:cs="+mn-cs"/>
          <w:color w:val="000000"/>
          <w:kern w:val="24"/>
          <w:sz w:val="24"/>
          <w:szCs w:val="24"/>
        </w:rPr>
        <w:t>Kiesling</w:t>
      </w:r>
      <w:proofErr w:type="spellEnd"/>
      <w:r w:rsidRPr="006C7870">
        <w:rPr>
          <w:rFonts w:ascii="Gill Sans MT" w:eastAsia="+mn-ea" w:hAnsi="Gill Sans MT" w:cs="+mn-cs"/>
          <w:color w:val="000000"/>
          <w:kern w:val="24"/>
          <w:sz w:val="24"/>
          <w:szCs w:val="24"/>
        </w:rPr>
        <w:t>, M. (2011). Injustice at every turn: A report of the National Transgender Discrimination Survey. Washington, DC: National Center for Transgender Equality and National Gay and Lesbian Task Force.</w:t>
      </w:r>
    </w:p>
    <w:p w:rsidR="00BE7805" w:rsidRPr="00307E10" w:rsidRDefault="00BE7805">
      <w:pPr>
        <w:rPr>
          <w:b/>
          <w:bCs/>
        </w:rPr>
      </w:pPr>
    </w:p>
    <w:sectPr w:rsidR="00BE7805" w:rsidRPr="00307E1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DB" w:rsidRDefault="004E04DB" w:rsidP="00F435BC">
      <w:pPr>
        <w:spacing w:after="0" w:line="240" w:lineRule="auto"/>
      </w:pPr>
      <w:r>
        <w:separator/>
      </w:r>
    </w:p>
  </w:endnote>
  <w:endnote w:type="continuationSeparator" w:id="0">
    <w:p w:rsidR="004E04DB" w:rsidRDefault="004E04DB" w:rsidP="00F4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DB" w:rsidRDefault="004E04DB" w:rsidP="00F435BC">
      <w:pPr>
        <w:spacing w:after="0" w:line="240" w:lineRule="auto"/>
      </w:pPr>
      <w:r>
        <w:separator/>
      </w:r>
    </w:p>
  </w:footnote>
  <w:footnote w:type="continuationSeparator" w:id="0">
    <w:p w:rsidR="004E04DB" w:rsidRDefault="004E04DB" w:rsidP="00F43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5BC" w:rsidRPr="00F435BC" w:rsidRDefault="00D8138F" w:rsidP="00F435BC">
    <w:pPr>
      <w:pStyle w:val="Header"/>
      <w:jc w:val="center"/>
      <w:rPr>
        <w:rFonts w:ascii="Britannic Bold" w:hAnsi="Britannic Bold"/>
      </w:rPr>
    </w:pPr>
    <w:r>
      <w:rPr>
        <w:rFonts w:ascii="Britannic Bold" w:hAnsi="Britannic Bold"/>
      </w:rPr>
      <w:t>SAPEN</w:t>
    </w:r>
    <w:r w:rsidR="00295498">
      <w:rPr>
        <w:rFonts w:ascii="Britannic Bold" w:hAnsi="Britannic Bold"/>
      </w:rPr>
      <w:t xml:space="preserve"> Proposal 2018</w:t>
    </w:r>
    <w:r w:rsidR="00F435BC" w:rsidRPr="00F435BC">
      <w:rPr>
        <w:rFonts w:ascii="Britannic Bold" w:hAnsi="Britannic Bold"/>
      </w:rPr>
      <w:t xml:space="preserve">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6333"/>
    <w:multiLevelType w:val="hybridMultilevel"/>
    <w:tmpl w:val="AFDCF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92762"/>
    <w:multiLevelType w:val="hybridMultilevel"/>
    <w:tmpl w:val="2436771C"/>
    <w:lvl w:ilvl="0" w:tplc="D1D0C4DA">
      <w:start w:val="15"/>
      <w:numFmt w:val="decimal"/>
      <w:lvlText w:val="%1."/>
      <w:lvlJc w:val="left"/>
      <w:pPr>
        <w:tabs>
          <w:tab w:val="num" w:pos="720"/>
        </w:tabs>
        <w:ind w:left="720" w:hanging="360"/>
      </w:pPr>
    </w:lvl>
    <w:lvl w:ilvl="1" w:tplc="8E1EC0F6" w:tentative="1">
      <w:start w:val="1"/>
      <w:numFmt w:val="decimal"/>
      <w:lvlText w:val="%2."/>
      <w:lvlJc w:val="left"/>
      <w:pPr>
        <w:tabs>
          <w:tab w:val="num" w:pos="1440"/>
        </w:tabs>
        <w:ind w:left="1440" w:hanging="360"/>
      </w:pPr>
    </w:lvl>
    <w:lvl w:ilvl="2" w:tplc="4BA8BD6E" w:tentative="1">
      <w:start w:val="1"/>
      <w:numFmt w:val="decimal"/>
      <w:lvlText w:val="%3."/>
      <w:lvlJc w:val="left"/>
      <w:pPr>
        <w:tabs>
          <w:tab w:val="num" w:pos="2160"/>
        </w:tabs>
        <w:ind w:left="2160" w:hanging="360"/>
      </w:pPr>
    </w:lvl>
    <w:lvl w:ilvl="3" w:tplc="B43016BE" w:tentative="1">
      <w:start w:val="1"/>
      <w:numFmt w:val="decimal"/>
      <w:lvlText w:val="%4."/>
      <w:lvlJc w:val="left"/>
      <w:pPr>
        <w:tabs>
          <w:tab w:val="num" w:pos="2880"/>
        </w:tabs>
        <w:ind w:left="2880" w:hanging="360"/>
      </w:pPr>
    </w:lvl>
    <w:lvl w:ilvl="4" w:tplc="CB285402" w:tentative="1">
      <w:start w:val="1"/>
      <w:numFmt w:val="decimal"/>
      <w:lvlText w:val="%5."/>
      <w:lvlJc w:val="left"/>
      <w:pPr>
        <w:tabs>
          <w:tab w:val="num" w:pos="3600"/>
        </w:tabs>
        <w:ind w:left="3600" w:hanging="360"/>
      </w:pPr>
    </w:lvl>
    <w:lvl w:ilvl="5" w:tplc="5ABC7BBC" w:tentative="1">
      <w:start w:val="1"/>
      <w:numFmt w:val="decimal"/>
      <w:lvlText w:val="%6."/>
      <w:lvlJc w:val="left"/>
      <w:pPr>
        <w:tabs>
          <w:tab w:val="num" w:pos="4320"/>
        </w:tabs>
        <w:ind w:left="4320" w:hanging="360"/>
      </w:pPr>
    </w:lvl>
    <w:lvl w:ilvl="6" w:tplc="6F42BAA8" w:tentative="1">
      <w:start w:val="1"/>
      <w:numFmt w:val="decimal"/>
      <w:lvlText w:val="%7."/>
      <w:lvlJc w:val="left"/>
      <w:pPr>
        <w:tabs>
          <w:tab w:val="num" w:pos="5040"/>
        </w:tabs>
        <w:ind w:left="5040" w:hanging="360"/>
      </w:pPr>
    </w:lvl>
    <w:lvl w:ilvl="7" w:tplc="728E1A28" w:tentative="1">
      <w:start w:val="1"/>
      <w:numFmt w:val="decimal"/>
      <w:lvlText w:val="%8."/>
      <w:lvlJc w:val="left"/>
      <w:pPr>
        <w:tabs>
          <w:tab w:val="num" w:pos="5760"/>
        </w:tabs>
        <w:ind w:left="5760" w:hanging="360"/>
      </w:pPr>
    </w:lvl>
    <w:lvl w:ilvl="8" w:tplc="F152935C" w:tentative="1">
      <w:start w:val="1"/>
      <w:numFmt w:val="decimal"/>
      <w:lvlText w:val="%9."/>
      <w:lvlJc w:val="left"/>
      <w:pPr>
        <w:tabs>
          <w:tab w:val="num" w:pos="6480"/>
        </w:tabs>
        <w:ind w:left="6480" w:hanging="360"/>
      </w:pPr>
    </w:lvl>
  </w:abstractNum>
  <w:abstractNum w:abstractNumId="2" w15:restartNumberingAfterBreak="0">
    <w:nsid w:val="20A20D07"/>
    <w:multiLevelType w:val="hybridMultilevel"/>
    <w:tmpl w:val="465EE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80F56"/>
    <w:multiLevelType w:val="hybridMultilevel"/>
    <w:tmpl w:val="F238ECF0"/>
    <w:lvl w:ilvl="0" w:tplc="398052E2">
      <w:start w:val="11"/>
      <w:numFmt w:val="decimal"/>
      <w:lvlText w:val="%1."/>
      <w:lvlJc w:val="left"/>
      <w:pPr>
        <w:tabs>
          <w:tab w:val="num" w:pos="720"/>
        </w:tabs>
        <w:ind w:left="720" w:hanging="360"/>
      </w:pPr>
    </w:lvl>
    <w:lvl w:ilvl="1" w:tplc="06EA8466" w:tentative="1">
      <w:start w:val="1"/>
      <w:numFmt w:val="decimal"/>
      <w:lvlText w:val="%2."/>
      <w:lvlJc w:val="left"/>
      <w:pPr>
        <w:tabs>
          <w:tab w:val="num" w:pos="1440"/>
        </w:tabs>
        <w:ind w:left="1440" w:hanging="360"/>
      </w:pPr>
    </w:lvl>
    <w:lvl w:ilvl="2" w:tplc="D1B0CCF2" w:tentative="1">
      <w:start w:val="1"/>
      <w:numFmt w:val="decimal"/>
      <w:lvlText w:val="%3."/>
      <w:lvlJc w:val="left"/>
      <w:pPr>
        <w:tabs>
          <w:tab w:val="num" w:pos="2160"/>
        </w:tabs>
        <w:ind w:left="2160" w:hanging="360"/>
      </w:pPr>
    </w:lvl>
    <w:lvl w:ilvl="3" w:tplc="F85A3CB8" w:tentative="1">
      <w:start w:val="1"/>
      <w:numFmt w:val="decimal"/>
      <w:lvlText w:val="%4."/>
      <w:lvlJc w:val="left"/>
      <w:pPr>
        <w:tabs>
          <w:tab w:val="num" w:pos="2880"/>
        </w:tabs>
        <w:ind w:left="2880" w:hanging="360"/>
      </w:pPr>
    </w:lvl>
    <w:lvl w:ilvl="4" w:tplc="C0D4011A" w:tentative="1">
      <w:start w:val="1"/>
      <w:numFmt w:val="decimal"/>
      <w:lvlText w:val="%5."/>
      <w:lvlJc w:val="left"/>
      <w:pPr>
        <w:tabs>
          <w:tab w:val="num" w:pos="3600"/>
        </w:tabs>
        <w:ind w:left="3600" w:hanging="360"/>
      </w:pPr>
    </w:lvl>
    <w:lvl w:ilvl="5" w:tplc="952425EE" w:tentative="1">
      <w:start w:val="1"/>
      <w:numFmt w:val="decimal"/>
      <w:lvlText w:val="%6."/>
      <w:lvlJc w:val="left"/>
      <w:pPr>
        <w:tabs>
          <w:tab w:val="num" w:pos="4320"/>
        </w:tabs>
        <w:ind w:left="4320" w:hanging="360"/>
      </w:pPr>
    </w:lvl>
    <w:lvl w:ilvl="6" w:tplc="A54270E4" w:tentative="1">
      <w:start w:val="1"/>
      <w:numFmt w:val="decimal"/>
      <w:lvlText w:val="%7."/>
      <w:lvlJc w:val="left"/>
      <w:pPr>
        <w:tabs>
          <w:tab w:val="num" w:pos="5040"/>
        </w:tabs>
        <w:ind w:left="5040" w:hanging="360"/>
      </w:pPr>
    </w:lvl>
    <w:lvl w:ilvl="7" w:tplc="793C69C2" w:tentative="1">
      <w:start w:val="1"/>
      <w:numFmt w:val="decimal"/>
      <w:lvlText w:val="%8."/>
      <w:lvlJc w:val="left"/>
      <w:pPr>
        <w:tabs>
          <w:tab w:val="num" w:pos="5760"/>
        </w:tabs>
        <w:ind w:left="5760" w:hanging="360"/>
      </w:pPr>
    </w:lvl>
    <w:lvl w:ilvl="8" w:tplc="A8488166" w:tentative="1">
      <w:start w:val="1"/>
      <w:numFmt w:val="decimal"/>
      <w:lvlText w:val="%9."/>
      <w:lvlJc w:val="left"/>
      <w:pPr>
        <w:tabs>
          <w:tab w:val="num" w:pos="6480"/>
        </w:tabs>
        <w:ind w:left="6480" w:hanging="360"/>
      </w:pPr>
    </w:lvl>
  </w:abstractNum>
  <w:abstractNum w:abstractNumId="4" w15:restartNumberingAfterBreak="0">
    <w:nsid w:val="64B65760"/>
    <w:multiLevelType w:val="hybridMultilevel"/>
    <w:tmpl w:val="70E45642"/>
    <w:lvl w:ilvl="0" w:tplc="9AFACEE6">
      <w:start w:val="1"/>
      <w:numFmt w:val="decimal"/>
      <w:lvlText w:val="%1."/>
      <w:lvlJc w:val="left"/>
      <w:pPr>
        <w:tabs>
          <w:tab w:val="num" w:pos="720"/>
        </w:tabs>
        <w:ind w:left="720" w:hanging="360"/>
      </w:pPr>
    </w:lvl>
    <w:lvl w:ilvl="1" w:tplc="F3B4E9F2" w:tentative="1">
      <w:start w:val="1"/>
      <w:numFmt w:val="decimal"/>
      <w:lvlText w:val="%2."/>
      <w:lvlJc w:val="left"/>
      <w:pPr>
        <w:tabs>
          <w:tab w:val="num" w:pos="1440"/>
        </w:tabs>
        <w:ind w:left="1440" w:hanging="360"/>
      </w:pPr>
    </w:lvl>
    <w:lvl w:ilvl="2" w:tplc="78724A82" w:tentative="1">
      <w:start w:val="1"/>
      <w:numFmt w:val="decimal"/>
      <w:lvlText w:val="%3."/>
      <w:lvlJc w:val="left"/>
      <w:pPr>
        <w:tabs>
          <w:tab w:val="num" w:pos="2160"/>
        </w:tabs>
        <w:ind w:left="2160" w:hanging="360"/>
      </w:pPr>
    </w:lvl>
    <w:lvl w:ilvl="3" w:tplc="D2D6D5F4" w:tentative="1">
      <w:start w:val="1"/>
      <w:numFmt w:val="decimal"/>
      <w:lvlText w:val="%4."/>
      <w:lvlJc w:val="left"/>
      <w:pPr>
        <w:tabs>
          <w:tab w:val="num" w:pos="2880"/>
        </w:tabs>
        <w:ind w:left="2880" w:hanging="360"/>
      </w:pPr>
    </w:lvl>
    <w:lvl w:ilvl="4" w:tplc="A1B2A436" w:tentative="1">
      <w:start w:val="1"/>
      <w:numFmt w:val="decimal"/>
      <w:lvlText w:val="%5."/>
      <w:lvlJc w:val="left"/>
      <w:pPr>
        <w:tabs>
          <w:tab w:val="num" w:pos="3600"/>
        </w:tabs>
        <w:ind w:left="3600" w:hanging="360"/>
      </w:pPr>
    </w:lvl>
    <w:lvl w:ilvl="5" w:tplc="3ACC3382" w:tentative="1">
      <w:start w:val="1"/>
      <w:numFmt w:val="decimal"/>
      <w:lvlText w:val="%6."/>
      <w:lvlJc w:val="left"/>
      <w:pPr>
        <w:tabs>
          <w:tab w:val="num" w:pos="4320"/>
        </w:tabs>
        <w:ind w:left="4320" w:hanging="360"/>
      </w:pPr>
    </w:lvl>
    <w:lvl w:ilvl="6" w:tplc="595A2DA8" w:tentative="1">
      <w:start w:val="1"/>
      <w:numFmt w:val="decimal"/>
      <w:lvlText w:val="%7."/>
      <w:lvlJc w:val="left"/>
      <w:pPr>
        <w:tabs>
          <w:tab w:val="num" w:pos="5040"/>
        </w:tabs>
        <w:ind w:left="5040" w:hanging="360"/>
      </w:pPr>
    </w:lvl>
    <w:lvl w:ilvl="7" w:tplc="D7488132" w:tentative="1">
      <w:start w:val="1"/>
      <w:numFmt w:val="decimal"/>
      <w:lvlText w:val="%8."/>
      <w:lvlJc w:val="left"/>
      <w:pPr>
        <w:tabs>
          <w:tab w:val="num" w:pos="5760"/>
        </w:tabs>
        <w:ind w:left="5760" w:hanging="360"/>
      </w:pPr>
    </w:lvl>
    <w:lvl w:ilvl="8" w:tplc="C0225CD8" w:tentative="1">
      <w:start w:val="1"/>
      <w:numFmt w:val="decimal"/>
      <w:lvlText w:val="%9."/>
      <w:lvlJc w:val="left"/>
      <w:pPr>
        <w:tabs>
          <w:tab w:val="num" w:pos="6480"/>
        </w:tabs>
        <w:ind w:left="6480" w:hanging="360"/>
      </w:pPr>
    </w:lvl>
  </w:abstractNum>
  <w:abstractNum w:abstractNumId="5" w15:restartNumberingAfterBreak="0">
    <w:nsid w:val="684F6AED"/>
    <w:multiLevelType w:val="hybridMultilevel"/>
    <w:tmpl w:val="930E0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C3"/>
    <w:rsid w:val="000572C1"/>
    <w:rsid w:val="00093A2A"/>
    <w:rsid w:val="000A26B6"/>
    <w:rsid w:val="000E4D71"/>
    <w:rsid w:val="00137F78"/>
    <w:rsid w:val="00260577"/>
    <w:rsid w:val="00291ECC"/>
    <w:rsid w:val="00295498"/>
    <w:rsid w:val="002961D5"/>
    <w:rsid w:val="002A6A15"/>
    <w:rsid w:val="00307E10"/>
    <w:rsid w:val="003A17C3"/>
    <w:rsid w:val="003D0EDF"/>
    <w:rsid w:val="003D7311"/>
    <w:rsid w:val="004434B7"/>
    <w:rsid w:val="00476B2C"/>
    <w:rsid w:val="004E04DB"/>
    <w:rsid w:val="00565096"/>
    <w:rsid w:val="006C7672"/>
    <w:rsid w:val="006C7870"/>
    <w:rsid w:val="00700EF6"/>
    <w:rsid w:val="0071220B"/>
    <w:rsid w:val="00767848"/>
    <w:rsid w:val="0079458F"/>
    <w:rsid w:val="00867772"/>
    <w:rsid w:val="008729DA"/>
    <w:rsid w:val="009225E6"/>
    <w:rsid w:val="00922AD3"/>
    <w:rsid w:val="00970B11"/>
    <w:rsid w:val="009D1138"/>
    <w:rsid w:val="00B357D8"/>
    <w:rsid w:val="00B55E0E"/>
    <w:rsid w:val="00BE7805"/>
    <w:rsid w:val="00CF7B8F"/>
    <w:rsid w:val="00D166A0"/>
    <w:rsid w:val="00D338DF"/>
    <w:rsid w:val="00D8138F"/>
    <w:rsid w:val="00D87EF5"/>
    <w:rsid w:val="00DA4AE3"/>
    <w:rsid w:val="00DF45E3"/>
    <w:rsid w:val="00E01C1D"/>
    <w:rsid w:val="00F04274"/>
    <w:rsid w:val="00F15387"/>
    <w:rsid w:val="00F305A8"/>
    <w:rsid w:val="00F32D9D"/>
    <w:rsid w:val="00F435BC"/>
    <w:rsid w:val="00F914ED"/>
    <w:rsid w:val="00FB4669"/>
    <w:rsid w:val="00F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EB25B-91DB-4DED-807E-6FE42D16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311"/>
    <w:pPr>
      <w:ind w:left="720"/>
      <w:contextualSpacing/>
    </w:pPr>
  </w:style>
  <w:style w:type="character" w:styleId="Hyperlink">
    <w:name w:val="Hyperlink"/>
    <w:basedOn w:val="DefaultParagraphFont"/>
    <w:uiPriority w:val="99"/>
    <w:unhideWhenUsed/>
    <w:rsid w:val="00867772"/>
    <w:rPr>
      <w:color w:val="0000FF" w:themeColor="hyperlink"/>
      <w:u w:val="single"/>
    </w:rPr>
  </w:style>
  <w:style w:type="paragraph" w:styleId="Header">
    <w:name w:val="header"/>
    <w:basedOn w:val="Normal"/>
    <w:link w:val="HeaderChar"/>
    <w:uiPriority w:val="99"/>
    <w:unhideWhenUsed/>
    <w:rsid w:val="00F43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5BC"/>
  </w:style>
  <w:style w:type="paragraph" w:styleId="Footer">
    <w:name w:val="footer"/>
    <w:basedOn w:val="Normal"/>
    <w:link w:val="FooterChar"/>
    <w:uiPriority w:val="99"/>
    <w:unhideWhenUsed/>
    <w:rsid w:val="00F43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747">
      <w:bodyDiv w:val="1"/>
      <w:marLeft w:val="0"/>
      <w:marRight w:val="0"/>
      <w:marTop w:val="0"/>
      <w:marBottom w:val="0"/>
      <w:divBdr>
        <w:top w:val="none" w:sz="0" w:space="0" w:color="auto"/>
        <w:left w:val="none" w:sz="0" w:space="0" w:color="auto"/>
        <w:bottom w:val="none" w:sz="0" w:space="0" w:color="auto"/>
        <w:right w:val="none" w:sz="0" w:space="0" w:color="auto"/>
      </w:divBdr>
      <w:divsChild>
        <w:div w:id="501507683">
          <w:marLeft w:val="547"/>
          <w:marRight w:val="0"/>
          <w:marTop w:val="58"/>
          <w:marBottom w:val="0"/>
          <w:divBdr>
            <w:top w:val="none" w:sz="0" w:space="0" w:color="auto"/>
            <w:left w:val="none" w:sz="0" w:space="0" w:color="auto"/>
            <w:bottom w:val="none" w:sz="0" w:space="0" w:color="auto"/>
            <w:right w:val="none" w:sz="0" w:space="0" w:color="auto"/>
          </w:divBdr>
        </w:div>
        <w:div w:id="768699907">
          <w:marLeft w:val="547"/>
          <w:marRight w:val="0"/>
          <w:marTop w:val="58"/>
          <w:marBottom w:val="0"/>
          <w:divBdr>
            <w:top w:val="none" w:sz="0" w:space="0" w:color="auto"/>
            <w:left w:val="none" w:sz="0" w:space="0" w:color="auto"/>
            <w:bottom w:val="none" w:sz="0" w:space="0" w:color="auto"/>
            <w:right w:val="none" w:sz="0" w:space="0" w:color="auto"/>
          </w:divBdr>
        </w:div>
        <w:div w:id="1949242185">
          <w:marLeft w:val="547"/>
          <w:marRight w:val="0"/>
          <w:marTop w:val="58"/>
          <w:marBottom w:val="0"/>
          <w:divBdr>
            <w:top w:val="none" w:sz="0" w:space="0" w:color="auto"/>
            <w:left w:val="none" w:sz="0" w:space="0" w:color="auto"/>
            <w:bottom w:val="none" w:sz="0" w:space="0" w:color="auto"/>
            <w:right w:val="none" w:sz="0" w:space="0" w:color="auto"/>
          </w:divBdr>
        </w:div>
        <w:div w:id="814641474">
          <w:marLeft w:val="547"/>
          <w:marRight w:val="0"/>
          <w:marTop w:val="58"/>
          <w:marBottom w:val="0"/>
          <w:divBdr>
            <w:top w:val="none" w:sz="0" w:space="0" w:color="auto"/>
            <w:left w:val="none" w:sz="0" w:space="0" w:color="auto"/>
            <w:bottom w:val="none" w:sz="0" w:space="0" w:color="auto"/>
            <w:right w:val="none" w:sz="0" w:space="0" w:color="auto"/>
          </w:divBdr>
        </w:div>
        <w:div w:id="858466085">
          <w:marLeft w:val="547"/>
          <w:marRight w:val="0"/>
          <w:marTop w:val="58"/>
          <w:marBottom w:val="0"/>
          <w:divBdr>
            <w:top w:val="none" w:sz="0" w:space="0" w:color="auto"/>
            <w:left w:val="none" w:sz="0" w:space="0" w:color="auto"/>
            <w:bottom w:val="none" w:sz="0" w:space="0" w:color="auto"/>
            <w:right w:val="none" w:sz="0" w:space="0" w:color="auto"/>
          </w:divBdr>
        </w:div>
        <w:div w:id="1029378582">
          <w:marLeft w:val="547"/>
          <w:marRight w:val="0"/>
          <w:marTop w:val="58"/>
          <w:marBottom w:val="0"/>
          <w:divBdr>
            <w:top w:val="none" w:sz="0" w:space="0" w:color="auto"/>
            <w:left w:val="none" w:sz="0" w:space="0" w:color="auto"/>
            <w:bottom w:val="none" w:sz="0" w:space="0" w:color="auto"/>
            <w:right w:val="none" w:sz="0" w:space="0" w:color="auto"/>
          </w:divBdr>
        </w:div>
        <w:div w:id="460155182">
          <w:marLeft w:val="547"/>
          <w:marRight w:val="0"/>
          <w:marTop w:val="58"/>
          <w:marBottom w:val="0"/>
          <w:divBdr>
            <w:top w:val="none" w:sz="0" w:space="0" w:color="auto"/>
            <w:left w:val="none" w:sz="0" w:space="0" w:color="auto"/>
            <w:bottom w:val="none" w:sz="0" w:space="0" w:color="auto"/>
            <w:right w:val="none" w:sz="0" w:space="0" w:color="auto"/>
          </w:divBdr>
        </w:div>
        <w:div w:id="270598433">
          <w:marLeft w:val="547"/>
          <w:marRight w:val="0"/>
          <w:marTop w:val="58"/>
          <w:marBottom w:val="0"/>
          <w:divBdr>
            <w:top w:val="none" w:sz="0" w:space="0" w:color="auto"/>
            <w:left w:val="none" w:sz="0" w:space="0" w:color="auto"/>
            <w:bottom w:val="none" w:sz="0" w:space="0" w:color="auto"/>
            <w:right w:val="none" w:sz="0" w:space="0" w:color="auto"/>
          </w:divBdr>
        </w:div>
        <w:div w:id="688875586">
          <w:marLeft w:val="547"/>
          <w:marRight w:val="0"/>
          <w:marTop w:val="58"/>
          <w:marBottom w:val="0"/>
          <w:divBdr>
            <w:top w:val="none" w:sz="0" w:space="0" w:color="auto"/>
            <w:left w:val="none" w:sz="0" w:space="0" w:color="auto"/>
            <w:bottom w:val="none" w:sz="0" w:space="0" w:color="auto"/>
            <w:right w:val="none" w:sz="0" w:space="0" w:color="auto"/>
          </w:divBdr>
        </w:div>
        <w:div w:id="1547789873">
          <w:marLeft w:val="547"/>
          <w:marRight w:val="0"/>
          <w:marTop w:val="58"/>
          <w:marBottom w:val="0"/>
          <w:divBdr>
            <w:top w:val="none" w:sz="0" w:space="0" w:color="auto"/>
            <w:left w:val="none" w:sz="0" w:space="0" w:color="auto"/>
            <w:bottom w:val="none" w:sz="0" w:space="0" w:color="auto"/>
            <w:right w:val="none" w:sz="0" w:space="0" w:color="auto"/>
          </w:divBdr>
        </w:div>
      </w:divsChild>
    </w:div>
    <w:div w:id="665212536">
      <w:bodyDiv w:val="1"/>
      <w:marLeft w:val="0"/>
      <w:marRight w:val="0"/>
      <w:marTop w:val="0"/>
      <w:marBottom w:val="0"/>
      <w:divBdr>
        <w:top w:val="none" w:sz="0" w:space="0" w:color="auto"/>
        <w:left w:val="none" w:sz="0" w:space="0" w:color="auto"/>
        <w:bottom w:val="none" w:sz="0" w:space="0" w:color="auto"/>
        <w:right w:val="none" w:sz="0" w:space="0" w:color="auto"/>
      </w:divBdr>
      <w:divsChild>
        <w:div w:id="436828111">
          <w:marLeft w:val="547"/>
          <w:marRight w:val="0"/>
          <w:marTop w:val="58"/>
          <w:marBottom w:val="0"/>
          <w:divBdr>
            <w:top w:val="none" w:sz="0" w:space="0" w:color="auto"/>
            <w:left w:val="none" w:sz="0" w:space="0" w:color="auto"/>
            <w:bottom w:val="none" w:sz="0" w:space="0" w:color="auto"/>
            <w:right w:val="none" w:sz="0" w:space="0" w:color="auto"/>
          </w:divBdr>
        </w:div>
        <w:div w:id="1531184926">
          <w:marLeft w:val="547"/>
          <w:marRight w:val="0"/>
          <w:marTop w:val="58"/>
          <w:marBottom w:val="0"/>
          <w:divBdr>
            <w:top w:val="none" w:sz="0" w:space="0" w:color="auto"/>
            <w:left w:val="none" w:sz="0" w:space="0" w:color="auto"/>
            <w:bottom w:val="none" w:sz="0" w:space="0" w:color="auto"/>
            <w:right w:val="none" w:sz="0" w:space="0" w:color="auto"/>
          </w:divBdr>
        </w:div>
        <w:div w:id="1961183133">
          <w:marLeft w:val="547"/>
          <w:marRight w:val="0"/>
          <w:marTop w:val="58"/>
          <w:marBottom w:val="0"/>
          <w:divBdr>
            <w:top w:val="none" w:sz="0" w:space="0" w:color="auto"/>
            <w:left w:val="none" w:sz="0" w:space="0" w:color="auto"/>
            <w:bottom w:val="none" w:sz="0" w:space="0" w:color="auto"/>
            <w:right w:val="none" w:sz="0" w:space="0" w:color="auto"/>
          </w:divBdr>
        </w:div>
        <w:div w:id="1089699007">
          <w:marLeft w:val="547"/>
          <w:marRight w:val="0"/>
          <w:marTop w:val="58"/>
          <w:marBottom w:val="0"/>
          <w:divBdr>
            <w:top w:val="none" w:sz="0" w:space="0" w:color="auto"/>
            <w:left w:val="none" w:sz="0" w:space="0" w:color="auto"/>
            <w:bottom w:val="none" w:sz="0" w:space="0" w:color="auto"/>
            <w:right w:val="none" w:sz="0" w:space="0" w:color="auto"/>
          </w:divBdr>
        </w:div>
        <w:div w:id="1063259778">
          <w:marLeft w:val="547"/>
          <w:marRight w:val="0"/>
          <w:marTop w:val="58"/>
          <w:marBottom w:val="0"/>
          <w:divBdr>
            <w:top w:val="none" w:sz="0" w:space="0" w:color="auto"/>
            <w:left w:val="none" w:sz="0" w:space="0" w:color="auto"/>
            <w:bottom w:val="none" w:sz="0" w:space="0" w:color="auto"/>
            <w:right w:val="none" w:sz="0" w:space="0" w:color="auto"/>
          </w:divBdr>
        </w:div>
        <w:div w:id="1269116810">
          <w:marLeft w:val="547"/>
          <w:marRight w:val="0"/>
          <w:marTop w:val="58"/>
          <w:marBottom w:val="0"/>
          <w:divBdr>
            <w:top w:val="none" w:sz="0" w:space="0" w:color="auto"/>
            <w:left w:val="none" w:sz="0" w:space="0" w:color="auto"/>
            <w:bottom w:val="none" w:sz="0" w:space="0" w:color="auto"/>
            <w:right w:val="none" w:sz="0" w:space="0" w:color="auto"/>
          </w:divBdr>
        </w:div>
        <w:div w:id="1614092259">
          <w:marLeft w:val="547"/>
          <w:marRight w:val="0"/>
          <w:marTop w:val="58"/>
          <w:marBottom w:val="0"/>
          <w:divBdr>
            <w:top w:val="none" w:sz="0" w:space="0" w:color="auto"/>
            <w:left w:val="none" w:sz="0" w:space="0" w:color="auto"/>
            <w:bottom w:val="none" w:sz="0" w:space="0" w:color="auto"/>
            <w:right w:val="none" w:sz="0" w:space="0" w:color="auto"/>
          </w:divBdr>
        </w:div>
        <w:div w:id="155270295">
          <w:marLeft w:val="547"/>
          <w:marRight w:val="0"/>
          <w:marTop w:val="58"/>
          <w:marBottom w:val="0"/>
          <w:divBdr>
            <w:top w:val="none" w:sz="0" w:space="0" w:color="auto"/>
            <w:left w:val="none" w:sz="0" w:space="0" w:color="auto"/>
            <w:bottom w:val="none" w:sz="0" w:space="0" w:color="auto"/>
            <w:right w:val="none" w:sz="0" w:space="0" w:color="auto"/>
          </w:divBdr>
        </w:div>
        <w:div w:id="389311394">
          <w:marLeft w:val="547"/>
          <w:marRight w:val="0"/>
          <w:marTop w:val="58"/>
          <w:marBottom w:val="0"/>
          <w:divBdr>
            <w:top w:val="none" w:sz="0" w:space="0" w:color="auto"/>
            <w:left w:val="none" w:sz="0" w:space="0" w:color="auto"/>
            <w:bottom w:val="none" w:sz="0" w:space="0" w:color="auto"/>
            <w:right w:val="none" w:sz="0" w:space="0" w:color="auto"/>
          </w:divBdr>
        </w:div>
        <w:div w:id="2056272014">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iatry.org/advocacy--newsroom/position-statements" TargetMode="External"/><Relationship Id="rId13" Type="http://schemas.openxmlformats.org/officeDocument/2006/relationships/hyperlink" Target="http://www.wpath.org/site_page.cfm?pk_association_webpage_menu=1351" TargetMode="External"/><Relationship Id="rId3" Type="http://schemas.openxmlformats.org/officeDocument/2006/relationships/settings" Target="settings.xml"/><Relationship Id="rId7" Type="http://schemas.openxmlformats.org/officeDocument/2006/relationships/hyperlink" Target="http://www.psychiatry.org/advocacy--newsroom/position-statements" TargetMode="External"/><Relationship Id="rId12" Type="http://schemas.openxmlformats.org/officeDocument/2006/relationships/hyperlink" Target="http://www.wpath.org/site_page.cfm?pk_association_webpage_menu=135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ialworkers.org/diversity/new/lgbt.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cialworkers.org/diversity/new/lgbt.asp" TargetMode="External"/><Relationship Id="rId4" Type="http://schemas.openxmlformats.org/officeDocument/2006/relationships/webSettings" Target="webSettings.xml"/><Relationship Id="rId9" Type="http://schemas.openxmlformats.org/officeDocument/2006/relationships/hyperlink" Target="http://www.psychiatry.org/advocacy--newsroom/position-stat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BF538FFF</Template>
  <TotalTime>1</TotalTime>
  <Pages>5</Pages>
  <Words>1293</Words>
  <Characters>7374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Harborcreek Youth Services</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J. Titus</dc:creator>
  <cp:lastModifiedBy>wyman,angela</cp:lastModifiedBy>
  <cp:revision>2</cp:revision>
  <dcterms:created xsi:type="dcterms:W3CDTF">2018-06-22T16:33:00Z</dcterms:created>
  <dcterms:modified xsi:type="dcterms:W3CDTF">2018-06-22T16:33:00Z</dcterms:modified>
</cp:coreProperties>
</file>