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42F10" w14:textId="77777777" w:rsidR="0086378F" w:rsidRDefault="00000000">
      <w:pPr>
        <w:spacing w:before="60" w:after="120" w:line="360" w:lineRule="auto"/>
      </w:pPr>
      <w:r>
        <w:rPr>
          <w:rFonts w:ascii="Calibri" w:eastAsia="Calibri" w:hAnsi="Calibri" w:cs="Calibri"/>
          <w:b/>
          <w:bCs/>
          <w:color w:val="FFFFFF"/>
          <w:sz w:val="18"/>
          <w:szCs w:val="18"/>
          <w:shd w:val="clear" w:color="auto" w:fill="0D3B6E"/>
        </w:rPr>
        <w:t>COMMUNITY ASSOCIATION RESOURCE</w:t>
      </w:r>
    </w:p>
    <w:p w14:paraId="586E24CB" w14:textId="2505458D" w:rsidR="0086378F" w:rsidRDefault="00000000">
      <w:pPr>
        <w:pStyle w:val="Heading1"/>
        <w:spacing w:before="160" w:after="80" w:line="288" w:lineRule="auto"/>
      </w:pPr>
      <w:r>
        <w:rPr>
          <w:rFonts w:ascii="Calibri" w:eastAsia="Calibri" w:hAnsi="Calibri" w:cs="Calibri"/>
          <w:color w:val="0D3B6E"/>
          <w:sz w:val="52"/>
          <w:szCs w:val="52"/>
        </w:rPr>
        <w:t>Hurricane Preparedness Checklist</w:t>
      </w:r>
      <w:r w:rsidR="0029299B">
        <w:rPr>
          <w:rFonts w:ascii="Calibri" w:eastAsia="Calibri" w:hAnsi="Calibri" w:cs="Calibri"/>
          <w:color w:val="0D3B6E"/>
          <w:sz w:val="52"/>
          <w:szCs w:val="52"/>
        </w:rPr>
        <w:t xml:space="preserve"> </w:t>
      </w:r>
      <w:r>
        <w:rPr>
          <w:rFonts w:ascii="Calibri" w:eastAsia="Calibri" w:hAnsi="Calibri" w:cs="Calibri"/>
          <w:color w:val="0D3B6E"/>
          <w:sz w:val="52"/>
          <w:szCs w:val="52"/>
        </w:rPr>
        <w:t>for Community Associations</w:t>
      </w:r>
    </w:p>
    <w:p w14:paraId="1486717E" w14:textId="77777777" w:rsidR="0086378F" w:rsidRDefault="00000000">
      <w:pPr>
        <w:spacing w:before="80" w:after="60" w:line="360" w:lineRule="auto"/>
      </w:pPr>
      <w:r>
        <w:rPr>
          <w:rFonts w:ascii="Calibri" w:eastAsia="Calibri" w:hAnsi="Calibri" w:cs="Calibri"/>
          <w:b/>
          <w:bCs/>
          <w:color w:val="1A1A1A"/>
          <w:sz w:val="22"/>
          <w:szCs w:val="22"/>
        </w:rPr>
        <w:t>Prepared for:</w:t>
      </w:r>
      <w:r>
        <w:rPr>
          <w:rFonts w:ascii="Calibri" w:eastAsia="Calibri" w:hAnsi="Calibri" w:cs="Calibri"/>
          <w:color w:val="4A4A4A"/>
          <w:sz w:val="20"/>
          <w:szCs w:val="20"/>
        </w:rPr>
        <w:t xml:space="preserve"> Community Association Managers • HOA Boards • Property Managers</w:t>
      </w:r>
    </w:p>
    <w:p w14:paraId="04BCAEEA" w14:textId="77777777" w:rsidR="0086378F" w:rsidRDefault="00000000">
      <w:pPr>
        <w:spacing w:before="80" w:after="60" w:line="360" w:lineRule="auto"/>
      </w:pPr>
      <w:r>
        <w:rPr>
          <w:rFonts w:ascii="Calibri" w:eastAsia="Calibri" w:hAnsi="Calibri" w:cs="Calibri"/>
          <w:b/>
          <w:bCs/>
          <w:color w:val="1A1A1A"/>
          <w:sz w:val="22"/>
          <w:szCs w:val="22"/>
        </w:rPr>
        <w:t>Applicable Region:</w:t>
      </w:r>
      <w:r>
        <w:rPr>
          <w:rFonts w:ascii="Calibri" w:eastAsia="Calibri" w:hAnsi="Calibri" w:cs="Calibri"/>
          <w:color w:val="4A4A4A"/>
          <w:sz w:val="20"/>
          <w:szCs w:val="20"/>
        </w:rPr>
        <w:t xml:space="preserve"> Florida &amp; Coastal Hurricane-Prone Areas  |  </w:t>
      </w:r>
      <w:r>
        <w:rPr>
          <w:rFonts w:ascii="Calibri" w:eastAsia="Calibri" w:hAnsi="Calibri" w:cs="Calibri"/>
          <w:b/>
          <w:bCs/>
          <w:color w:val="1A1A1A"/>
          <w:sz w:val="22"/>
          <w:szCs w:val="22"/>
        </w:rPr>
        <w:t>Document Date:</w:t>
      </w:r>
      <w:r>
        <w:rPr>
          <w:rFonts w:ascii="Calibri" w:eastAsia="Calibri" w:hAnsi="Calibri" w:cs="Calibri"/>
          <w:color w:val="4A4A4A"/>
          <w:sz w:val="20"/>
          <w:szCs w:val="20"/>
        </w:rPr>
        <w:t xml:space="preserve"> July 2026</w:t>
      </w:r>
    </w:p>
    <w:p w14:paraId="558F0D11" w14:textId="77777777" w:rsidR="0086378F" w:rsidRDefault="0086378F">
      <w:pPr>
        <w:pBdr>
          <w:bottom w:val="single" w:sz="6" w:space="0" w:color="0D3B6E"/>
        </w:pBdr>
        <w:spacing w:before="240" w:after="240"/>
      </w:pPr>
    </w:p>
    <w:p w14:paraId="6BF518A5" w14:textId="77777777" w:rsidR="0086378F" w:rsidRDefault="00000000">
      <w:pPr>
        <w:pStyle w:val="Heading2"/>
        <w:spacing w:before="400" w:after="120" w:line="312" w:lineRule="auto"/>
      </w:pPr>
      <w:r>
        <w:rPr>
          <w:rFonts w:ascii="Calibri" w:eastAsia="Calibri" w:hAnsi="Calibri" w:cs="Calibri"/>
          <w:color w:val="0D3B6E"/>
          <w:spacing w:val="10"/>
          <w:sz w:val="28"/>
          <w:szCs w:val="28"/>
        </w:rPr>
        <w:t>PURPOSE &amp; HOW TO USE THIS CHECKLIST</w:t>
      </w:r>
    </w:p>
    <w:p w14:paraId="34BF591E"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30"/>
      </w:tblGrid>
      <w:tr w:rsidR="0086378F" w14:paraId="1A2A3551" w14:textId="77777777">
        <w:tblPrEx>
          <w:tblCellMar>
            <w:top w:w="0" w:type="dxa"/>
            <w:bottom w:w="0" w:type="dxa"/>
          </w:tblCellMar>
        </w:tblPrEx>
        <w:tc>
          <w:tcPr>
            <w:tcW w:w="0" w:type="auto"/>
            <w:tcBorders>
              <w:top w:val="nil"/>
              <w:left w:val="single" w:sz="24" w:space="0" w:color="0D7A8A"/>
              <w:bottom w:val="nil"/>
              <w:right w:val="nil"/>
            </w:tcBorders>
            <w:shd w:val="clear" w:color="auto" w:fill="F0F8FA"/>
            <w:tcMar>
              <w:top w:w="200" w:type="dxa"/>
              <w:left w:w="280" w:type="dxa"/>
              <w:bottom w:w="200" w:type="dxa"/>
              <w:right w:w="280" w:type="dxa"/>
            </w:tcMar>
          </w:tcPr>
          <w:p w14:paraId="2BCAB262" w14:textId="77777777" w:rsidR="0086378F" w:rsidRDefault="00000000">
            <w:pPr>
              <w:spacing w:after="120" w:line="360" w:lineRule="auto"/>
            </w:pPr>
            <w:r>
              <w:rPr>
                <w:rFonts w:ascii="Calibri" w:eastAsia="Calibri" w:hAnsi="Calibri" w:cs="Calibri"/>
                <w:color w:val="1A1A1A"/>
                <w:sz w:val="22"/>
                <w:szCs w:val="22"/>
              </w:rPr>
              <w:t>This checklist is designed to assist community association managers, HOA boards, and property managers in hurricane-prone regions — particularly throughout Florida — in systematically preparing their communities before, during, and after a hurricane event. Each section corresponds to a specific phase of storm preparedness and recovery, organized in chronological order of action. Review all sections together as a team at the start of each hurricane season and revisit individual sections as a storm approaches. Assign a responsible party to each checklist item and track completion. This document should be stored both digitally and in a printed, waterproof format in your emergency kit for easy access at all times.</w:t>
            </w:r>
          </w:p>
        </w:tc>
      </w:tr>
    </w:tbl>
    <w:p w14:paraId="604C247D" w14:textId="77777777" w:rsidR="0086378F" w:rsidRDefault="0086378F">
      <w:pPr>
        <w:spacing w:after="240"/>
      </w:pPr>
    </w:p>
    <w:p w14:paraId="6420B4DC"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86378F" w14:paraId="4DFF1947" w14:textId="77777777">
        <w:tblPrEx>
          <w:tblCellMar>
            <w:top w:w="0" w:type="dxa"/>
            <w:bottom w:w="0" w:type="dxa"/>
          </w:tblCellMar>
        </w:tblPrEx>
        <w:tc>
          <w:tcPr>
            <w:tcW w:w="0" w:type="auto"/>
            <w:tcBorders>
              <w:top w:val="single" w:sz="6" w:space="0" w:color="B85C00"/>
              <w:left w:val="single" w:sz="6" w:space="0" w:color="B85C00"/>
              <w:bottom w:val="single" w:sz="6" w:space="0" w:color="B85C00"/>
              <w:right w:val="single" w:sz="6" w:space="0" w:color="B85C00"/>
            </w:tcBorders>
            <w:shd w:val="clear" w:color="auto" w:fill="FFF4E6"/>
            <w:tcMar>
              <w:top w:w="160" w:type="dxa"/>
              <w:left w:w="240" w:type="dxa"/>
              <w:bottom w:w="160" w:type="dxa"/>
              <w:right w:w="240" w:type="dxa"/>
            </w:tcMar>
          </w:tcPr>
          <w:p w14:paraId="55C759E0" w14:textId="77777777" w:rsidR="0086378F" w:rsidRDefault="00000000">
            <w:pPr>
              <w:spacing w:after="40" w:line="360" w:lineRule="auto"/>
            </w:pPr>
            <w:r>
              <w:rPr>
                <w:rFonts w:ascii="Calibri" w:eastAsia="Calibri" w:hAnsi="Calibri" w:cs="Calibri"/>
                <w:b/>
                <w:bCs/>
                <w:color w:val="3A2000"/>
                <w:sz w:val="21"/>
                <w:szCs w:val="21"/>
              </w:rPr>
              <w:t>⚠ Important Notice</w:t>
            </w:r>
          </w:p>
          <w:p w14:paraId="5BCFCD2D" w14:textId="77777777" w:rsidR="0086378F" w:rsidRDefault="00000000">
            <w:pPr>
              <w:spacing w:after="120" w:line="360" w:lineRule="auto"/>
            </w:pPr>
            <w:r>
              <w:rPr>
                <w:rFonts w:ascii="Calibri" w:eastAsia="Calibri" w:hAnsi="Calibri" w:cs="Calibri"/>
                <w:color w:val="3A2000"/>
                <w:sz w:val="21"/>
                <w:szCs w:val="21"/>
              </w:rPr>
              <w:t>This checklist is a general guidance tool and does not replace official emergency management directives, local government orders, or legal counsel. Always defer to Pasco County Emergency Management, Florida Division of Emergency Management, and the National Hurricane Center for storm-specific instructions. Confirm all insurance, legal, and financial matters with qualified professionals.</w:t>
            </w:r>
          </w:p>
        </w:tc>
      </w:tr>
    </w:tbl>
    <w:p w14:paraId="4E79A224" w14:textId="77777777" w:rsidR="0086378F" w:rsidRDefault="0086378F">
      <w:pPr>
        <w:spacing w:after="240"/>
      </w:pPr>
    </w:p>
    <w:p w14:paraId="2B4E27C1" w14:textId="77777777" w:rsidR="0086378F" w:rsidRDefault="00000000">
      <w:pPr>
        <w:spacing w:before="60" w:after="120" w:line="360" w:lineRule="auto"/>
      </w:pPr>
      <w:r>
        <w:rPr>
          <w:rFonts w:ascii="Calibri" w:eastAsia="Calibri" w:hAnsi="Calibri" w:cs="Calibri"/>
          <w:b/>
          <w:bCs/>
          <w:color w:val="1A1A1A"/>
          <w:sz w:val="22"/>
          <w:szCs w:val="22"/>
        </w:rPr>
        <w:t>Legend:</w:t>
      </w:r>
      <w:r>
        <w:rPr>
          <w:rFonts w:ascii="Calibri" w:eastAsia="Calibri" w:hAnsi="Calibri" w:cs="Calibri"/>
          <w:color w:val="4A4A4A"/>
          <w:sz w:val="22"/>
          <w:szCs w:val="22"/>
        </w:rPr>
        <w:t xml:space="preserve">   </w:t>
      </w:r>
      <w:r>
        <w:rPr>
          <w:rFonts w:ascii="Calibri" w:eastAsia="Calibri" w:hAnsi="Calibri" w:cs="Calibri"/>
          <w:b/>
          <w:bCs/>
          <w:color w:val="B00000"/>
          <w:sz w:val="22"/>
          <w:szCs w:val="22"/>
        </w:rPr>
        <w:t>● Safety-Critical Priority</w:t>
      </w:r>
      <w:r>
        <w:rPr>
          <w:rFonts w:ascii="Calibri" w:eastAsia="Calibri" w:hAnsi="Calibri" w:cs="Calibri"/>
          <w:color w:val="4A4A4A"/>
          <w:sz w:val="22"/>
          <w:szCs w:val="22"/>
        </w:rPr>
        <w:t xml:space="preserve">    </w:t>
      </w:r>
      <w:r>
        <w:rPr>
          <w:rFonts w:ascii="Calibri" w:eastAsia="Calibri" w:hAnsi="Calibri" w:cs="Calibri"/>
          <w:b/>
          <w:bCs/>
          <w:color w:val="B85C00"/>
          <w:sz w:val="22"/>
          <w:szCs w:val="22"/>
        </w:rPr>
        <w:t>○ High Priority</w:t>
      </w:r>
      <w:r>
        <w:rPr>
          <w:rFonts w:ascii="Calibri" w:eastAsia="Calibri" w:hAnsi="Calibri" w:cs="Calibri"/>
          <w:color w:val="4A4A4A"/>
          <w:sz w:val="22"/>
          <w:szCs w:val="22"/>
        </w:rPr>
        <w:t xml:space="preserve">    Standard Item</w:t>
      </w:r>
    </w:p>
    <w:p w14:paraId="7057E76F" w14:textId="77777777" w:rsidR="0086378F" w:rsidRDefault="0086378F">
      <w:pPr>
        <w:pBdr>
          <w:bottom w:val="single" w:sz="6" w:space="0" w:color="1A1A1A"/>
        </w:pBdr>
        <w:spacing w:before="240" w:after="240"/>
      </w:pPr>
    </w:p>
    <w:p w14:paraId="775682BC"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86378F" w14:paraId="5710A3CC" w14:textId="77777777">
        <w:tblPrEx>
          <w:tblCellMar>
            <w:top w:w="0" w:type="dxa"/>
            <w:bottom w:w="0" w:type="dxa"/>
          </w:tblCellMar>
        </w:tblPrEx>
        <w:tc>
          <w:tcPr>
            <w:tcW w:w="0" w:type="auto"/>
            <w:tcBorders>
              <w:top w:val="nil"/>
              <w:left w:val="nil"/>
              <w:bottom w:val="nil"/>
              <w:right w:val="nil"/>
            </w:tcBorders>
            <w:shd w:val="clear" w:color="auto" w:fill="0D3B6E"/>
            <w:tcMar>
              <w:top w:w="120" w:type="dxa"/>
              <w:left w:w="240" w:type="dxa"/>
              <w:bottom w:w="120" w:type="dxa"/>
              <w:right w:w="240" w:type="dxa"/>
            </w:tcMar>
          </w:tcPr>
          <w:p w14:paraId="4CE2586A" w14:textId="77777777" w:rsidR="0086378F" w:rsidRDefault="00000000">
            <w:pPr>
              <w:pStyle w:val="Heading2"/>
              <w:spacing w:after="120" w:line="312" w:lineRule="auto"/>
            </w:pPr>
            <w:r>
              <w:rPr>
                <w:color w:val="FFFFFF"/>
              </w:rPr>
              <w:t>Section 1 — Pre-Storm Preparation</w:t>
            </w:r>
          </w:p>
          <w:p w14:paraId="2266A690" w14:textId="77777777" w:rsidR="0086378F" w:rsidRDefault="00000000">
            <w:pPr>
              <w:spacing w:after="120" w:line="360" w:lineRule="auto"/>
            </w:pPr>
            <w:r>
              <w:rPr>
                <w:rFonts w:ascii="Calibri" w:eastAsia="Calibri" w:hAnsi="Calibri" w:cs="Calibri"/>
                <w:i/>
                <w:iCs/>
                <w:color w:val="1A1A1A"/>
                <w:sz w:val="22"/>
                <w:szCs w:val="22"/>
              </w:rPr>
              <w:t>72–96 Hours Before Landfall</w:t>
            </w:r>
          </w:p>
        </w:tc>
      </w:tr>
    </w:tbl>
    <w:p w14:paraId="3468BFDF" w14:textId="77777777" w:rsidR="0086378F" w:rsidRDefault="0086378F">
      <w:pPr>
        <w:spacing w:after="240"/>
      </w:pPr>
    </w:p>
    <w:p w14:paraId="3195A408" w14:textId="77777777" w:rsidR="0086378F" w:rsidRDefault="00000000">
      <w:pPr>
        <w:spacing w:before="60" w:after="120" w:line="360" w:lineRule="auto"/>
      </w:pPr>
      <w:r>
        <w:rPr>
          <w:rFonts w:ascii="Calibri" w:eastAsia="Calibri" w:hAnsi="Calibri" w:cs="Calibri"/>
          <w:color w:val="1A1A1A"/>
          <w:sz w:val="22"/>
          <w:szCs w:val="22"/>
        </w:rPr>
        <w:t>Begin the following tasks immediately upon the issuance of a Hurricane Watch or Warning, or when a storm is forecast to impact your area within 72–96 hours. Do not wait for a Warning to be issued before acting.</w:t>
      </w:r>
    </w:p>
    <w:p w14:paraId="54C28E76"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Review and activate the community emergency plan</w:t>
      </w:r>
      <w:r>
        <w:rPr>
          <w:rFonts w:ascii="Calibri" w:eastAsia="Calibri" w:hAnsi="Calibri" w:cs="Calibri"/>
          <w:color w:val="1A1A1A"/>
          <w:sz w:val="22"/>
          <w:szCs w:val="22"/>
        </w:rPr>
        <w:t xml:space="preserve"> with all board members and key staff, confirming roles and responsibilities.</w:t>
      </w:r>
    </w:p>
    <w:p w14:paraId="46E0309D"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Test all backup generators</w:t>
      </w:r>
      <w:r>
        <w:rPr>
          <w:rFonts w:ascii="Calibri" w:eastAsia="Calibri" w:hAnsi="Calibri" w:cs="Calibri"/>
          <w:color w:val="1A1A1A"/>
          <w:sz w:val="22"/>
          <w:szCs w:val="22"/>
        </w:rPr>
        <w:t xml:space="preserve"> in common areas (clubhouse, gates, pump stations) and verify adequate fuel levels for a minimum of 72 hours of operation.</w:t>
      </w:r>
    </w:p>
    <w:p w14:paraId="21B5D885"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Conduct a full inspection of all common areas</w:t>
      </w:r>
      <w:r>
        <w:rPr>
          <w:rFonts w:ascii="Calibri" w:eastAsia="Calibri" w:hAnsi="Calibri" w:cs="Calibri"/>
          <w:color w:val="1A1A1A"/>
          <w:sz w:val="22"/>
          <w:szCs w:val="22"/>
        </w:rPr>
        <w:t>, identifying any pre-existing vulnerabilities including loose fixtures, damaged fencing, or structural concerns.</w:t>
      </w:r>
    </w:p>
    <w:p w14:paraId="584025DB"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Secure or remove all outdoor furniture and amenities</w:t>
      </w:r>
      <w:r>
        <w:rPr>
          <w:rFonts w:ascii="Calibri" w:eastAsia="Calibri" w:hAnsi="Calibri" w:cs="Calibri"/>
          <w:color w:val="1A1A1A"/>
          <w:sz w:val="22"/>
          <w:szCs w:val="22"/>
        </w:rPr>
        <w:t>, including pool furniture, umbrellas, signage, planters, recreational equipment, and decorative items that could become projectiles.</w:t>
      </w:r>
    </w:p>
    <w:p w14:paraId="2FF91D99"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Inspect and clear all storm drains, gutters, and drainage channels</w:t>
      </w:r>
      <w:r>
        <w:rPr>
          <w:rFonts w:ascii="Calibri" w:eastAsia="Calibri" w:hAnsi="Calibri" w:cs="Calibri"/>
          <w:color w:val="1A1A1A"/>
          <w:sz w:val="22"/>
          <w:szCs w:val="22"/>
        </w:rPr>
        <w:t xml:space="preserve"> of debris to reduce flooding risk in common areas and roadways.</w:t>
      </w:r>
    </w:p>
    <w:p w14:paraId="02F144A9"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Verify fuel supply for all generators</w:t>
      </w:r>
      <w:r>
        <w:rPr>
          <w:rFonts w:ascii="Calibri" w:eastAsia="Calibri" w:hAnsi="Calibri" w:cs="Calibri"/>
          <w:color w:val="1A1A1A"/>
          <w:sz w:val="22"/>
          <w:szCs w:val="22"/>
        </w:rPr>
        <w:t xml:space="preserve"> and arrange emergency fuel delivery contracts with a local supplier if not already in place.</w:t>
      </w:r>
    </w:p>
    <w:p w14:paraId="7CE3C535"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Confirm that all community insurance policies are current</w:t>
      </w:r>
      <w:r>
        <w:rPr>
          <w:rFonts w:ascii="Calibri" w:eastAsia="Calibri" w:hAnsi="Calibri" w:cs="Calibri"/>
          <w:color w:val="1A1A1A"/>
          <w:sz w:val="22"/>
          <w:szCs w:val="22"/>
        </w:rPr>
        <w:t>, including property, windstorm, flood, and liability coverage; note deductibles and exclusions for board awareness.</w:t>
      </w:r>
    </w:p>
    <w:p w14:paraId="49117CD7"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Review and distribute the updated emergency contacts list</w:t>
      </w:r>
      <w:r>
        <w:rPr>
          <w:rFonts w:ascii="Calibri" w:eastAsia="Calibri" w:hAnsi="Calibri" w:cs="Calibri"/>
          <w:color w:val="1A1A1A"/>
          <w:sz w:val="22"/>
          <w:szCs w:val="22"/>
        </w:rPr>
        <w:t>, including board members, property manager, key vendors, utility companies, and local emergency services.</w:t>
      </w:r>
    </w:p>
    <w:p w14:paraId="3EEF14F4"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Notify all board members and management staff</w:t>
      </w:r>
      <w:r>
        <w:rPr>
          <w:rFonts w:ascii="Calibri" w:eastAsia="Calibri" w:hAnsi="Calibri" w:cs="Calibri"/>
          <w:color w:val="1A1A1A"/>
          <w:sz w:val="22"/>
          <w:szCs w:val="22"/>
        </w:rPr>
        <w:t xml:space="preserve"> of storm status and initiate the emergency action timeline; schedule a pre-storm board check-in call.</w:t>
      </w:r>
    </w:p>
    <w:p w14:paraId="7503AE1A"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lastRenderedPageBreak/>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Document all common area property conditions</w:t>
      </w:r>
      <w:r>
        <w:rPr>
          <w:rFonts w:ascii="Calibri" w:eastAsia="Calibri" w:hAnsi="Calibri" w:cs="Calibri"/>
          <w:color w:val="1A1A1A"/>
          <w:sz w:val="22"/>
          <w:szCs w:val="22"/>
        </w:rPr>
        <w:t xml:space="preserve"> with comprehensive photos and video before any storm preparations begin, organized by location for future insurance claims.</w:t>
      </w:r>
    </w:p>
    <w:p w14:paraId="293B1701"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Stock emergency supply kits</w:t>
      </w:r>
      <w:r>
        <w:rPr>
          <w:rFonts w:ascii="Calibri" w:eastAsia="Calibri" w:hAnsi="Calibri" w:cs="Calibri"/>
          <w:color w:val="1A1A1A"/>
          <w:sz w:val="22"/>
          <w:szCs w:val="22"/>
        </w:rPr>
        <w:t xml:space="preserve"> for common-area facilities, including flashlights, batteries, first aid supplies, sandbags, and portable signage.</w:t>
      </w:r>
    </w:p>
    <w:p w14:paraId="5AEE4911"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Review elevator shutdown procedures</w:t>
      </w:r>
      <w:r>
        <w:rPr>
          <w:rFonts w:ascii="Calibri" w:eastAsia="Calibri" w:hAnsi="Calibri" w:cs="Calibri"/>
          <w:color w:val="1A1A1A"/>
          <w:sz w:val="22"/>
          <w:szCs w:val="22"/>
        </w:rPr>
        <w:t xml:space="preserve"> (if applicable) and assign a designated staff member to execute shutdown before winds reach dangerous levels.</w:t>
      </w:r>
    </w:p>
    <w:p w14:paraId="02760ADD" w14:textId="77777777" w:rsidR="0086378F" w:rsidRDefault="0086378F">
      <w:pPr>
        <w:pBdr>
          <w:bottom w:val="single" w:sz="6" w:space="0" w:color="1A1A1A"/>
        </w:pBdr>
        <w:spacing w:before="240" w:after="240"/>
      </w:pPr>
    </w:p>
    <w:p w14:paraId="058B732A"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86378F" w14:paraId="5B1F7112" w14:textId="77777777">
        <w:tblPrEx>
          <w:tblCellMar>
            <w:top w:w="0" w:type="dxa"/>
            <w:bottom w:w="0" w:type="dxa"/>
          </w:tblCellMar>
        </w:tblPrEx>
        <w:tc>
          <w:tcPr>
            <w:tcW w:w="0" w:type="auto"/>
            <w:tcBorders>
              <w:top w:val="nil"/>
              <w:left w:val="nil"/>
              <w:bottom w:val="nil"/>
              <w:right w:val="nil"/>
            </w:tcBorders>
            <w:shd w:val="clear" w:color="auto" w:fill="0D3B6E"/>
            <w:tcMar>
              <w:top w:w="120" w:type="dxa"/>
              <w:left w:w="240" w:type="dxa"/>
              <w:bottom w:w="120" w:type="dxa"/>
              <w:right w:w="240" w:type="dxa"/>
            </w:tcMar>
          </w:tcPr>
          <w:p w14:paraId="51CDD28C" w14:textId="77777777" w:rsidR="0086378F" w:rsidRDefault="00000000">
            <w:pPr>
              <w:pStyle w:val="Heading2"/>
              <w:spacing w:after="120" w:line="312" w:lineRule="auto"/>
            </w:pPr>
            <w:r>
              <w:rPr>
                <w:color w:val="FFFFFF"/>
              </w:rPr>
              <w:t>Section 2 — Communication &amp; Notifications</w:t>
            </w:r>
          </w:p>
          <w:p w14:paraId="60132FD9" w14:textId="77777777" w:rsidR="0086378F" w:rsidRDefault="00000000">
            <w:pPr>
              <w:spacing w:after="120" w:line="360" w:lineRule="auto"/>
            </w:pPr>
            <w:r>
              <w:rPr>
                <w:rFonts w:ascii="Calibri" w:eastAsia="Calibri" w:hAnsi="Calibri" w:cs="Calibri"/>
                <w:i/>
                <w:iCs/>
                <w:color w:val="1A1A1A"/>
                <w:sz w:val="22"/>
                <w:szCs w:val="22"/>
              </w:rPr>
              <w:t>Initiate at 72+ Hours Before Landfall — Continue Through Recovery</w:t>
            </w:r>
          </w:p>
        </w:tc>
      </w:tr>
    </w:tbl>
    <w:p w14:paraId="6041A630" w14:textId="77777777" w:rsidR="0086378F" w:rsidRDefault="0086378F">
      <w:pPr>
        <w:spacing w:after="240"/>
      </w:pPr>
    </w:p>
    <w:p w14:paraId="519179CB" w14:textId="77777777" w:rsidR="0086378F" w:rsidRDefault="00000000">
      <w:pPr>
        <w:spacing w:before="60" w:after="120" w:line="360" w:lineRule="auto"/>
      </w:pPr>
      <w:r>
        <w:rPr>
          <w:rFonts w:ascii="Calibri" w:eastAsia="Calibri" w:hAnsi="Calibri" w:cs="Calibri"/>
          <w:color w:val="1A1A1A"/>
          <w:sz w:val="22"/>
          <w:szCs w:val="22"/>
        </w:rPr>
        <w:t>Timely, clear, and consistent communication is one of the most critical responsibilities of the association during a storm event. Use multiple channels to ensure all residents receive critical information.</w:t>
      </w:r>
    </w:p>
    <w:p w14:paraId="54FA5256"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Activate the community emergency communication tree</w:t>
      </w:r>
      <w:r>
        <w:rPr>
          <w:rFonts w:ascii="Calibri" w:eastAsia="Calibri" w:hAnsi="Calibri" w:cs="Calibri"/>
          <w:color w:val="1A1A1A"/>
          <w:sz w:val="22"/>
          <w:szCs w:val="22"/>
        </w:rPr>
        <w:t>, ensuring all designated contacts are reachable and aware of their role in the notification chain.</w:t>
      </w:r>
    </w:p>
    <w:p w14:paraId="2235952B"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Send an initial resident alert via email, SMS/text, and community app</w:t>
      </w:r>
      <w:r>
        <w:rPr>
          <w:rFonts w:ascii="Calibri" w:eastAsia="Calibri" w:hAnsi="Calibri" w:cs="Calibri"/>
          <w:color w:val="1A1A1A"/>
          <w:sz w:val="22"/>
          <w:szCs w:val="22"/>
        </w:rPr>
        <w:t xml:space="preserve"> informing residents of the storm's status, association actions underway, and recommended resident preparation steps.</w:t>
      </w:r>
    </w:p>
    <w:p w14:paraId="7CA869FC"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Post continuous updates on the community website and resident portal or app</w:t>
      </w:r>
      <w:r>
        <w:rPr>
          <w:rFonts w:ascii="Calibri" w:eastAsia="Calibri" w:hAnsi="Calibri" w:cs="Calibri"/>
          <w:color w:val="1A1A1A"/>
          <w:sz w:val="22"/>
          <w:szCs w:val="22"/>
        </w:rPr>
        <w:t>, including storm timeline, association closures, and safety instructions.</w:t>
      </w:r>
    </w:p>
    <w:p w14:paraId="63F6E0CE"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Coordinate with local emergency management agencies</w:t>
      </w:r>
      <w:r>
        <w:rPr>
          <w:rFonts w:ascii="Calibri" w:eastAsia="Calibri" w:hAnsi="Calibri" w:cs="Calibri"/>
          <w:color w:val="1A1A1A"/>
          <w:sz w:val="22"/>
          <w:szCs w:val="22"/>
        </w:rPr>
        <w:t xml:space="preserve"> (Pasco County Emergency Management or applicable county) to receive official guidance and share community-specific information.</w:t>
      </w:r>
    </w:p>
    <w:p w14:paraId="111B2D35"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Notify all active vendors and contractors</w:t>
      </w:r>
      <w:r>
        <w:rPr>
          <w:rFonts w:ascii="Calibri" w:eastAsia="Calibri" w:hAnsi="Calibri" w:cs="Calibri"/>
          <w:color w:val="1A1A1A"/>
          <w:sz w:val="22"/>
          <w:szCs w:val="22"/>
        </w:rPr>
        <w:t xml:space="preserve"> of the storm status, suspending scheduled work and putting emergency restoration crews on standby alert.</w:t>
      </w:r>
    </w:p>
    <w:p w14:paraId="5AA21315"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Set up a dedicated storm hotline or single point of contact</w:t>
      </w:r>
      <w:r>
        <w:rPr>
          <w:rFonts w:ascii="Calibri" w:eastAsia="Calibri" w:hAnsi="Calibri" w:cs="Calibri"/>
          <w:color w:val="1A1A1A"/>
          <w:sz w:val="22"/>
          <w:szCs w:val="22"/>
        </w:rPr>
        <w:t xml:space="preserve"> (board president, property manager, or designated staff member) for resident inquiries during and after the storm.</w:t>
      </w:r>
    </w:p>
    <w:p w14:paraId="16C2FBC0"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lastRenderedPageBreak/>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Draft and prepare template messages for post-storm communications</w:t>
      </w:r>
      <w:r>
        <w:rPr>
          <w:rFonts w:ascii="Calibri" w:eastAsia="Calibri" w:hAnsi="Calibri" w:cs="Calibri"/>
          <w:color w:val="1A1A1A"/>
          <w:sz w:val="22"/>
          <w:szCs w:val="22"/>
        </w:rPr>
        <w:t>, including damage assessment notices, re-entry instructions, and restoration timelines, ready to send upon all-clear.</w:t>
      </w:r>
    </w:p>
    <w:p w14:paraId="5140B689"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Establish backup communication methods</w:t>
      </w:r>
      <w:r>
        <w:rPr>
          <w:rFonts w:ascii="Calibri" w:eastAsia="Calibri" w:hAnsi="Calibri" w:cs="Calibri"/>
          <w:color w:val="1A1A1A"/>
          <w:sz w:val="22"/>
          <w:szCs w:val="22"/>
        </w:rPr>
        <w:t xml:space="preserve"> in the event of power or internet failure, such as battery-powered radios, pre-printed door notices, and neighborhood phone chains.</w:t>
      </w:r>
    </w:p>
    <w:p w14:paraId="3AA7920B"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Post physical notices</w:t>
      </w:r>
      <w:r>
        <w:rPr>
          <w:rFonts w:ascii="Calibri" w:eastAsia="Calibri" w:hAnsi="Calibri" w:cs="Calibri"/>
          <w:color w:val="1A1A1A"/>
          <w:sz w:val="22"/>
          <w:szCs w:val="22"/>
        </w:rPr>
        <w:t xml:space="preserve"> at all common-area entrances, bulletin boards, and mailbox kiosks with storm preparation instructions and closure timelines.</w:t>
      </w:r>
    </w:p>
    <w:p w14:paraId="499A7587"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Communicate facility closure times</w:t>
      </w:r>
      <w:r>
        <w:rPr>
          <w:rFonts w:ascii="Calibri" w:eastAsia="Calibri" w:hAnsi="Calibri" w:cs="Calibri"/>
          <w:color w:val="1A1A1A"/>
          <w:sz w:val="22"/>
          <w:szCs w:val="22"/>
        </w:rPr>
        <w:t xml:space="preserve"> clearly to all residents: specify when the pool, clubhouse, gym, playground, and gated amenities will be locked and inaccessible.</w:t>
      </w:r>
    </w:p>
    <w:p w14:paraId="459BAB76" w14:textId="77777777" w:rsidR="0086378F" w:rsidRDefault="0086378F">
      <w:pPr>
        <w:pBdr>
          <w:bottom w:val="single" w:sz="6" w:space="0" w:color="1A1A1A"/>
        </w:pBdr>
        <w:spacing w:before="240" w:after="240"/>
      </w:pPr>
    </w:p>
    <w:p w14:paraId="000DAB88"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86378F" w14:paraId="5FD9F21D" w14:textId="77777777">
        <w:tblPrEx>
          <w:tblCellMar>
            <w:top w:w="0" w:type="dxa"/>
            <w:bottom w:w="0" w:type="dxa"/>
          </w:tblCellMar>
        </w:tblPrEx>
        <w:tc>
          <w:tcPr>
            <w:tcW w:w="0" w:type="auto"/>
            <w:tcBorders>
              <w:top w:val="nil"/>
              <w:left w:val="nil"/>
              <w:bottom w:val="nil"/>
              <w:right w:val="nil"/>
            </w:tcBorders>
            <w:shd w:val="clear" w:color="auto" w:fill="0D3B6E"/>
            <w:tcMar>
              <w:top w:w="120" w:type="dxa"/>
              <w:left w:w="240" w:type="dxa"/>
              <w:bottom w:w="120" w:type="dxa"/>
              <w:right w:w="240" w:type="dxa"/>
            </w:tcMar>
          </w:tcPr>
          <w:p w14:paraId="277A35D5" w14:textId="77777777" w:rsidR="0086378F" w:rsidRDefault="00000000">
            <w:pPr>
              <w:pStyle w:val="Heading2"/>
              <w:spacing w:after="120" w:line="312" w:lineRule="auto"/>
            </w:pPr>
            <w:r>
              <w:rPr>
                <w:color w:val="FFFFFF"/>
              </w:rPr>
              <w:t>Section 3 — Resident Readiness Support</w:t>
            </w:r>
          </w:p>
          <w:p w14:paraId="166FF36A" w14:textId="77777777" w:rsidR="0086378F" w:rsidRDefault="00000000">
            <w:pPr>
              <w:spacing w:after="120" w:line="360" w:lineRule="auto"/>
            </w:pPr>
            <w:r>
              <w:rPr>
                <w:rFonts w:ascii="Calibri" w:eastAsia="Calibri" w:hAnsi="Calibri" w:cs="Calibri"/>
                <w:i/>
                <w:iCs/>
                <w:color w:val="1A1A1A"/>
                <w:sz w:val="22"/>
                <w:szCs w:val="22"/>
              </w:rPr>
              <w:t>48–72 Hours Before Landfall</w:t>
            </w:r>
          </w:p>
        </w:tc>
      </w:tr>
    </w:tbl>
    <w:p w14:paraId="472A1CC0" w14:textId="77777777" w:rsidR="0086378F" w:rsidRDefault="0086378F">
      <w:pPr>
        <w:spacing w:after="240"/>
      </w:pPr>
    </w:p>
    <w:p w14:paraId="359DBFE7" w14:textId="77777777" w:rsidR="0086378F" w:rsidRDefault="00000000">
      <w:pPr>
        <w:spacing w:before="60" w:after="120" w:line="360" w:lineRule="auto"/>
      </w:pPr>
      <w:r>
        <w:rPr>
          <w:rFonts w:ascii="Calibri" w:eastAsia="Calibri" w:hAnsi="Calibri" w:cs="Calibri"/>
          <w:color w:val="1A1A1A"/>
          <w:sz w:val="22"/>
          <w:szCs w:val="22"/>
        </w:rPr>
        <w:t>While residents are individually responsible for their personal preparedness, the association plays a vital supporting role by providing information, identifying vulnerable residents, and reinforcing community guidelines during the storm period.</w:t>
      </w:r>
    </w:p>
    <w:p w14:paraId="7FD7C5B3"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Distribute a resident-specific hurricane preparedness checklist</w:t>
      </w:r>
      <w:r>
        <w:rPr>
          <w:rFonts w:ascii="Calibri" w:eastAsia="Calibri" w:hAnsi="Calibri" w:cs="Calibri"/>
          <w:color w:val="1A1A1A"/>
          <w:sz w:val="22"/>
          <w:szCs w:val="22"/>
        </w:rPr>
        <w:t xml:space="preserve"> via email and community portal covering personal supplies, documentation, and home-securing tasks.</w:t>
      </w:r>
    </w:p>
    <w:p w14:paraId="13C85A7E"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Communicate official evacuation routes and zone information</w:t>
      </w:r>
      <w:r>
        <w:rPr>
          <w:rFonts w:ascii="Calibri" w:eastAsia="Calibri" w:hAnsi="Calibri" w:cs="Calibri"/>
          <w:color w:val="1A1A1A"/>
          <w:sz w:val="22"/>
          <w:szCs w:val="22"/>
        </w:rPr>
        <w:t xml:space="preserve"> for your specific area, including directions to the nearest state-designated evacuation shelters and Pasco County shelter locations.</w:t>
      </w:r>
    </w:p>
    <w:p w14:paraId="08444DFF"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Identify and proactively contact residents who may require assistance</w:t>
      </w:r>
      <w:r>
        <w:rPr>
          <w:rFonts w:ascii="Calibri" w:eastAsia="Calibri" w:hAnsi="Calibri" w:cs="Calibri"/>
          <w:color w:val="1A1A1A"/>
          <w:sz w:val="22"/>
          <w:szCs w:val="22"/>
        </w:rPr>
        <w:t>, including elderly residents, those with disabilities, and households without personal transportation, and connect them with local resources.</w:t>
      </w:r>
    </w:p>
    <w:p w14:paraId="3F70E848"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lastRenderedPageBreak/>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Remind all residents of community rules and governing documents</w:t>
      </w:r>
      <w:r>
        <w:rPr>
          <w:rFonts w:ascii="Calibri" w:eastAsia="Calibri" w:hAnsi="Calibri" w:cs="Calibri"/>
          <w:color w:val="1A1A1A"/>
          <w:sz w:val="22"/>
          <w:szCs w:val="22"/>
        </w:rPr>
        <w:t xml:space="preserve"> as they apply during and after storm events, including parking restrictions, generator use policies, and re-entry procedures.</w:t>
      </w:r>
    </w:p>
    <w:p w14:paraId="698BF848"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Share a comprehensive list of local emergency shelters</w:t>
      </w:r>
      <w:r>
        <w:rPr>
          <w:rFonts w:ascii="Calibri" w:eastAsia="Calibri" w:hAnsi="Calibri" w:cs="Calibri"/>
          <w:color w:val="1A1A1A"/>
          <w:sz w:val="22"/>
          <w:szCs w:val="22"/>
        </w:rPr>
        <w:t>, including general population shelters and special-needs shelters, with addresses and registration requirements.</w:t>
      </w:r>
    </w:p>
    <w:p w14:paraId="39C0D21A"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Advise residents on pet evacuation planning</w:t>
      </w:r>
      <w:r>
        <w:rPr>
          <w:rFonts w:ascii="Calibri" w:eastAsia="Calibri" w:hAnsi="Calibri" w:cs="Calibri"/>
          <w:color w:val="1A1A1A"/>
          <w:sz w:val="22"/>
          <w:szCs w:val="22"/>
        </w:rPr>
        <w:t>, including pet-friendly shelter options, boarding facilities, and local resources for pet-owning households.</w:t>
      </w:r>
    </w:p>
    <w:p w14:paraId="3548F129"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Remind all residents with balconies, patios, or screened enclosures</w:t>
      </w:r>
      <w:r>
        <w:rPr>
          <w:rFonts w:ascii="Calibri" w:eastAsia="Calibri" w:hAnsi="Calibri" w:cs="Calibri"/>
          <w:color w:val="1A1A1A"/>
          <w:sz w:val="22"/>
          <w:szCs w:val="22"/>
        </w:rPr>
        <w:t xml:space="preserve"> to bring in or secure all personal items, furniture, plants, and decorations that could cause property damage or injury.</w:t>
      </w:r>
    </w:p>
    <w:p w14:paraId="4A5870D6"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Communicate realistic timeline expectations for post-storm community access</w:t>
      </w:r>
      <w:r>
        <w:rPr>
          <w:rFonts w:ascii="Calibri" w:eastAsia="Calibri" w:hAnsi="Calibri" w:cs="Calibri"/>
          <w:color w:val="1A1A1A"/>
          <w:sz w:val="22"/>
          <w:szCs w:val="22"/>
        </w:rPr>
        <w:t>, advising residents that re-entry to the community will only be permitted after a full safety inspection has been completed by association staff.</w:t>
      </w:r>
    </w:p>
    <w:p w14:paraId="3DED8B66"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Remind residents to photograph and document the interior and exterior of their own units</w:t>
      </w:r>
      <w:r>
        <w:rPr>
          <w:rFonts w:ascii="Calibri" w:eastAsia="Calibri" w:hAnsi="Calibri" w:cs="Calibri"/>
          <w:color w:val="1A1A1A"/>
          <w:sz w:val="22"/>
          <w:szCs w:val="22"/>
        </w:rPr>
        <w:t xml:space="preserve"> before the storm for personal insurance claim purposes.</w:t>
      </w:r>
    </w:p>
    <w:p w14:paraId="5D0990BC" w14:textId="77777777" w:rsidR="0086378F" w:rsidRDefault="0086378F">
      <w:pPr>
        <w:pBdr>
          <w:bottom w:val="single" w:sz="6" w:space="0" w:color="1A1A1A"/>
        </w:pBdr>
        <w:spacing w:before="240" w:after="240"/>
      </w:pPr>
    </w:p>
    <w:p w14:paraId="53025D7A"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86378F" w14:paraId="2E93F628" w14:textId="77777777">
        <w:tblPrEx>
          <w:tblCellMar>
            <w:top w:w="0" w:type="dxa"/>
            <w:bottom w:w="0" w:type="dxa"/>
          </w:tblCellMar>
        </w:tblPrEx>
        <w:tc>
          <w:tcPr>
            <w:tcW w:w="0" w:type="auto"/>
            <w:tcBorders>
              <w:top w:val="nil"/>
              <w:left w:val="nil"/>
              <w:bottom w:val="nil"/>
              <w:right w:val="nil"/>
            </w:tcBorders>
            <w:shd w:val="clear" w:color="auto" w:fill="0D3B6E"/>
            <w:tcMar>
              <w:top w:w="120" w:type="dxa"/>
              <w:left w:w="240" w:type="dxa"/>
              <w:bottom w:w="120" w:type="dxa"/>
              <w:right w:w="240" w:type="dxa"/>
            </w:tcMar>
          </w:tcPr>
          <w:p w14:paraId="1CC901B7" w14:textId="77777777" w:rsidR="0086378F" w:rsidRDefault="00000000">
            <w:pPr>
              <w:pStyle w:val="Heading2"/>
              <w:spacing w:after="120" w:line="312" w:lineRule="auto"/>
            </w:pPr>
            <w:r>
              <w:rPr>
                <w:color w:val="FFFFFF"/>
              </w:rPr>
              <w:t>Section 4 — Property Protection</w:t>
            </w:r>
          </w:p>
          <w:p w14:paraId="66538EA3" w14:textId="77777777" w:rsidR="0086378F" w:rsidRDefault="00000000">
            <w:pPr>
              <w:spacing w:after="120" w:line="360" w:lineRule="auto"/>
            </w:pPr>
            <w:r>
              <w:rPr>
                <w:rFonts w:ascii="Calibri" w:eastAsia="Calibri" w:hAnsi="Calibri" w:cs="Calibri"/>
                <w:i/>
                <w:iCs/>
                <w:color w:val="1A1A1A"/>
                <w:sz w:val="22"/>
                <w:szCs w:val="22"/>
              </w:rPr>
              <w:t>48 Hours Before Landfall</w:t>
            </w:r>
          </w:p>
        </w:tc>
      </w:tr>
    </w:tbl>
    <w:p w14:paraId="7D57286E" w14:textId="77777777" w:rsidR="0086378F" w:rsidRDefault="0086378F">
      <w:pPr>
        <w:spacing w:after="240"/>
      </w:pPr>
    </w:p>
    <w:p w14:paraId="13B7043E" w14:textId="77777777" w:rsidR="0086378F" w:rsidRDefault="00000000">
      <w:pPr>
        <w:spacing w:before="60" w:after="120" w:line="360" w:lineRule="auto"/>
      </w:pPr>
      <w:r>
        <w:rPr>
          <w:rFonts w:ascii="Calibri" w:eastAsia="Calibri" w:hAnsi="Calibri" w:cs="Calibri"/>
          <w:color w:val="1A1A1A"/>
          <w:sz w:val="22"/>
          <w:szCs w:val="22"/>
        </w:rPr>
        <w:t>Physical protection of the association's common property is a primary fiduciary responsibility of the board. Complete all property protection tasks well before storm arrival to ensure staff safety and adequate preparation time.</w:t>
      </w:r>
    </w:p>
    <w:p w14:paraId="6F2A70CC"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Install hurricane shutters, storm panels, or plywood</w:t>
      </w:r>
      <w:r>
        <w:rPr>
          <w:rFonts w:ascii="Calibri" w:eastAsia="Calibri" w:hAnsi="Calibri" w:cs="Calibri"/>
          <w:color w:val="1A1A1A"/>
          <w:sz w:val="22"/>
          <w:szCs w:val="22"/>
        </w:rPr>
        <w:t xml:space="preserve"> on all common-area windows, doors, and glass surfaces in the clubhouse, fitness center, office, and any other community buildings.</w:t>
      </w:r>
    </w:p>
    <w:p w14:paraId="4A363DBE"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Secure all pool equipment and chemical storage areas</w:t>
      </w:r>
      <w:r>
        <w:rPr>
          <w:rFonts w:ascii="Calibri" w:eastAsia="Calibri" w:hAnsi="Calibri" w:cs="Calibri"/>
          <w:color w:val="1A1A1A"/>
          <w:sz w:val="22"/>
          <w:szCs w:val="22"/>
        </w:rPr>
        <w:t>, ensuring chemicals are properly stored per safety guidelines and cannot be exposed to floodwaters or wind damage.</w:t>
      </w:r>
    </w:p>
    <w:p w14:paraId="1DEB70C7"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lastRenderedPageBreak/>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Shut down and lock all community amenities</w:t>
      </w:r>
      <w:r>
        <w:rPr>
          <w:rFonts w:ascii="Calibri" w:eastAsia="Calibri" w:hAnsi="Calibri" w:cs="Calibri"/>
          <w:color w:val="1A1A1A"/>
          <w:sz w:val="22"/>
          <w:szCs w:val="22"/>
        </w:rPr>
        <w:t>, including the clubhouse, pool, fitness center, tennis courts, playgrounds, and any other shared facilities.</w:t>
      </w:r>
    </w:p>
    <w:p w14:paraId="6C523218" w14:textId="6E0B5B04"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 xml:space="preserve">Lock </w:t>
      </w:r>
      <w:r w:rsidR="00A84574">
        <w:rPr>
          <w:rFonts w:ascii="Calibri" w:eastAsia="Calibri" w:hAnsi="Calibri" w:cs="Calibri"/>
          <w:b/>
          <w:bCs/>
          <w:color w:val="1A1A1A"/>
          <w:sz w:val="22"/>
          <w:szCs w:val="22"/>
        </w:rPr>
        <w:t>or take off</w:t>
      </w:r>
      <w:r>
        <w:rPr>
          <w:rFonts w:ascii="Calibri" w:eastAsia="Calibri" w:hAnsi="Calibri" w:cs="Calibri"/>
          <w:b/>
          <w:bCs/>
          <w:color w:val="1A1A1A"/>
          <w:sz w:val="22"/>
          <w:szCs w:val="22"/>
        </w:rPr>
        <w:t xml:space="preserve"> community gates</w:t>
      </w:r>
      <w:r w:rsidR="00A84574">
        <w:rPr>
          <w:rFonts w:ascii="Calibri" w:eastAsia="Calibri" w:hAnsi="Calibri" w:cs="Calibri"/>
          <w:b/>
          <w:bCs/>
          <w:color w:val="1A1A1A"/>
          <w:sz w:val="22"/>
          <w:szCs w:val="22"/>
        </w:rPr>
        <w:t xml:space="preserve"> if evacuati</w:t>
      </w:r>
      <w:r w:rsidR="00721A48">
        <w:rPr>
          <w:rFonts w:ascii="Calibri" w:eastAsia="Calibri" w:hAnsi="Calibri" w:cs="Calibri"/>
          <w:b/>
          <w:bCs/>
          <w:color w:val="1A1A1A"/>
          <w:sz w:val="22"/>
          <w:szCs w:val="22"/>
        </w:rPr>
        <w:t xml:space="preserve">ng – ck all </w:t>
      </w:r>
      <w:r>
        <w:rPr>
          <w:rFonts w:ascii="Calibri" w:eastAsia="Calibri" w:hAnsi="Calibri" w:cs="Calibri"/>
          <w:b/>
          <w:bCs/>
          <w:color w:val="1A1A1A"/>
          <w:sz w:val="22"/>
          <w:szCs w:val="22"/>
        </w:rPr>
        <w:t>access control points, and perimeter fencing</w:t>
      </w:r>
      <w:r>
        <w:rPr>
          <w:rFonts w:ascii="Calibri" w:eastAsia="Calibri" w:hAnsi="Calibri" w:cs="Calibri"/>
          <w:color w:val="1A1A1A"/>
          <w:sz w:val="22"/>
          <w:szCs w:val="22"/>
        </w:rPr>
        <w:t>; test all electronic gate systems and ensure manual override procedures are documented and available.</w:t>
      </w:r>
    </w:p>
    <w:p w14:paraId="2858BE94"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Move all portable or movable equipment indoors</w:t>
      </w:r>
      <w:r>
        <w:rPr>
          <w:rFonts w:ascii="Calibri" w:eastAsia="Calibri" w:hAnsi="Calibri" w:cs="Calibri"/>
          <w:color w:val="1A1A1A"/>
          <w:sz w:val="22"/>
          <w:szCs w:val="22"/>
        </w:rPr>
        <w:t>, including maintenance vehicles, landscaping equipment, tools, trash receptacles, and storage items.</w:t>
      </w:r>
    </w:p>
    <w:p w14:paraId="6F93F0FB"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Inspect and secure all roof access doors, mechanical room hatches, and utility enclosures</w:t>
      </w:r>
      <w:r>
        <w:rPr>
          <w:rFonts w:ascii="Calibri" w:eastAsia="Calibri" w:hAnsi="Calibri" w:cs="Calibri"/>
          <w:color w:val="1A1A1A"/>
          <w:sz w:val="22"/>
          <w:szCs w:val="22"/>
        </w:rPr>
        <w:t xml:space="preserve"> to prevent wind-driven water intrusion and structural damage.</w:t>
      </w:r>
    </w:p>
    <w:p w14:paraId="1990B663"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Inspect all retaining walls, drainage swales, and stormwater retention areas</w:t>
      </w:r>
      <w:r>
        <w:rPr>
          <w:rFonts w:ascii="Calibri" w:eastAsia="Calibri" w:hAnsi="Calibri" w:cs="Calibri"/>
          <w:color w:val="1A1A1A"/>
          <w:sz w:val="22"/>
          <w:szCs w:val="22"/>
        </w:rPr>
        <w:t xml:space="preserve"> to confirm they are clear and structurally sound prior to storm arrival.</w:t>
      </w:r>
    </w:p>
    <w:p w14:paraId="5FB1A857"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Coordinate with the landscaping team to trim or remove overhanging branches</w:t>
      </w:r>
      <w:r>
        <w:rPr>
          <w:rFonts w:ascii="Calibri" w:eastAsia="Calibri" w:hAnsi="Calibri" w:cs="Calibri"/>
          <w:color w:val="1A1A1A"/>
          <w:sz w:val="22"/>
          <w:szCs w:val="22"/>
        </w:rPr>
        <w:t xml:space="preserve"> near buildings, power lines, roadways, and common areas that could cause damage during high winds.</w:t>
      </w:r>
    </w:p>
    <w:p w14:paraId="3D93EA2C"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Photograph and video all common areas in their pre-storm secured state</w:t>
      </w:r>
      <w:r>
        <w:rPr>
          <w:rFonts w:ascii="Calibri" w:eastAsia="Calibri" w:hAnsi="Calibri" w:cs="Calibri"/>
          <w:color w:val="1A1A1A"/>
          <w:sz w:val="22"/>
          <w:szCs w:val="22"/>
        </w:rPr>
        <w:t>, capturing all buildings, roofs, parking areas, perimeter fencing, and amenities for baseline insurance documentation.</w:t>
      </w:r>
    </w:p>
    <w:p w14:paraId="6E8B6848"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Verify emergency lighting systems are operational</w:t>
      </w:r>
      <w:r>
        <w:rPr>
          <w:rFonts w:ascii="Calibri" w:eastAsia="Calibri" w:hAnsi="Calibri" w:cs="Calibri"/>
          <w:color w:val="1A1A1A"/>
          <w:sz w:val="22"/>
          <w:szCs w:val="22"/>
        </w:rPr>
        <w:t xml:space="preserve"> in all common buildings and confirm backup power is correctly configured for security cameras and access control systems.</w:t>
      </w:r>
    </w:p>
    <w:p w14:paraId="752C8B3D" w14:textId="77777777" w:rsidR="0086378F" w:rsidRDefault="0086378F">
      <w:pPr>
        <w:pBdr>
          <w:bottom w:val="single" w:sz="6" w:space="0" w:color="1A1A1A"/>
        </w:pBdr>
        <w:spacing w:before="240" w:after="240"/>
      </w:pPr>
    </w:p>
    <w:p w14:paraId="48E69161"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86378F" w14:paraId="4AB14DA5" w14:textId="77777777">
        <w:tblPrEx>
          <w:tblCellMar>
            <w:top w:w="0" w:type="dxa"/>
            <w:bottom w:w="0" w:type="dxa"/>
          </w:tblCellMar>
        </w:tblPrEx>
        <w:tc>
          <w:tcPr>
            <w:tcW w:w="0" w:type="auto"/>
            <w:tcBorders>
              <w:top w:val="nil"/>
              <w:left w:val="nil"/>
              <w:bottom w:val="nil"/>
              <w:right w:val="nil"/>
            </w:tcBorders>
            <w:shd w:val="clear" w:color="auto" w:fill="0D3B6E"/>
            <w:tcMar>
              <w:top w:w="120" w:type="dxa"/>
              <w:left w:w="240" w:type="dxa"/>
              <w:bottom w:w="120" w:type="dxa"/>
              <w:right w:w="240" w:type="dxa"/>
            </w:tcMar>
          </w:tcPr>
          <w:p w14:paraId="50641792" w14:textId="77777777" w:rsidR="0086378F" w:rsidRDefault="00000000">
            <w:pPr>
              <w:pStyle w:val="Heading2"/>
              <w:spacing w:after="120" w:line="312" w:lineRule="auto"/>
            </w:pPr>
            <w:r>
              <w:rPr>
                <w:color w:val="FFFFFF"/>
              </w:rPr>
              <w:t>Section 5 — Vendor &amp; Contractor Coordination</w:t>
            </w:r>
          </w:p>
          <w:p w14:paraId="2AE91402" w14:textId="77777777" w:rsidR="0086378F" w:rsidRDefault="00000000">
            <w:pPr>
              <w:spacing w:after="120" w:line="360" w:lineRule="auto"/>
            </w:pPr>
            <w:r>
              <w:rPr>
                <w:rFonts w:ascii="Calibri" w:eastAsia="Calibri" w:hAnsi="Calibri" w:cs="Calibri"/>
                <w:i/>
                <w:iCs/>
                <w:color w:val="1A1A1A"/>
                <w:sz w:val="22"/>
                <w:szCs w:val="22"/>
              </w:rPr>
              <w:t>Confirm 48–72 Hours Before Landfall</w:t>
            </w:r>
          </w:p>
        </w:tc>
      </w:tr>
    </w:tbl>
    <w:p w14:paraId="0EFC8045" w14:textId="77777777" w:rsidR="0086378F" w:rsidRDefault="0086378F">
      <w:pPr>
        <w:spacing w:after="240"/>
      </w:pPr>
    </w:p>
    <w:p w14:paraId="07D19BEE" w14:textId="77777777" w:rsidR="0086378F" w:rsidRDefault="00000000">
      <w:pPr>
        <w:spacing w:before="60" w:after="120" w:line="360" w:lineRule="auto"/>
      </w:pPr>
      <w:r>
        <w:rPr>
          <w:rFonts w:ascii="Calibri" w:eastAsia="Calibri" w:hAnsi="Calibri" w:cs="Calibri"/>
          <w:color w:val="1A1A1A"/>
          <w:sz w:val="22"/>
          <w:szCs w:val="22"/>
        </w:rPr>
        <w:t>Pre-established vendor relationships are essential to rapid post-storm recovery. Confirm all pre-arranged agreements and contacts before storm arrival so recovery efforts can begin immediately following the all-clear.</w:t>
      </w:r>
    </w:p>
    <w:p w14:paraId="0F57AA2B"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lastRenderedPageBreak/>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Confirm pre-arranged contracts with storm restoration and cleanup crews</w:t>
      </w:r>
      <w:r>
        <w:rPr>
          <w:rFonts w:ascii="Calibri" w:eastAsia="Calibri" w:hAnsi="Calibri" w:cs="Calibri"/>
          <w:color w:val="1A1A1A"/>
          <w:sz w:val="22"/>
          <w:szCs w:val="22"/>
        </w:rPr>
        <w:t>, including water mitigation, debris removal, and general contracting firms, are in place and crews are on standby alert.</w:t>
      </w:r>
    </w:p>
    <w:p w14:paraId="3127E9A5"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Verify that the master vendor contact list is current</w:t>
      </w:r>
      <w:r>
        <w:rPr>
          <w:rFonts w:ascii="Calibri" w:eastAsia="Calibri" w:hAnsi="Calibri" w:cs="Calibri"/>
          <w:color w:val="1A1A1A"/>
          <w:sz w:val="22"/>
          <w:szCs w:val="22"/>
        </w:rPr>
        <w:t>, including 24/7 emergency contact numbers for all critical vendors: electricians, plumbers, roofers, HVAC, and structural contractors.</w:t>
      </w:r>
    </w:p>
    <w:p w14:paraId="633B375B"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Pre-authorize emergency repair spend limits</w:t>
      </w:r>
      <w:r>
        <w:rPr>
          <w:rFonts w:ascii="Calibri" w:eastAsia="Calibri" w:hAnsi="Calibri" w:cs="Calibri"/>
          <w:color w:val="1A1A1A"/>
          <w:sz w:val="22"/>
          <w:szCs w:val="22"/>
        </w:rPr>
        <w:t xml:space="preserve"> with the board, establishing a clearly defined threshold amount that the property manager may commit to without requiring additional board approval during an emergency.</w:t>
      </w:r>
    </w:p>
    <w:p w14:paraId="71C784C8"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Schedule post-storm inspection appointments with roofing and structural contractors</w:t>
      </w:r>
      <w:r>
        <w:rPr>
          <w:rFonts w:ascii="Calibri" w:eastAsia="Calibri" w:hAnsi="Calibri" w:cs="Calibri"/>
          <w:color w:val="1A1A1A"/>
          <w:sz w:val="22"/>
          <w:szCs w:val="22"/>
        </w:rPr>
        <w:t xml:space="preserve"> in advance, as demand for these services surges immediately after a major storm event.</w:t>
      </w:r>
    </w:p>
    <w:p w14:paraId="0E3DEDFC"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Confirm that a licensed tree service is on standby</w:t>
      </w:r>
      <w:r>
        <w:rPr>
          <w:rFonts w:ascii="Calibri" w:eastAsia="Calibri" w:hAnsi="Calibri" w:cs="Calibri"/>
          <w:color w:val="1A1A1A"/>
          <w:sz w:val="22"/>
          <w:szCs w:val="22"/>
        </w:rPr>
        <w:t xml:space="preserve"> for post-storm debris removal, including removal of downed trees, fallen limbs, and vegetation from roadways and common areas.</w:t>
      </w:r>
    </w:p>
    <w:p w14:paraId="78DFA3CD"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Coordinate with local utility companies</w:t>
      </w:r>
      <w:r>
        <w:rPr>
          <w:rFonts w:ascii="Calibri" w:eastAsia="Calibri" w:hAnsi="Calibri" w:cs="Calibri"/>
          <w:color w:val="1A1A1A"/>
          <w:sz w:val="22"/>
          <w:szCs w:val="22"/>
        </w:rPr>
        <w:t xml:space="preserve"> (electric, water, gas) to register as a community with residential units requiring priority restoration; confirm contact and account numbers for outage reporting.</w:t>
      </w:r>
    </w:p>
    <w:p w14:paraId="369BE5B6"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Review and verify current insurance certificates for all active vendors and contractors</w:t>
      </w:r>
      <w:r>
        <w:rPr>
          <w:rFonts w:ascii="Calibri" w:eastAsia="Calibri" w:hAnsi="Calibri" w:cs="Calibri"/>
          <w:color w:val="1A1A1A"/>
          <w:sz w:val="22"/>
          <w:szCs w:val="22"/>
        </w:rPr>
        <w:t>, ensuring all parties working on the property post-storm carry adequate liability and workers’ compensation coverage.</w:t>
      </w:r>
    </w:p>
    <w:p w14:paraId="15C842DF"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Establish and document the priority order for all post-storm repairs</w:t>
      </w:r>
      <w:r>
        <w:rPr>
          <w:rFonts w:ascii="Calibri" w:eastAsia="Calibri" w:hAnsi="Calibri" w:cs="Calibri"/>
          <w:color w:val="1A1A1A"/>
          <w:sz w:val="22"/>
          <w:szCs w:val="22"/>
        </w:rPr>
        <w:t>, beginning with life-safety-critical items (structural hazards, electrical, water intrusion) before addressing cosmetic or non-urgent repairs.</w:t>
      </w:r>
    </w:p>
    <w:p w14:paraId="3EBA30FD"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Confirm fuel delivery contracts for generator resupply</w:t>
      </w:r>
      <w:r>
        <w:rPr>
          <w:rFonts w:ascii="Calibri" w:eastAsia="Calibri" w:hAnsi="Calibri" w:cs="Calibri"/>
          <w:color w:val="1A1A1A"/>
          <w:sz w:val="22"/>
          <w:szCs w:val="22"/>
        </w:rPr>
        <w:t xml:space="preserve"> and arrange a delivery schedule for extended power outage scenarios lasting more than 48 hours.</w:t>
      </w:r>
    </w:p>
    <w:p w14:paraId="07F63ACC" w14:textId="77777777" w:rsidR="0086378F" w:rsidRDefault="0086378F">
      <w:pPr>
        <w:pBdr>
          <w:bottom w:val="single" w:sz="6" w:space="0" w:color="1A1A1A"/>
        </w:pBdr>
        <w:spacing w:before="240" w:after="240"/>
      </w:pPr>
    </w:p>
    <w:p w14:paraId="0C3A5245"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60"/>
      </w:tblGrid>
      <w:tr w:rsidR="0086378F" w14:paraId="7635E321" w14:textId="77777777">
        <w:tblPrEx>
          <w:tblCellMar>
            <w:top w:w="0" w:type="dxa"/>
            <w:bottom w:w="0" w:type="dxa"/>
          </w:tblCellMar>
        </w:tblPrEx>
        <w:tc>
          <w:tcPr>
            <w:tcW w:w="0" w:type="auto"/>
            <w:tcBorders>
              <w:top w:val="nil"/>
              <w:left w:val="nil"/>
              <w:bottom w:val="nil"/>
              <w:right w:val="nil"/>
            </w:tcBorders>
            <w:shd w:val="clear" w:color="auto" w:fill="0D3B6E"/>
            <w:tcMar>
              <w:top w:w="120" w:type="dxa"/>
              <w:left w:w="240" w:type="dxa"/>
              <w:bottom w:w="120" w:type="dxa"/>
              <w:right w:w="240" w:type="dxa"/>
            </w:tcMar>
          </w:tcPr>
          <w:p w14:paraId="3472D059" w14:textId="77777777" w:rsidR="0086378F" w:rsidRDefault="00000000">
            <w:pPr>
              <w:pStyle w:val="Heading2"/>
              <w:spacing w:after="120" w:line="312" w:lineRule="auto"/>
            </w:pPr>
            <w:r>
              <w:rPr>
                <w:color w:val="FFFFFF"/>
              </w:rPr>
              <w:t>Section 6 — Post-Storm Actions &amp; Recovery</w:t>
            </w:r>
          </w:p>
          <w:p w14:paraId="33AFB169" w14:textId="77777777" w:rsidR="0086378F" w:rsidRDefault="00000000">
            <w:pPr>
              <w:spacing w:after="120" w:line="360" w:lineRule="auto"/>
            </w:pPr>
            <w:r>
              <w:rPr>
                <w:rFonts w:ascii="Calibri" w:eastAsia="Calibri" w:hAnsi="Calibri" w:cs="Calibri"/>
                <w:i/>
                <w:iCs/>
                <w:color w:val="1A1A1A"/>
                <w:sz w:val="22"/>
                <w:szCs w:val="22"/>
              </w:rPr>
              <w:lastRenderedPageBreak/>
              <w:t>Immediately Following Storm Passage — All-Clear Required Before Entry</w:t>
            </w:r>
          </w:p>
        </w:tc>
      </w:tr>
    </w:tbl>
    <w:p w14:paraId="0C576EF7" w14:textId="77777777" w:rsidR="0086378F" w:rsidRDefault="0086378F">
      <w:pPr>
        <w:spacing w:after="240"/>
      </w:pPr>
    </w:p>
    <w:p w14:paraId="1148A485" w14:textId="77777777" w:rsidR="0086378F" w:rsidRDefault="00000000">
      <w:pPr>
        <w:spacing w:before="60" w:after="120" w:line="360" w:lineRule="auto"/>
      </w:pPr>
      <w:r>
        <w:rPr>
          <w:rFonts w:ascii="Calibri" w:eastAsia="Calibri" w:hAnsi="Calibri" w:cs="Calibri"/>
          <w:color w:val="1A1A1A"/>
          <w:sz w:val="22"/>
          <w:szCs w:val="22"/>
        </w:rPr>
        <w:t>Do not enter any area of the community until local authorities have issued an official all-clear. Once safe access is confirmed, execute the following recovery steps in order of priority, with life-safety concerns addressed first.</w:t>
      </w:r>
    </w:p>
    <w:p w14:paraId="2ADC2AEE"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Conduct a full safety walkthrough of all common areas and building exteriors</w:t>
      </w:r>
      <w:r>
        <w:rPr>
          <w:rFonts w:ascii="Calibri" w:eastAsia="Calibri" w:hAnsi="Calibri" w:cs="Calibri"/>
          <w:color w:val="1A1A1A"/>
          <w:sz w:val="22"/>
          <w:szCs w:val="22"/>
        </w:rPr>
        <w:t xml:space="preserve"> with qualified personnel before permitting any residents to return, identifying all hazards, structural damage, and unsafe conditions.</w:t>
      </w:r>
    </w:p>
    <w:p w14:paraId="5B67B12B"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Document all storm damage comprehensively with timestamped photos and video</w:t>
      </w:r>
      <w:r>
        <w:rPr>
          <w:rFonts w:ascii="Calibri" w:eastAsia="Calibri" w:hAnsi="Calibri" w:cs="Calibri"/>
          <w:color w:val="1A1A1A"/>
          <w:sz w:val="22"/>
          <w:szCs w:val="22"/>
        </w:rPr>
        <w:t>, organized by building and area, before any cleanup or repairs are initiated to preserve evidence for insurance claims.</w:t>
      </w:r>
    </w:p>
    <w:p w14:paraId="3404AE1E" w14:textId="4374717B"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Notify the association’s</w:t>
      </w:r>
      <w:r w:rsidR="00411709">
        <w:rPr>
          <w:rFonts w:ascii="Calibri" w:eastAsia="Calibri" w:hAnsi="Calibri" w:cs="Calibri"/>
          <w:b/>
          <w:bCs/>
          <w:color w:val="1A1A1A"/>
          <w:sz w:val="22"/>
          <w:szCs w:val="22"/>
        </w:rPr>
        <w:t xml:space="preserve"> Board and then contact the</w:t>
      </w:r>
      <w:r>
        <w:rPr>
          <w:rFonts w:ascii="Calibri" w:eastAsia="Calibri" w:hAnsi="Calibri" w:cs="Calibri"/>
          <w:b/>
          <w:bCs/>
          <w:color w:val="1A1A1A"/>
          <w:sz w:val="22"/>
          <w:szCs w:val="22"/>
        </w:rPr>
        <w:t xml:space="preserve"> insurance carrier and file initial claims promptly</w:t>
      </w:r>
      <w:r>
        <w:rPr>
          <w:rFonts w:ascii="Calibri" w:eastAsia="Calibri" w:hAnsi="Calibri" w:cs="Calibri"/>
          <w:color w:val="1A1A1A"/>
          <w:sz w:val="22"/>
          <w:szCs w:val="22"/>
        </w:rPr>
        <w:t>, providing preliminary damage documentation; do not delay reporting as many policies have notification timeframes.</w:t>
      </w:r>
    </w:p>
    <w:p w14:paraId="3298732A"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Communicate a damage assessment summary and estimated recovery timeline to all residents</w:t>
      </w:r>
      <w:r>
        <w:rPr>
          <w:rFonts w:ascii="Calibri" w:eastAsia="Calibri" w:hAnsi="Calibri" w:cs="Calibri"/>
          <w:color w:val="1A1A1A"/>
          <w:sz w:val="22"/>
          <w:szCs w:val="22"/>
        </w:rPr>
        <w:t xml:space="preserve"> via email, app, website, and posted notices at community entrances as quickly as possible.</w:t>
      </w:r>
    </w:p>
    <w:p w14:paraId="1D86E9ED"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85C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Prioritize and initiate debris removal from all roads, walkways, and common areas</w:t>
      </w:r>
      <w:r>
        <w:rPr>
          <w:rFonts w:ascii="Calibri" w:eastAsia="Calibri" w:hAnsi="Calibri" w:cs="Calibri"/>
          <w:color w:val="1A1A1A"/>
          <w:sz w:val="22"/>
          <w:szCs w:val="22"/>
        </w:rPr>
        <w:t xml:space="preserve"> to restore safe access for residents, emergency vehicles, and recovery contractors.</w:t>
      </w:r>
    </w:p>
    <w:p w14:paraId="5BC8F081"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B00000"/>
          <w:sz w:val="22"/>
          <w:szCs w:val="22"/>
        </w:rPr>
        <w:t>●</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Restore essential services in priority order</w:t>
      </w:r>
      <w:r>
        <w:rPr>
          <w:rFonts w:ascii="Calibri" w:eastAsia="Calibri" w:hAnsi="Calibri" w:cs="Calibri"/>
          <w:color w:val="1A1A1A"/>
          <w:sz w:val="22"/>
          <w:szCs w:val="22"/>
        </w:rPr>
        <w:t>: potable water access, electrical power, security lighting, and access control systems before addressing non-essential amenities.</w:t>
      </w:r>
    </w:p>
    <w:p w14:paraId="46BF62AC"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Contact FEMA, the Florida Division of Emergency Management, or local emergency assistance programs</w:t>
      </w:r>
      <w:r>
        <w:rPr>
          <w:rFonts w:ascii="Calibri" w:eastAsia="Calibri" w:hAnsi="Calibri" w:cs="Calibri"/>
          <w:color w:val="1A1A1A"/>
          <w:sz w:val="22"/>
          <w:szCs w:val="22"/>
        </w:rPr>
        <w:t xml:space="preserve"> if damage is extensive; register the community for disaster assistance and document all interactions.</w:t>
      </w:r>
    </w:p>
    <w:p w14:paraId="37394A36"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Engage and schedule all pre-approved contractors for repairs in established priority order</w:t>
      </w:r>
      <w:r>
        <w:rPr>
          <w:rFonts w:ascii="Calibri" w:eastAsia="Calibri" w:hAnsi="Calibri" w:cs="Calibri"/>
          <w:color w:val="1A1A1A"/>
          <w:sz w:val="22"/>
          <w:szCs w:val="22"/>
        </w:rPr>
        <w:t>, maintaining detailed written records of all work orders, costs, and timelines for insurance reimbursement.</w:t>
      </w:r>
    </w:p>
    <w:p w14:paraId="2BE0B869" w14:textId="4E6A01DF"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lastRenderedPageBreak/>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Provide residents with guidance on filing their own individual insurance claims</w:t>
      </w:r>
      <w:r>
        <w:rPr>
          <w:rFonts w:ascii="Calibri" w:eastAsia="Calibri" w:hAnsi="Calibri" w:cs="Calibri"/>
          <w:color w:val="1A1A1A"/>
          <w:sz w:val="22"/>
          <w:szCs w:val="22"/>
        </w:rPr>
        <w:t xml:space="preserve"> </w:t>
      </w:r>
      <w:r w:rsidR="00E131E1">
        <w:rPr>
          <w:rFonts w:ascii="Calibri" w:eastAsia="Calibri" w:hAnsi="Calibri" w:cs="Calibri"/>
          <w:color w:val="1A1A1A"/>
          <w:sz w:val="22"/>
          <w:szCs w:val="22"/>
        </w:rPr>
        <w:t>(</w:t>
      </w:r>
      <w:r w:rsidR="00DC47BF">
        <w:rPr>
          <w:rFonts w:ascii="Calibri" w:eastAsia="Calibri" w:hAnsi="Calibri" w:cs="Calibri"/>
          <w:color w:val="1A1A1A"/>
          <w:sz w:val="22"/>
          <w:szCs w:val="22"/>
        </w:rPr>
        <w:t xml:space="preserve">ask for assistance from your agent ahead of time for guidelines) </w:t>
      </w:r>
      <w:r w:rsidR="00E131E1">
        <w:rPr>
          <w:rFonts w:ascii="Calibri" w:eastAsia="Calibri" w:hAnsi="Calibri" w:cs="Calibri"/>
          <w:color w:val="1A1A1A"/>
          <w:sz w:val="22"/>
          <w:szCs w:val="22"/>
        </w:rPr>
        <w:t xml:space="preserve">check </w:t>
      </w:r>
      <w:r>
        <w:rPr>
          <w:rFonts w:ascii="Calibri" w:eastAsia="Calibri" w:hAnsi="Calibri" w:cs="Calibri"/>
          <w:color w:val="1A1A1A"/>
          <w:sz w:val="22"/>
          <w:szCs w:val="22"/>
        </w:rPr>
        <w:t>for unit damage, and share contact information for adjusters and local assistance programs.</w:t>
      </w:r>
    </w:p>
    <w:p w14:paraId="670F4FDC"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Hold a formal debrief board meeting within 30 days of storm recovery</w:t>
      </w:r>
      <w:r>
        <w:rPr>
          <w:rFonts w:ascii="Calibri" w:eastAsia="Calibri" w:hAnsi="Calibri" w:cs="Calibri"/>
          <w:color w:val="1A1A1A"/>
          <w:sz w:val="22"/>
          <w:szCs w:val="22"/>
        </w:rPr>
        <w:t xml:space="preserve"> to document lessons learned, identify gaps in the emergency plan, and record all costs and vendor performance for future reference.</w:t>
      </w:r>
    </w:p>
    <w:p w14:paraId="5177A235" w14:textId="77777777" w:rsidR="0086378F" w:rsidRDefault="00000000">
      <w:pPr>
        <w:pStyle w:val="ListParagraph"/>
        <w:numPr>
          <w:ilvl w:val="0"/>
          <w:numId w:val="1"/>
        </w:numPr>
        <w:spacing w:after="60" w:line="408" w:lineRule="auto"/>
      </w:pPr>
      <w:r>
        <w:rPr>
          <w:rFonts w:ascii="Calibri" w:eastAsia="Calibri" w:hAnsi="Calibri" w:cs="Calibri"/>
          <w:b/>
          <w:bCs/>
          <w:color w:val="1A1A1A"/>
          <w:sz w:val="22"/>
          <w:szCs w:val="22"/>
        </w:rPr>
        <w:t>[ ]</w:t>
      </w:r>
      <w:r>
        <w:rPr>
          <w:rFonts w:ascii="Calibri" w:eastAsia="Calibri" w:hAnsi="Calibri" w:cs="Calibri"/>
          <w:color w:val="1A1A1A"/>
          <w:sz w:val="22"/>
          <w:szCs w:val="22"/>
        </w:rPr>
        <w:t xml:space="preserve"> </w:t>
      </w:r>
      <w:r>
        <w:rPr>
          <w:rFonts w:ascii="Calibri" w:eastAsia="Calibri" w:hAnsi="Calibri" w:cs="Calibri"/>
          <w:b/>
          <w:bCs/>
          <w:color w:val="1A1A1A"/>
          <w:sz w:val="22"/>
          <w:szCs w:val="22"/>
        </w:rPr>
        <w:t>Update the community emergency plan and this checklist</w:t>
      </w:r>
      <w:r>
        <w:rPr>
          <w:rFonts w:ascii="Calibri" w:eastAsia="Calibri" w:hAnsi="Calibri" w:cs="Calibri"/>
          <w:color w:val="1A1A1A"/>
          <w:sz w:val="22"/>
          <w:szCs w:val="22"/>
        </w:rPr>
        <w:t xml:space="preserve"> based on the storm experience, incorporating all lessons learned and procedural improvements before the next hurricane season.</w:t>
      </w:r>
    </w:p>
    <w:p w14:paraId="7596ABAF" w14:textId="77777777" w:rsidR="0086378F" w:rsidRDefault="0086378F">
      <w:pPr>
        <w:pBdr>
          <w:bottom w:val="single" w:sz="6" w:space="0" w:color="1A1A1A"/>
        </w:pBdr>
        <w:spacing w:before="240" w:after="240"/>
      </w:pPr>
    </w:p>
    <w:p w14:paraId="30455003" w14:textId="77777777" w:rsidR="0086378F" w:rsidRDefault="0086378F">
      <w:pPr>
        <w:spacing w:before="24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9344"/>
      </w:tblGrid>
      <w:tr w:rsidR="0086378F" w14:paraId="4F949BB2" w14:textId="77777777">
        <w:tblPrEx>
          <w:tblCellMar>
            <w:top w:w="0" w:type="dxa"/>
            <w:bottom w:w="0" w:type="dxa"/>
          </w:tblCellMar>
        </w:tblPrEx>
        <w:tc>
          <w:tcPr>
            <w:tcW w:w="0" w:type="auto"/>
            <w:tcBorders>
              <w:top w:val="single" w:sz="6" w:space="0" w:color="0D3B6E"/>
              <w:left w:val="single" w:sz="6" w:space="0" w:color="0D3B6E"/>
              <w:bottom w:val="single" w:sz="6" w:space="0" w:color="0D3B6E"/>
              <w:right w:val="single" w:sz="6" w:space="0" w:color="0D3B6E"/>
            </w:tcBorders>
            <w:shd w:val="clear" w:color="auto" w:fill="EEF4FB"/>
            <w:tcMar>
              <w:top w:w="240" w:type="dxa"/>
              <w:left w:w="280" w:type="dxa"/>
              <w:bottom w:w="240" w:type="dxa"/>
              <w:right w:w="280" w:type="dxa"/>
            </w:tcMar>
          </w:tcPr>
          <w:p w14:paraId="6E1B4B3E" w14:textId="77777777" w:rsidR="0086378F" w:rsidRDefault="00000000">
            <w:pPr>
              <w:pStyle w:val="Heading3"/>
              <w:spacing w:after="120" w:line="312" w:lineRule="auto"/>
            </w:pPr>
            <w:r>
              <w:rPr>
                <w:color w:val="0D3B6E"/>
              </w:rPr>
              <w:t>Annual Review &amp; Ongoing Preparedness</w:t>
            </w:r>
          </w:p>
          <w:p w14:paraId="282286A8" w14:textId="77777777" w:rsidR="0086378F" w:rsidRDefault="00000000">
            <w:pPr>
              <w:spacing w:line="360" w:lineRule="auto"/>
            </w:pPr>
            <w:r>
              <w:rPr>
                <w:rFonts w:ascii="Calibri" w:eastAsia="Calibri" w:hAnsi="Calibri" w:cs="Calibri"/>
                <w:color w:val="1A1A1A"/>
                <w:sz w:val="22"/>
                <w:szCs w:val="22"/>
              </w:rPr>
              <w:t xml:space="preserve">This checklist should be reviewed, updated, and distributed to all board members and key staff </w:t>
            </w:r>
            <w:r>
              <w:rPr>
                <w:rFonts w:ascii="Calibri" w:eastAsia="Calibri" w:hAnsi="Calibri" w:cs="Calibri"/>
                <w:b/>
                <w:bCs/>
                <w:color w:val="1A1A1A"/>
                <w:sz w:val="22"/>
                <w:szCs w:val="22"/>
              </w:rPr>
              <w:t>annually each May</w:t>
            </w:r>
            <w:r>
              <w:rPr>
                <w:rFonts w:ascii="Calibri" w:eastAsia="Calibri" w:hAnsi="Calibri" w:cs="Calibri"/>
                <w:color w:val="1A1A1A"/>
                <w:sz w:val="22"/>
                <w:szCs w:val="22"/>
              </w:rPr>
              <w:t>, prior to the official start of the Atlantic hurricane season on June 1. Insurance policies, vendor contracts, emergency contacts, and resident rosters change throughout the year — all must be verified current before each season begins. Communities are strongly encouraged to conduct a tabletop emergency exercise with board and staff at least once per season to reinforce familiarity with this plan. Preparedness is not a one-time activity; it is a continuous commitment to the safety and resilience of every resident in your community.</w:t>
            </w:r>
          </w:p>
        </w:tc>
      </w:tr>
    </w:tbl>
    <w:p w14:paraId="1325CC24" w14:textId="77777777" w:rsidR="0086378F" w:rsidRDefault="0086378F">
      <w:pPr>
        <w:spacing w:after="240"/>
      </w:pPr>
    </w:p>
    <w:p w14:paraId="2C1537B4" w14:textId="77777777" w:rsidR="0086378F" w:rsidRDefault="0086378F">
      <w:pPr>
        <w:pBdr>
          <w:bottom w:val="single" w:sz="6" w:space="0" w:color="1A1A1A"/>
        </w:pBdr>
        <w:spacing w:before="240" w:after="240"/>
      </w:pPr>
    </w:p>
    <w:p w14:paraId="4506B7D3" w14:textId="77777777" w:rsidR="0086378F" w:rsidRDefault="00000000">
      <w:pPr>
        <w:spacing w:before="60" w:after="120" w:line="360" w:lineRule="auto"/>
        <w:jc w:val="center"/>
      </w:pPr>
      <w:r>
        <w:rPr>
          <w:rFonts w:ascii="Calibri" w:eastAsia="Calibri" w:hAnsi="Calibri" w:cs="Calibri"/>
          <w:b/>
          <w:bCs/>
          <w:color w:val="0D3B6E"/>
          <w:sz w:val="22"/>
          <w:szCs w:val="22"/>
        </w:rPr>
        <w:t>Community Association Hurricane Preparedness Checklist</w:t>
      </w:r>
      <w:r>
        <w:rPr>
          <w:rFonts w:ascii="Calibri" w:eastAsia="Calibri" w:hAnsi="Calibri" w:cs="Calibri"/>
          <w:color w:val="4A4A4A"/>
          <w:sz w:val="18"/>
          <w:szCs w:val="18"/>
        </w:rPr>
        <w:t xml:space="preserve">  |  Updated 2026  |  For use by Community Association Managers, HOA Boards &amp; Property Managers</w:t>
      </w:r>
    </w:p>
    <w:sectPr w:rsidR="0086378F">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E56B0"/>
    <w:multiLevelType w:val="hybridMultilevel"/>
    <w:tmpl w:val="5F221AC0"/>
    <w:lvl w:ilvl="0" w:tplc="C28874D6">
      <w:start w:val="1"/>
      <w:numFmt w:val="bullet"/>
      <w:lvlText w:val="●"/>
      <w:lvlJc w:val="left"/>
      <w:pPr>
        <w:ind w:left="720" w:hanging="360"/>
      </w:pPr>
    </w:lvl>
    <w:lvl w:ilvl="1" w:tplc="D0BA2552">
      <w:start w:val="1"/>
      <w:numFmt w:val="bullet"/>
      <w:lvlText w:val="○"/>
      <w:lvlJc w:val="left"/>
      <w:pPr>
        <w:ind w:left="1440" w:hanging="360"/>
      </w:pPr>
    </w:lvl>
    <w:lvl w:ilvl="2" w:tplc="27A67886">
      <w:start w:val="1"/>
      <w:numFmt w:val="bullet"/>
      <w:lvlText w:val="■"/>
      <w:lvlJc w:val="left"/>
      <w:pPr>
        <w:ind w:left="2160" w:hanging="360"/>
      </w:pPr>
    </w:lvl>
    <w:lvl w:ilvl="3" w:tplc="4C048FE2">
      <w:start w:val="1"/>
      <w:numFmt w:val="bullet"/>
      <w:lvlText w:val="●"/>
      <w:lvlJc w:val="left"/>
      <w:pPr>
        <w:ind w:left="2880" w:hanging="360"/>
      </w:pPr>
    </w:lvl>
    <w:lvl w:ilvl="4" w:tplc="4B602A86">
      <w:start w:val="1"/>
      <w:numFmt w:val="bullet"/>
      <w:lvlText w:val="○"/>
      <w:lvlJc w:val="left"/>
      <w:pPr>
        <w:ind w:left="3600" w:hanging="360"/>
      </w:pPr>
    </w:lvl>
    <w:lvl w:ilvl="5" w:tplc="C4127324">
      <w:start w:val="1"/>
      <w:numFmt w:val="bullet"/>
      <w:lvlText w:val="■"/>
      <w:lvlJc w:val="left"/>
      <w:pPr>
        <w:ind w:left="4320" w:hanging="360"/>
      </w:pPr>
    </w:lvl>
    <w:lvl w:ilvl="6" w:tplc="8C3A0238">
      <w:start w:val="1"/>
      <w:numFmt w:val="bullet"/>
      <w:lvlText w:val="●"/>
      <w:lvlJc w:val="left"/>
      <w:pPr>
        <w:ind w:left="5040" w:hanging="360"/>
      </w:pPr>
    </w:lvl>
    <w:lvl w:ilvl="7" w:tplc="7230343C">
      <w:start w:val="1"/>
      <w:numFmt w:val="bullet"/>
      <w:lvlText w:val="●"/>
      <w:lvlJc w:val="left"/>
      <w:pPr>
        <w:ind w:left="5760" w:hanging="360"/>
      </w:pPr>
    </w:lvl>
    <w:lvl w:ilvl="8" w:tplc="539E3F76">
      <w:start w:val="1"/>
      <w:numFmt w:val="bullet"/>
      <w:lvlText w:val="●"/>
      <w:lvlJc w:val="left"/>
      <w:pPr>
        <w:ind w:left="6480" w:hanging="360"/>
      </w:pPr>
    </w:lvl>
  </w:abstractNum>
  <w:abstractNum w:abstractNumId="1" w15:restartNumberingAfterBreak="0">
    <w:nsid w:val="2F8372BD"/>
    <w:multiLevelType w:val="hybridMultilevel"/>
    <w:tmpl w:val="19C4BF9A"/>
    <w:lvl w:ilvl="0" w:tplc="042EA8DA">
      <w:start w:val="1"/>
      <w:numFmt w:val="decimal"/>
      <w:lvlText w:val="%1."/>
      <w:lvlJc w:val="left"/>
      <w:pPr>
        <w:ind w:left="720" w:hanging="360"/>
      </w:pPr>
    </w:lvl>
    <w:lvl w:ilvl="1" w:tplc="52E0DDD6">
      <w:numFmt w:val="decimal"/>
      <w:lvlText w:val=""/>
      <w:lvlJc w:val="left"/>
    </w:lvl>
    <w:lvl w:ilvl="2" w:tplc="DE424F64">
      <w:numFmt w:val="decimal"/>
      <w:lvlText w:val=""/>
      <w:lvlJc w:val="left"/>
    </w:lvl>
    <w:lvl w:ilvl="3" w:tplc="0BEA7350">
      <w:numFmt w:val="decimal"/>
      <w:lvlText w:val=""/>
      <w:lvlJc w:val="left"/>
    </w:lvl>
    <w:lvl w:ilvl="4" w:tplc="61300924">
      <w:numFmt w:val="decimal"/>
      <w:lvlText w:val=""/>
      <w:lvlJc w:val="left"/>
    </w:lvl>
    <w:lvl w:ilvl="5" w:tplc="FED2737E">
      <w:numFmt w:val="decimal"/>
      <w:lvlText w:val=""/>
      <w:lvlJc w:val="left"/>
    </w:lvl>
    <w:lvl w:ilvl="6" w:tplc="23EA4856">
      <w:numFmt w:val="decimal"/>
      <w:lvlText w:val=""/>
      <w:lvlJc w:val="left"/>
    </w:lvl>
    <w:lvl w:ilvl="7" w:tplc="5A143412">
      <w:numFmt w:val="decimal"/>
      <w:lvlText w:val=""/>
      <w:lvlJc w:val="left"/>
    </w:lvl>
    <w:lvl w:ilvl="8" w:tplc="23CEDBA8">
      <w:numFmt w:val="decimal"/>
      <w:lvlText w:val=""/>
      <w:lvlJc w:val="left"/>
    </w:lvl>
  </w:abstractNum>
  <w:num w:numId="1" w16cid:durableId="14935232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8F"/>
    <w:rsid w:val="0029299B"/>
    <w:rsid w:val="00411709"/>
    <w:rsid w:val="00721A48"/>
    <w:rsid w:val="0082225D"/>
    <w:rsid w:val="0086378F"/>
    <w:rsid w:val="009A7A02"/>
    <w:rsid w:val="00A84574"/>
    <w:rsid w:val="00DC47BF"/>
    <w:rsid w:val="00E131E1"/>
    <w:rsid w:val="00E2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DE89"/>
  <w15:docId w15:val="{BB23F592-F611-4BA9-841D-13EE6BB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7031</TotalTime>
  <Pages>9</Pages>
  <Words>2269</Words>
  <Characters>12934</Characters>
  <Application>Microsoft Office Word</Application>
  <DocSecurity>0</DocSecurity>
  <Lines>107</Lines>
  <Paragraphs>30</Paragraphs>
  <ScaleCrop>false</ScaleCrop>
  <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Fv1BmERHAEVfLtt1FGadN</dc:title>
  <dc:creator>Un-named</dc:creator>
  <dc:description>Generated document</dc:description>
  <cp:lastModifiedBy>Dietta Burgoyne</cp:lastModifiedBy>
  <cp:revision>9</cp:revision>
  <dcterms:created xsi:type="dcterms:W3CDTF">2026-07-08T14:20:00Z</dcterms:created>
  <dcterms:modified xsi:type="dcterms:W3CDTF">2026-07-13T11:30:00Z</dcterms:modified>
</cp:coreProperties>
</file>