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4683" w14:textId="57E44C61" w:rsidR="003E55FE" w:rsidRDefault="00000000" w:rsidP="00907361">
      <w:pPr>
        <w:pStyle w:val="Heading1"/>
        <w:jc w:val="center"/>
      </w:pPr>
      <w:r>
        <w:t>Using Fry v. Napoleon and Perez v. Sturgis Together</w:t>
      </w:r>
    </w:p>
    <w:p w14:paraId="4AD3689D" w14:textId="77777777" w:rsidR="00907361" w:rsidRPr="00907361" w:rsidRDefault="00907361" w:rsidP="00907361"/>
    <w:p w14:paraId="058B084E" w14:textId="77777777" w:rsidR="003E55FE" w:rsidRDefault="00000000">
      <w:r>
        <w:t>A Parent Guide for Dyslexia Advocacy</w:t>
      </w:r>
      <w:r>
        <w:br/>
      </w:r>
    </w:p>
    <w:p w14:paraId="41CA3D5A" w14:textId="77777777" w:rsidR="003E55FE" w:rsidRDefault="00000000">
      <w:pPr>
        <w:pStyle w:val="Heading2"/>
      </w:pPr>
      <w:r>
        <w:t>1. Why These Cases Matter</w:t>
      </w:r>
    </w:p>
    <w:p w14:paraId="06A07533" w14:textId="77777777" w:rsidR="003E55FE" w:rsidRDefault="00000000">
      <w:r>
        <w:t>• Fry v. Napoleon (2017) clarified that parents do not have to use IDEA’s due process system first if their complaint is about disability discrimination under ADA/§504 (e.g., equal access, dignity, independence).</w:t>
      </w:r>
      <w:r>
        <w:br/>
        <w:t>• Perez v. Sturgis (2023) ruled that parents can pursue ADA/§504 claims for damages even if they settled or lost an IDEA case.</w:t>
      </w:r>
      <w:r>
        <w:br/>
        <w:t>• Together, these cases give families two powerful tools: IDEA (FAPE claims) and ADA/§504 (discrimination claims).</w:t>
      </w:r>
    </w:p>
    <w:p w14:paraId="54BCCE4A" w14:textId="77777777" w:rsidR="003E55FE" w:rsidRDefault="00000000">
      <w:pPr>
        <w:pStyle w:val="Heading2"/>
      </w:pPr>
      <w:r>
        <w:t>2. Applying This to Dyslexia</w:t>
      </w:r>
    </w:p>
    <w:p w14:paraId="6A42BF87" w14:textId="77777777" w:rsidR="003E55FE" w:rsidRDefault="00000000">
      <w:r>
        <w:t>• IDEA Route: If a child with dyslexia is denied evidence-based reading instruction (Wilson, Orton-Gillingham, etc.), this is a denial of a Free Appropriate Public Education (FAPE).</w:t>
      </w:r>
      <w:r>
        <w:br/>
        <w:t>• ADA/§504 Route: If administrators deliberately block, remove, or refuse these proven methodologies—especially after parents showed success—this may be discrimination, not just a FAPE issue.</w:t>
      </w:r>
      <w:r>
        <w:br/>
        <w:t>• Example: If an IEP team agrees on Wilson Reading, but administrators override it four separate times, this can show deliberate indifference to the child’s disability-related needs.</w:t>
      </w:r>
    </w:p>
    <w:p w14:paraId="1DBA854C" w14:textId="77777777" w:rsidR="003E55FE" w:rsidRDefault="00000000">
      <w:pPr>
        <w:pStyle w:val="Heading2"/>
      </w:pPr>
      <w:r>
        <w:t>3. Why This Can Be Discrimination</w:t>
      </w:r>
    </w:p>
    <w:p w14:paraId="179873A0" w14:textId="77777777" w:rsidR="003E55FE" w:rsidRDefault="00000000">
      <w:r>
        <w:t>• Removing an evidence-based program is not just bad educational judgment—it can be seen as denying a necessary accommodation.</w:t>
      </w:r>
      <w:r>
        <w:br/>
        <w:t>• If the only method that lets a dyslexic child access literacy is stripped away, the child is denied equal access to education.</w:t>
      </w:r>
      <w:r>
        <w:br/>
        <w:t>• Under ADA/§504, this can be argued as deliberate indifference.</w:t>
      </w:r>
    </w:p>
    <w:p w14:paraId="4E9891BF" w14:textId="77777777" w:rsidR="003E55FE" w:rsidRDefault="00000000">
      <w:pPr>
        <w:pStyle w:val="Heading2"/>
      </w:pPr>
      <w:r>
        <w:t>4. Parent Advocacy Strategy</w:t>
      </w:r>
    </w:p>
    <w:p w14:paraId="4E1C374F" w14:textId="77777777" w:rsidR="003E55FE" w:rsidRDefault="00000000">
      <w:r>
        <w:t>✔ Plead both: Bring IDEA claims for denial of FAPE AND ADA/§504 claims for discrimination.</w:t>
      </w:r>
      <w:r>
        <w:br/>
        <w:t>✔ Use Fry: Show that your claim is about more than education—it is about equal access and dignity.</w:t>
      </w:r>
      <w:r>
        <w:br/>
        <w:t>✔ Use Perez: Even if IDEA remedies are limited, you can still pursue damages under ADA/§504.</w:t>
      </w:r>
      <w:r>
        <w:br/>
        <w:t>✔ Document: Keep records of when administrators instructed the IEP team to remove effective interventions.</w:t>
      </w:r>
    </w:p>
    <w:p w14:paraId="2B82B342" w14:textId="77777777" w:rsidR="003E55FE" w:rsidRDefault="00000000">
      <w:pPr>
        <w:pStyle w:val="Heading2"/>
      </w:pPr>
      <w:r>
        <w:t>5. Key Question to Ask</w:t>
      </w:r>
    </w:p>
    <w:p w14:paraId="5023B17C" w14:textId="77777777" w:rsidR="003E55FE" w:rsidRDefault="00000000">
      <w:r>
        <w:t>Ask: “Would this complaint still make sense if my child didn’t need special education?”</w:t>
      </w:r>
      <w:r>
        <w:br/>
        <w:t>• If YES → It’s an ADA/§504 access issue.</w:t>
      </w:r>
      <w:r>
        <w:br/>
        <w:t>• If NO → It’s an IDEA/FAPE issue.</w:t>
      </w:r>
      <w:r>
        <w:br/>
        <w:t>Often, for dyslexia cases, the answer is BOTH.</w:t>
      </w:r>
    </w:p>
    <w:sectPr w:rsidR="003E55FE" w:rsidSect="00907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5887502">
    <w:abstractNumId w:val="8"/>
  </w:num>
  <w:num w:numId="2" w16cid:durableId="2037079623">
    <w:abstractNumId w:val="6"/>
  </w:num>
  <w:num w:numId="3" w16cid:durableId="1254121953">
    <w:abstractNumId w:val="5"/>
  </w:num>
  <w:num w:numId="4" w16cid:durableId="245456498">
    <w:abstractNumId w:val="4"/>
  </w:num>
  <w:num w:numId="5" w16cid:durableId="1689525463">
    <w:abstractNumId w:val="7"/>
  </w:num>
  <w:num w:numId="6" w16cid:durableId="997155143">
    <w:abstractNumId w:val="3"/>
  </w:num>
  <w:num w:numId="7" w16cid:durableId="1661808390">
    <w:abstractNumId w:val="2"/>
  </w:num>
  <w:num w:numId="8" w16cid:durableId="150874512">
    <w:abstractNumId w:val="1"/>
  </w:num>
  <w:num w:numId="9" w16cid:durableId="135603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55FE"/>
    <w:rsid w:val="00907361"/>
    <w:rsid w:val="00AA1D8D"/>
    <w:rsid w:val="00B47730"/>
    <w:rsid w:val="00BF2C3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F0746"/>
  <w14:defaultImageDpi w14:val="300"/>
  <w15:docId w15:val="{BCDDE7EC-6168-49C9-803F-AC796D4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2025-09-16T19:06:00Z</dcterms:created>
  <dcterms:modified xsi:type="dcterms:W3CDTF">2025-09-16T19:06:00Z</dcterms:modified>
  <cp:category/>
</cp:coreProperties>
</file>