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96AD" w14:textId="77777777" w:rsidR="00952AE0" w:rsidRDefault="00000000">
      <w:pPr>
        <w:jc w:val="center"/>
      </w:pPr>
      <w:r>
        <w:rPr>
          <w:b/>
          <w:color w:val="003399"/>
          <w:sz w:val="32"/>
        </w:rPr>
        <w:t>IRP vs. IEP: What Parents Need to Know</w:t>
      </w:r>
    </w:p>
    <w:p w14:paraId="2D424536" w14:textId="77777777" w:rsidR="00952AE0" w:rsidRDefault="00952A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52AE0" w14:paraId="5977160B" w14:textId="77777777">
        <w:tc>
          <w:tcPr>
            <w:tcW w:w="2880" w:type="dxa"/>
          </w:tcPr>
          <w:p w14:paraId="626604B4" w14:textId="77777777" w:rsidR="00952AE0" w:rsidRDefault="00000000">
            <w:r>
              <w:t>Feature</w:t>
            </w:r>
          </w:p>
        </w:tc>
        <w:tc>
          <w:tcPr>
            <w:tcW w:w="2880" w:type="dxa"/>
          </w:tcPr>
          <w:p w14:paraId="7ECF504B" w14:textId="77777777" w:rsidR="00952AE0" w:rsidRPr="00176E0B" w:rsidRDefault="00000000">
            <w:pPr>
              <w:rPr>
                <w:b/>
                <w:bCs/>
              </w:rPr>
            </w:pPr>
            <w:r w:rsidRPr="00176E0B">
              <w:rPr>
                <w:b/>
                <w:bCs/>
              </w:rPr>
              <w:t>IRP (Individualized Reading Plan)</w:t>
            </w:r>
          </w:p>
        </w:tc>
        <w:tc>
          <w:tcPr>
            <w:tcW w:w="2880" w:type="dxa"/>
          </w:tcPr>
          <w:p w14:paraId="72484474" w14:textId="77777777" w:rsidR="00952AE0" w:rsidRPr="00176E0B" w:rsidRDefault="00000000">
            <w:pPr>
              <w:rPr>
                <w:b/>
                <w:bCs/>
              </w:rPr>
            </w:pPr>
            <w:r w:rsidRPr="00176E0B">
              <w:rPr>
                <w:b/>
                <w:bCs/>
              </w:rPr>
              <w:t>IEP (Individualized Education Program)</w:t>
            </w:r>
          </w:p>
        </w:tc>
      </w:tr>
      <w:tr w:rsidR="00952AE0" w14:paraId="3453E745" w14:textId="77777777">
        <w:tc>
          <w:tcPr>
            <w:tcW w:w="2880" w:type="dxa"/>
          </w:tcPr>
          <w:p w14:paraId="4895803C" w14:textId="77777777" w:rsidR="00952AE0" w:rsidRDefault="00000000">
            <w:r>
              <w:t>Legal Status</w:t>
            </w:r>
          </w:p>
        </w:tc>
        <w:tc>
          <w:tcPr>
            <w:tcW w:w="2880" w:type="dxa"/>
          </w:tcPr>
          <w:p w14:paraId="2A654847" w14:textId="77777777" w:rsidR="00952AE0" w:rsidRDefault="00000000">
            <w:r>
              <w:t>Not legally binding; school can change or end it without parent consent.</w:t>
            </w:r>
          </w:p>
        </w:tc>
        <w:tc>
          <w:tcPr>
            <w:tcW w:w="2880" w:type="dxa"/>
          </w:tcPr>
          <w:p w14:paraId="0A929467" w14:textId="77777777" w:rsidR="00952AE0" w:rsidRDefault="00000000">
            <w:r>
              <w:t>Legally binding under IDEA (20 U.S.C. § 1400 et seq.; 34 C.F.R. Part 300); enforceable through due process and parental rights.</w:t>
            </w:r>
          </w:p>
        </w:tc>
      </w:tr>
      <w:tr w:rsidR="00952AE0" w14:paraId="02FE2781" w14:textId="77777777">
        <w:tc>
          <w:tcPr>
            <w:tcW w:w="2880" w:type="dxa"/>
          </w:tcPr>
          <w:p w14:paraId="11DC1038" w14:textId="77777777" w:rsidR="00952AE0" w:rsidRDefault="00000000">
            <w:r>
              <w:t>Who It Serves</w:t>
            </w:r>
          </w:p>
        </w:tc>
        <w:tc>
          <w:tcPr>
            <w:tcW w:w="2880" w:type="dxa"/>
          </w:tcPr>
          <w:p w14:paraId="4266F921" w14:textId="77777777" w:rsidR="00952AE0" w:rsidRDefault="00000000">
            <w:r>
              <w:t>General education students who are behind in reading.</w:t>
            </w:r>
          </w:p>
        </w:tc>
        <w:tc>
          <w:tcPr>
            <w:tcW w:w="2880" w:type="dxa"/>
          </w:tcPr>
          <w:p w14:paraId="03703717" w14:textId="77777777" w:rsidR="00952AE0" w:rsidRDefault="00000000">
            <w:r>
              <w:t>Students with disabilities (e.g., dyslexia, dysgraphia, dyscalculia, SLD, ADHD, autism, etc.).</w:t>
            </w:r>
          </w:p>
        </w:tc>
      </w:tr>
      <w:tr w:rsidR="00952AE0" w14:paraId="1F83079A" w14:textId="77777777">
        <w:tc>
          <w:tcPr>
            <w:tcW w:w="2880" w:type="dxa"/>
          </w:tcPr>
          <w:p w14:paraId="6B3E318A" w14:textId="77777777" w:rsidR="00952AE0" w:rsidRDefault="00000000">
            <w:r>
              <w:t>Scope</w:t>
            </w:r>
          </w:p>
        </w:tc>
        <w:tc>
          <w:tcPr>
            <w:tcW w:w="2880" w:type="dxa"/>
          </w:tcPr>
          <w:p w14:paraId="4BFF6562" w14:textId="77777777" w:rsidR="00952AE0" w:rsidRDefault="00000000">
            <w:r>
              <w:t>Reading only; typically focused on short-term interventions.</w:t>
            </w:r>
          </w:p>
        </w:tc>
        <w:tc>
          <w:tcPr>
            <w:tcW w:w="2880" w:type="dxa"/>
          </w:tcPr>
          <w:p w14:paraId="1FE140E3" w14:textId="77777777" w:rsidR="00952AE0" w:rsidRDefault="00000000">
            <w:r>
              <w:t>Comprehensive; includes all areas of need (reading, writing, math, behavior, speech, etc.).</w:t>
            </w:r>
          </w:p>
        </w:tc>
      </w:tr>
      <w:tr w:rsidR="00952AE0" w14:paraId="03F29131" w14:textId="77777777">
        <w:tc>
          <w:tcPr>
            <w:tcW w:w="2880" w:type="dxa"/>
          </w:tcPr>
          <w:p w14:paraId="00C76F33" w14:textId="77777777" w:rsidR="00952AE0" w:rsidRDefault="00000000">
            <w:r>
              <w:t>Services Provided</w:t>
            </w:r>
          </w:p>
        </w:tc>
        <w:tc>
          <w:tcPr>
            <w:tcW w:w="2880" w:type="dxa"/>
          </w:tcPr>
          <w:p w14:paraId="7E01993E" w14:textId="77777777" w:rsidR="00952AE0" w:rsidRDefault="00000000">
            <w:r>
              <w:t>General ed interventions (small groups, computer programs, extra reading time).</w:t>
            </w:r>
          </w:p>
        </w:tc>
        <w:tc>
          <w:tcPr>
            <w:tcW w:w="2880" w:type="dxa"/>
          </w:tcPr>
          <w:p w14:paraId="1E60D5B0" w14:textId="77777777" w:rsidR="00952AE0" w:rsidRDefault="00000000">
            <w:r>
              <w:t>Specialized instruction, related services, accommodations, and modifications.</w:t>
            </w:r>
          </w:p>
        </w:tc>
      </w:tr>
      <w:tr w:rsidR="00952AE0" w14:paraId="099F0CEF" w14:textId="77777777">
        <w:tc>
          <w:tcPr>
            <w:tcW w:w="2880" w:type="dxa"/>
          </w:tcPr>
          <w:p w14:paraId="0BB8A686" w14:textId="77777777" w:rsidR="00952AE0" w:rsidRDefault="00000000">
            <w:r>
              <w:t>Instruction</w:t>
            </w:r>
          </w:p>
        </w:tc>
        <w:tc>
          <w:tcPr>
            <w:tcW w:w="2880" w:type="dxa"/>
          </w:tcPr>
          <w:p w14:paraId="45D90C1D" w14:textId="77777777" w:rsidR="00952AE0" w:rsidRDefault="00000000">
            <w:r>
              <w:t>May or may not be evidence-based or delivered by trained specialists.</w:t>
            </w:r>
          </w:p>
        </w:tc>
        <w:tc>
          <w:tcPr>
            <w:tcW w:w="2880" w:type="dxa"/>
          </w:tcPr>
          <w:p w14:paraId="32B29F89" w14:textId="77777777" w:rsidR="00952AE0" w:rsidRDefault="00000000">
            <w:r>
              <w:t>Must be evidence-based, delivered with fidelity by qualified staff (34 C.F.R. § 300.39; § 300.320).</w:t>
            </w:r>
          </w:p>
        </w:tc>
      </w:tr>
      <w:tr w:rsidR="00952AE0" w14:paraId="55F21D74" w14:textId="77777777">
        <w:tc>
          <w:tcPr>
            <w:tcW w:w="2880" w:type="dxa"/>
          </w:tcPr>
          <w:p w14:paraId="35BFEF36" w14:textId="77777777" w:rsidR="00952AE0" w:rsidRDefault="00000000">
            <w:r>
              <w:t>Parent Rights</w:t>
            </w:r>
          </w:p>
        </w:tc>
        <w:tc>
          <w:tcPr>
            <w:tcW w:w="2880" w:type="dxa"/>
          </w:tcPr>
          <w:p w14:paraId="1F48C1E9" w14:textId="77777777" w:rsidR="00952AE0" w:rsidRDefault="00000000">
            <w:r>
              <w:t>Parents have little to no input or enforcement power.</w:t>
            </w:r>
          </w:p>
        </w:tc>
        <w:tc>
          <w:tcPr>
            <w:tcW w:w="2880" w:type="dxa"/>
          </w:tcPr>
          <w:p w14:paraId="4543D293" w14:textId="77777777" w:rsidR="00952AE0" w:rsidRDefault="00000000">
            <w:r>
              <w:t>Parents have full rights: consent, meetings, due process, “stay put” protections (34 C.F.R. § 300.503, § 300.518).</w:t>
            </w:r>
          </w:p>
        </w:tc>
      </w:tr>
      <w:tr w:rsidR="00952AE0" w14:paraId="4D94C26B" w14:textId="77777777">
        <w:tc>
          <w:tcPr>
            <w:tcW w:w="2880" w:type="dxa"/>
          </w:tcPr>
          <w:p w14:paraId="4460D2FE" w14:textId="77777777" w:rsidR="00952AE0" w:rsidRDefault="00000000">
            <w:r>
              <w:t>Accountability</w:t>
            </w:r>
          </w:p>
        </w:tc>
        <w:tc>
          <w:tcPr>
            <w:tcW w:w="2880" w:type="dxa"/>
          </w:tcPr>
          <w:p w14:paraId="518B2AAC" w14:textId="77777777" w:rsidR="00952AE0" w:rsidRDefault="00000000">
            <w:r>
              <w:t>Progress monitored, but no guarantee of results or compliance.</w:t>
            </w:r>
          </w:p>
        </w:tc>
        <w:tc>
          <w:tcPr>
            <w:tcW w:w="2880" w:type="dxa"/>
          </w:tcPr>
          <w:p w14:paraId="62F0DE80" w14:textId="77777777" w:rsidR="00952AE0" w:rsidRDefault="00000000">
            <w:r>
              <w:t>Must provide FAPE (Free Appropriate Public Education); progress must be meaningful (Endrew F. v. Douglas County, 580 U.S. 386 (2017)).</w:t>
            </w:r>
          </w:p>
        </w:tc>
      </w:tr>
      <w:tr w:rsidR="00952AE0" w14:paraId="579D1B9D" w14:textId="77777777">
        <w:tc>
          <w:tcPr>
            <w:tcW w:w="2880" w:type="dxa"/>
          </w:tcPr>
          <w:p w14:paraId="5EF36E9E" w14:textId="77777777" w:rsidR="00952AE0" w:rsidRDefault="00000000">
            <w:r>
              <w:t>Timeline</w:t>
            </w:r>
          </w:p>
        </w:tc>
        <w:tc>
          <w:tcPr>
            <w:tcW w:w="2880" w:type="dxa"/>
          </w:tcPr>
          <w:p w14:paraId="3BE784E1" w14:textId="77777777" w:rsidR="00952AE0" w:rsidRDefault="00000000">
            <w:r>
              <w:t>Can start quickly; flexible, short-term.</w:t>
            </w:r>
          </w:p>
        </w:tc>
        <w:tc>
          <w:tcPr>
            <w:tcW w:w="2880" w:type="dxa"/>
          </w:tcPr>
          <w:p w14:paraId="3BE191A4" w14:textId="77777777" w:rsidR="00952AE0" w:rsidRDefault="00000000">
            <w:r>
              <w:t>Requires evaluation, eligibility determination, and formal annual reviews (34 C.F.R. § 300.301–300.306).</w:t>
            </w:r>
          </w:p>
        </w:tc>
      </w:tr>
    </w:tbl>
    <w:p w14:paraId="41394A79" w14:textId="77777777" w:rsidR="00952AE0" w:rsidRDefault="00952AE0"/>
    <w:p w14:paraId="4DEAE823" w14:textId="384F2490" w:rsidR="00952AE0" w:rsidRDefault="00000000" w:rsidP="00A81EE3">
      <w:pPr>
        <w:jc w:val="center"/>
      </w:pPr>
      <w:r>
        <w:rPr>
          <w:b/>
          <w:color w:val="990000"/>
          <w:sz w:val="28"/>
        </w:rPr>
        <w:t>Why Schools Offer IRPs Instead of IEPs</w:t>
      </w:r>
    </w:p>
    <w:p w14:paraId="47D85AEF" w14:textId="77777777" w:rsidR="00952AE0" w:rsidRDefault="00000000">
      <w:r>
        <w:t>- Cheaper: No obligation to provide specialized programs or certified staff.</w:t>
      </w:r>
      <w:r>
        <w:br/>
        <w:t>- Fewer Legal Protections: No due process rights for parents.</w:t>
      </w:r>
      <w:r>
        <w:br/>
      </w:r>
      <w:r>
        <w:lastRenderedPageBreak/>
        <w:t>- Flexibility: Easier for schools to adjust or discontinue.</w:t>
      </w:r>
      <w:r>
        <w:br/>
        <w:t>- Delay Tactic: Sometimes used to postpone or avoid an evaluation for special education, despite Child Find obligations (20 U.S.C. § 1412(a)(3); 34 C.F.R. § 300.111).</w:t>
      </w:r>
    </w:p>
    <w:p w14:paraId="522562F5" w14:textId="13327D3F" w:rsidR="00952AE0" w:rsidRPr="00A81EE3" w:rsidRDefault="00000000">
      <w:pPr>
        <w:rPr>
          <w:color w:val="4F81BD" w:themeColor="accent1"/>
        </w:rPr>
      </w:pPr>
      <w:r w:rsidRPr="00A81EE3">
        <w:rPr>
          <w:b/>
          <w:color w:val="4F81BD" w:themeColor="accent1"/>
          <w:sz w:val="28"/>
        </w:rPr>
        <w:t>Parent Takeaway</w:t>
      </w:r>
    </w:p>
    <w:p w14:paraId="7F522C90" w14:textId="77777777" w:rsidR="00952AE0" w:rsidRDefault="00000000">
      <w:r>
        <w:t>An IRP can help in the short term, but it does not replace an IEP for a child with dyslexia or another disability. If your child needs structured, evidence-based instruction delivered with fidelity, insist on:</w:t>
      </w:r>
      <w:r>
        <w:br/>
        <w:t>- A comprehensive special education evaluation in all areas of suspected disability (34 C.F.R. § 300.304).</w:t>
      </w:r>
      <w:r>
        <w:br/>
        <w:t>- Proper documentation of the diagnosis (SLD/dyslexia) on the IEP.</w:t>
      </w:r>
      <w:r>
        <w:br/>
        <w:t>- An IEP that guarantees meaningful educational progress, not just access to generic interventions.</w:t>
      </w:r>
    </w:p>
    <w:p w14:paraId="0E848F2B" w14:textId="5A5938B4" w:rsidR="00952AE0" w:rsidRPr="00A81EE3" w:rsidRDefault="00000000">
      <w:pPr>
        <w:rPr>
          <w:color w:val="4F81BD" w:themeColor="accent1"/>
        </w:rPr>
      </w:pPr>
      <w:r w:rsidRPr="00A81EE3">
        <w:rPr>
          <w:b/>
          <w:color w:val="4F81BD" w:themeColor="accent1"/>
          <w:sz w:val="24"/>
        </w:rPr>
        <w:t>Legal Citations:</w:t>
      </w:r>
    </w:p>
    <w:p w14:paraId="0E752C08" w14:textId="77777777" w:rsidR="00952AE0" w:rsidRDefault="00000000">
      <w:r>
        <w:t>• IDEA: 20 U.S.C. § 1400 et seq.; 34 C.F.R. Part 300</w:t>
      </w:r>
      <w:r>
        <w:br/>
        <w:t>• Child Find: 34 C.F.R. § 300.111</w:t>
      </w:r>
      <w:r>
        <w:br/>
        <w:t>• Evaluations: 34 C.F.R. §§ 300.304–300.306</w:t>
      </w:r>
      <w:r>
        <w:br/>
        <w:t>• Prior Written Notice: 34 C.F.R. § 300.503</w:t>
      </w:r>
      <w:r>
        <w:br/>
        <w:t>• FAPE: 20 U.S.C. § 1412(a)(1); 34 C.F.R. § 300.17</w:t>
      </w:r>
      <w:r>
        <w:br/>
        <w:t>• Endrew F. v. Douglas County, 580 U.S. 386 (2017)</w:t>
      </w:r>
    </w:p>
    <w:sectPr w:rsidR="00952A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449656">
    <w:abstractNumId w:val="8"/>
  </w:num>
  <w:num w:numId="2" w16cid:durableId="930507619">
    <w:abstractNumId w:val="6"/>
  </w:num>
  <w:num w:numId="3" w16cid:durableId="852845570">
    <w:abstractNumId w:val="5"/>
  </w:num>
  <w:num w:numId="4" w16cid:durableId="1786339090">
    <w:abstractNumId w:val="4"/>
  </w:num>
  <w:num w:numId="5" w16cid:durableId="2104377151">
    <w:abstractNumId w:val="7"/>
  </w:num>
  <w:num w:numId="6" w16cid:durableId="420372859">
    <w:abstractNumId w:val="3"/>
  </w:num>
  <w:num w:numId="7" w16cid:durableId="548347675">
    <w:abstractNumId w:val="2"/>
  </w:num>
  <w:num w:numId="8" w16cid:durableId="1152678321">
    <w:abstractNumId w:val="1"/>
  </w:num>
  <w:num w:numId="9" w16cid:durableId="113914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657"/>
    <w:rsid w:val="0015074B"/>
    <w:rsid w:val="00176E0B"/>
    <w:rsid w:val="0029639D"/>
    <w:rsid w:val="00326F90"/>
    <w:rsid w:val="00952AE0"/>
    <w:rsid w:val="00A81EE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ED243"/>
  <w14:defaultImageDpi w14:val="300"/>
  <w15:docId w15:val="{337C6594-F4CD-47CF-AF9F-F9EBF05E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3</cp:revision>
  <dcterms:created xsi:type="dcterms:W3CDTF">2025-10-09T00:40:00Z</dcterms:created>
  <dcterms:modified xsi:type="dcterms:W3CDTF">2025-10-09T00:40:00Z</dcterms:modified>
  <cp:category/>
</cp:coreProperties>
</file>