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FDDC" w14:textId="5498319F" w:rsidR="00987A66" w:rsidRDefault="00987A66" w:rsidP="00987A66">
      <w:pPr>
        <w:jc w:val="center"/>
        <w:rPr>
          <w:color w:val="4472C4" w:themeColor="accent1"/>
          <w:sz w:val="32"/>
          <w:szCs w:val="32"/>
        </w:rPr>
      </w:pPr>
      <w:r>
        <w:rPr>
          <w:b/>
          <w:bCs/>
          <w:color w:val="4472C4" w:themeColor="accent1"/>
          <w:sz w:val="32"/>
          <w:szCs w:val="32"/>
        </w:rPr>
        <w:t>R</w:t>
      </w:r>
      <w:r w:rsidRPr="00987A66">
        <w:rPr>
          <w:b/>
          <w:bCs/>
          <w:color w:val="4472C4" w:themeColor="accent1"/>
          <w:sz w:val="32"/>
          <w:szCs w:val="32"/>
        </w:rPr>
        <w:t>ecover</w:t>
      </w:r>
      <w:r>
        <w:rPr>
          <w:b/>
          <w:bCs/>
          <w:color w:val="4472C4" w:themeColor="accent1"/>
          <w:sz w:val="32"/>
          <w:szCs w:val="32"/>
        </w:rPr>
        <w:t>ing</w:t>
      </w:r>
      <w:r w:rsidRPr="00987A66">
        <w:rPr>
          <w:b/>
          <w:bCs/>
          <w:color w:val="4472C4" w:themeColor="accent1"/>
          <w:sz w:val="32"/>
          <w:szCs w:val="32"/>
        </w:rPr>
        <w:t xml:space="preserve"> </w:t>
      </w:r>
      <w:r>
        <w:rPr>
          <w:b/>
          <w:bCs/>
          <w:color w:val="4472C4" w:themeColor="accent1"/>
          <w:sz w:val="32"/>
          <w:szCs w:val="32"/>
        </w:rPr>
        <w:t>A</w:t>
      </w:r>
      <w:r w:rsidRPr="00987A66">
        <w:rPr>
          <w:b/>
          <w:bCs/>
          <w:color w:val="4472C4" w:themeColor="accent1"/>
          <w:sz w:val="32"/>
          <w:szCs w:val="32"/>
        </w:rPr>
        <w:t xml:space="preserve">ttorney’s </w:t>
      </w:r>
      <w:r>
        <w:rPr>
          <w:b/>
          <w:bCs/>
          <w:color w:val="4472C4" w:themeColor="accent1"/>
          <w:sz w:val="32"/>
          <w:szCs w:val="32"/>
        </w:rPr>
        <w:t>F</w:t>
      </w:r>
      <w:r w:rsidRPr="00987A66">
        <w:rPr>
          <w:b/>
          <w:bCs/>
          <w:color w:val="4472C4" w:themeColor="accent1"/>
          <w:sz w:val="32"/>
          <w:szCs w:val="32"/>
        </w:rPr>
        <w:t xml:space="preserve">ees and </w:t>
      </w:r>
      <w:r>
        <w:rPr>
          <w:b/>
          <w:bCs/>
          <w:color w:val="4472C4" w:themeColor="accent1"/>
          <w:sz w:val="32"/>
          <w:szCs w:val="32"/>
        </w:rPr>
        <w:t>O</w:t>
      </w:r>
      <w:r w:rsidRPr="00987A66">
        <w:rPr>
          <w:b/>
          <w:bCs/>
          <w:color w:val="4472C4" w:themeColor="accent1"/>
          <w:sz w:val="32"/>
          <w:szCs w:val="32"/>
        </w:rPr>
        <w:t xml:space="preserve">ther </w:t>
      </w:r>
      <w:r>
        <w:rPr>
          <w:b/>
          <w:bCs/>
          <w:color w:val="4472C4" w:themeColor="accent1"/>
          <w:sz w:val="32"/>
          <w:szCs w:val="32"/>
        </w:rPr>
        <w:t>D</w:t>
      </w:r>
      <w:r w:rsidRPr="00987A66">
        <w:rPr>
          <w:b/>
          <w:bCs/>
          <w:color w:val="4472C4" w:themeColor="accent1"/>
          <w:sz w:val="32"/>
          <w:szCs w:val="32"/>
        </w:rPr>
        <w:t>amages</w:t>
      </w:r>
    </w:p>
    <w:p w14:paraId="1BD1A3DF" w14:textId="77777777" w:rsidR="00987A66" w:rsidRDefault="00987A66" w:rsidP="00007D18">
      <w:pPr>
        <w:rPr>
          <w:color w:val="4472C4" w:themeColor="accent1"/>
          <w:sz w:val="32"/>
          <w:szCs w:val="32"/>
        </w:rPr>
      </w:pPr>
    </w:p>
    <w:p w14:paraId="6F60ED4B" w14:textId="08878A7D" w:rsidR="00007D18" w:rsidRPr="00987A66" w:rsidRDefault="00E03062" w:rsidP="00007D18">
      <w:pPr>
        <w:rPr>
          <w:color w:val="4472C4" w:themeColor="accent1"/>
          <w:sz w:val="32"/>
          <w:szCs w:val="32"/>
        </w:rPr>
      </w:pPr>
      <w:r w:rsidRPr="00987A66">
        <w:rPr>
          <w:color w:val="4472C4" w:themeColor="accent1"/>
          <w:sz w:val="32"/>
          <w:szCs w:val="32"/>
        </w:rPr>
        <w:t xml:space="preserve">THERE </w:t>
      </w:r>
      <w:proofErr w:type="gramStart"/>
      <w:r w:rsidRPr="00987A66">
        <w:rPr>
          <w:color w:val="4472C4" w:themeColor="accent1"/>
          <w:sz w:val="32"/>
          <w:szCs w:val="32"/>
        </w:rPr>
        <w:t>IS</w:t>
      </w:r>
      <w:proofErr w:type="gramEnd"/>
      <w:r w:rsidRPr="00987A66">
        <w:rPr>
          <w:color w:val="4472C4" w:themeColor="accent1"/>
          <w:sz w:val="32"/>
          <w:szCs w:val="32"/>
        </w:rPr>
        <w:t xml:space="preserve"> a</w:t>
      </w:r>
      <w:r w:rsidR="00007D18" w:rsidRPr="00987A66">
        <w:rPr>
          <w:b/>
          <w:bCs/>
          <w:color w:val="4472C4" w:themeColor="accent1"/>
          <w:sz w:val="32"/>
          <w:szCs w:val="32"/>
        </w:rPr>
        <w:t xml:space="preserve"> legal precedent</w:t>
      </w:r>
      <w:r w:rsidR="00007D18" w:rsidRPr="00987A66">
        <w:rPr>
          <w:color w:val="4472C4" w:themeColor="accent1"/>
          <w:sz w:val="32"/>
          <w:szCs w:val="32"/>
        </w:rPr>
        <w:t xml:space="preserve"> and </w:t>
      </w:r>
      <w:r w:rsidR="00007D18" w:rsidRPr="00987A66">
        <w:rPr>
          <w:b/>
          <w:bCs/>
          <w:color w:val="4472C4" w:themeColor="accent1"/>
          <w:sz w:val="32"/>
          <w:szCs w:val="32"/>
        </w:rPr>
        <w:t>theoretical legal grounds</w:t>
      </w:r>
      <w:r w:rsidR="00007D18" w:rsidRPr="00987A66">
        <w:rPr>
          <w:color w:val="4472C4" w:themeColor="accent1"/>
          <w:sz w:val="32"/>
          <w:szCs w:val="32"/>
        </w:rPr>
        <w:t xml:space="preserve"> under which </w:t>
      </w:r>
      <w:r w:rsidR="00007D18" w:rsidRPr="00987A66">
        <w:rPr>
          <w:b/>
          <w:bCs/>
          <w:color w:val="4472C4" w:themeColor="accent1"/>
          <w:sz w:val="32"/>
          <w:szCs w:val="32"/>
        </w:rPr>
        <w:t>parents may recover attorney’s fees and other damages</w:t>
      </w:r>
      <w:r w:rsidR="00007D18" w:rsidRPr="00987A66">
        <w:rPr>
          <w:color w:val="4472C4" w:themeColor="accent1"/>
          <w:sz w:val="32"/>
          <w:szCs w:val="32"/>
        </w:rPr>
        <w:t xml:space="preserve"> in certain situations </w:t>
      </w:r>
      <w:r w:rsidR="00007D18" w:rsidRPr="00987A66">
        <w:rPr>
          <w:i/>
          <w:iCs/>
          <w:color w:val="4472C4" w:themeColor="accent1"/>
          <w:sz w:val="32"/>
          <w:szCs w:val="32"/>
        </w:rPr>
        <w:t>even if they did not initially go to court</w:t>
      </w:r>
      <w:r w:rsidR="00007D18" w:rsidRPr="00987A66">
        <w:rPr>
          <w:color w:val="4472C4" w:themeColor="accent1"/>
          <w:sz w:val="32"/>
          <w:szCs w:val="32"/>
        </w:rPr>
        <w:t xml:space="preserve">, particularly under </w:t>
      </w:r>
      <w:r w:rsidR="00007D18" w:rsidRPr="00987A66">
        <w:rPr>
          <w:b/>
          <w:bCs/>
          <w:color w:val="4472C4" w:themeColor="accent1"/>
          <w:sz w:val="32"/>
          <w:szCs w:val="32"/>
        </w:rPr>
        <w:t>Section 504 of the Rehabilitation Act</w:t>
      </w:r>
      <w:r w:rsidR="00007D18" w:rsidRPr="00987A66">
        <w:rPr>
          <w:color w:val="4472C4" w:themeColor="accent1"/>
          <w:sz w:val="32"/>
          <w:szCs w:val="32"/>
        </w:rPr>
        <w:t xml:space="preserve">, the </w:t>
      </w:r>
      <w:r w:rsidR="00007D18" w:rsidRPr="00987A66">
        <w:rPr>
          <w:b/>
          <w:bCs/>
          <w:color w:val="4472C4" w:themeColor="accent1"/>
          <w:sz w:val="32"/>
          <w:szCs w:val="32"/>
        </w:rPr>
        <w:t>Americans with Disabilities Act (ADA)</w:t>
      </w:r>
      <w:r w:rsidR="00007D18" w:rsidRPr="00987A66">
        <w:rPr>
          <w:color w:val="4472C4" w:themeColor="accent1"/>
          <w:sz w:val="32"/>
          <w:szCs w:val="32"/>
        </w:rPr>
        <w:t xml:space="preserve">, and sometimes under </w:t>
      </w:r>
      <w:r w:rsidR="00007D18" w:rsidRPr="00987A66">
        <w:rPr>
          <w:b/>
          <w:bCs/>
          <w:color w:val="4472C4" w:themeColor="accent1"/>
          <w:sz w:val="32"/>
          <w:szCs w:val="32"/>
        </w:rPr>
        <w:t>IDEA (Individuals with Disabilities Education Act)</w:t>
      </w:r>
      <w:r w:rsidR="00007D18" w:rsidRPr="00987A66">
        <w:rPr>
          <w:color w:val="4472C4" w:themeColor="accent1"/>
          <w:sz w:val="32"/>
          <w:szCs w:val="32"/>
        </w:rPr>
        <w:t>. However, the outcome depends on the specific facts of the case and the jurisdiction. Here's a breakdown:</w:t>
      </w:r>
    </w:p>
    <w:p w14:paraId="747C45BD" w14:textId="6430AEBC" w:rsidR="00007D18" w:rsidRPr="00987A66" w:rsidRDefault="00007D18" w:rsidP="00007D18">
      <w:pPr>
        <w:rPr>
          <w:b/>
          <w:bCs/>
          <w:color w:val="4472C4" w:themeColor="accent1"/>
          <w:sz w:val="28"/>
          <w:szCs w:val="28"/>
        </w:rPr>
      </w:pPr>
      <w:r w:rsidRPr="00987A66">
        <w:rPr>
          <w:b/>
          <w:bCs/>
          <w:sz w:val="28"/>
          <w:szCs w:val="28"/>
        </w:rPr>
        <w:t xml:space="preserve"> </w:t>
      </w:r>
      <w:r w:rsidRPr="00987A66">
        <w:rPr>
          <w:b/>
          <w:bCs/>
          <w:color w:val="4472C4" w:themeColor="accent1"/>
          <w:sz w:val="28"/>
          <w:szCs w:val="28"/>
        </w:rPr>
        <w:t>1. IDEA: Attorney’s Fees</w:t>
      </w:r>
    </w:p>
    <w:p w14:paraId="5E8C484A" w14:textId="77777777" w:rsidR="00007D18" w:rsidRPr="00007D18" w:rsidRDefault="00007D18" w:rsidP="00007D18">
      <w:r w:rsidRPr="00007D18">
        <w:t xml:space="preserve">Under </w:t>
      </w:r>
      <w:r w:rsidRPr="00007D18">
        <w:rPr>
          <w:b/>
          <w:bCs/>
        </w:rPr>
        <w:t>IDEA</w:t>
      </w:r>
      <w:r w:rsidRPr="00007D18">
        <w:t xml:space="preserve">, parents </w:t>
      </w:r>
      <w:r w:rsidRPr="00007D18">
        <w:rPr>
          <w:b/>
          <w:bCs/>
        </w:rPr>
        <w:t>can recover attorney’s fees</w:t>
      </w:r>
      <w:r w:rsidRPr="00007D18">
        <w:t xml:space="preserve"> if:</w:t>
      </w:r>
    </w:p>
    <w:p w14:paraId="46BE16A0" w14:textId="77777777" w:rsidR="00007D18" w:rsidRPr="00007D18" w:rsidRDefault="00007D18" w:rsidP="00007D18">
      <w:pPr>
        <w:numPr>
          <w:ilvl w:val="0"/>
          <w:numId w:val="1"/>
        </w:numPr>
      </w:pPr>
      <w:r w:rsidRPr="00007D18">
        <w:t xml:space="preserve">They are the </w:t>
      </w:r>
      <w:r w:rsidRPr="00007D18">
        <w:rPr>
          <w:b/>
          <w:bCs/>
        </w:rPr>
        <w:t>prevailing party</w:t>
      </w:r>
      <w:r w:rsidRPr="00007D18">
        <w:t xml:space="preserve"> in a </w:t>
      </w:r>
      <w:r w:rsidRPr="00007D18">
        <w:rPr>
          <w:b/>
          <w:bCs/>
        </w:rPr>
        <w:t>due process hearing</w:t>
      </w:r>
      <w:r w:rsidRPr="00007D18">
        <w:t xml:space="preserve"> or </w:t>
      </w:r>
      <w:r w:rsidRPr="00007D18">
        <w:rPr>
          <w:b/>
          <w:bCs/>
        </w:rPr>
        <w:t>court action</w:t>
      </w:r>
      <w:r w:rsidRPr="00007D18">
        <w:t>.</w:t>
      </w:r>
    </w:p>
    <w:p w14:paraId="0576C681" w14:textId="77777777" w:rsidR="00007D18" w:rsidRPr="00007D18" w:rsidRDefault="00007D18" w:rsidP="00007D18">
      <w:pPr>
        <w:numPr>
          <w:ilvl w:val="0"/>
          <w:numId w:val="1"/>
        </w:numPr>
      </w:pPr>
      <w:r w:rsidRPr="00007D18">
        <w:t>Reimbursement may cover attorney’s fees, expert witness fees, and related costs.</w:t>
      </w:r>
    </w:p>
    <w:p w14:paraId="38A9F631" w14:textId="77777777" w:rsidR="00007D18" w:rsidRPr="00007D18" w:rsidRDefault="00007D18" w:rsidP="00007D18">
      <w:pPr>
        <w:numPr>
          <w:ilvl w:val="0"/>
          <w:numId w:val="1"/>
        </w:numPr>
      </w:pPr>
      <w:r w:rsidRPr="00007D18">
        <w:t xml:space="preserve">If the dispute is resolved through a </w:t>
      </w:r>
      <w:r w:rsidRPr="00007D18">
        <w:rPr>
          <w:b/>
          <w:bCs/>
        </w:rPr>
        <w:t>settlement</w:t>
      </w:r>
      <w:r w:rsidRPr="00007D18">
        <w:t xml:space="preserve">, reimbursement of fees </w:t>
      </w:r>
      <w:r w:rsidRPr="00007D18">
        <w:rPr>
          <w:b/>
          <w:bCs/>
        </w:rPr>
        <w:t>may or may not</w:t>
      </w:r>
      <w:r w:rsidRPr="00007D18">
        <w:t xml:space="preserve"> be part of the agreement.</w:t>
      </w:r>
    </w:p>
    <w:p w14:paraId="6F815E66" w14:textId="1391E017" w:rsidR="00007D18" w:rsidRPr="00007D18" w:rsidRDefault="00007D18" w:rsidP="00007D18">
      <w:r w:rsidRPr="00007D18">
        <w:t xml:space="preserve"> </w:t>
      </w:r>
      <w:r w:rsidRPr="00007D18">
        <w:rPr>
          <w:b/>
          <w:bCs/>
        </w:rPr>
        <w:t>BUT</w:t>
      </w:r>
      <w:r w:rsidRPr="00007D18">
        <w:t xml:space="preserve">: If parents never filed due process, courts generally do </w:t>
      </w:r>
      <w:r w:rsidRPr="00007D18">
        <w:rPr>
          <w:b/>
          <w:bCs/>
        </w:rPr>
        <w:t>not</w:t>
      </w:r>
      <w:r w:rsidRPr="00007D18">
        <w:t xml:space="preserve"> award attorney’s fees under IDEA alone.</w:t>
      </w:r>
    </w:p>
    <w:p w14:paraId="510F62F8" w14:textId="7C9FFB7A" w:rsidR="00007D18" w:rsidRPr="00987A66" w:rsidRDefault="00007D18" w:rsidP="00007D18">
      <w:pPr>
        <w:rPr>
          <w:b/>
          <w:bCs/>
          <w:color w:val="4472C4" w:themeColor="accent1"/>
          <w:sz w:val="28"/>
          <w:szCs w:val="28"/>
        </w:rPr>
      </w:pPr>
      <w:r w:rsidRPr="00007D18">
        <w:rPr>
          <w:b/>
          <w:bCs/>
        </w:rPr>
        <w:t xml:space="preserve"> </w:t>
      </w:r>
      <w:r w:rsidRPr="00987A66">
        <w:rPr>
          <w:b/>
          <w:bCs/>
          <w:color w:val="4472C4" w:themeColor="accent1"/>
          <w:sz w:val="28"/>
          <w:szCs w:val="28"/>
        </w:rPr>
        <w:t>2. Section 504 and ADA: Discrimination-Based Claims</w:t>
      </w:r>
    </w:p>
    <w:p w14:paraId="56549DEF" w14:textId="77777777" w:rsidR="00007D18" w:rsidRPr="00007D18" w:rsidRDefault="00007D18" w:rsidP="00007D18">
      <w:r w:rsidRPr="00007D18">
        <w:t xml:space="preserve">If a school district </w:t>
      </w:r>
      <w:r w:rsidRPr="00007D18">
        <w:rPr>
          <w:b/>
          <w:bCs/>
        </w:rPr>
        <w:t>repeatedly refuses to provide appropriate evidence-based reading interventions</w:t>
      </w:r>
      <w:r w:rsidRPr="00007D18">
        <w:t xml:space="preserve">, and this results in the child </w:t>
      </w:r>
      <w:r w:rsidRPr="00007D18">
        <w:rPr>
          <w:b/>
          <w:bCs/>
        </w:rPr>
        <w:t>not being able to access a free appropriate public education (FAPE)</w:t>
      </w:r>
      <w:r w:rsidRPr="00007D18">
        <w:t>, parents may argue:</w:t>
      </w:r>
    </w:p>
    <w:p w14:paraId="073BAB80" w14:textId="77777777" w:rsidR="00007D18" w:rsidRPr="00007D18" w:rsidRDefault="00007D18" w:rsidP="00007D18">
      <w:pPr>
        <w:numPr>
          <w:ilvl w:val="0"/>
          <w:numId w:val="2"/>
        </w:numPr>
      </w:pPr>
      <w:r w:rsidRPr="00007D18">
        <w:t xml:space="preserve">The district’s actions constitute </w:t>
      </w:r>
      <w:r w:rsidRPr="00007D18">
        <w:rPr>
          <w:b/>
          <w:bCs/>
        </w:rPr>
        <w:t>intentional discrimination</w:t>
      </w:r>
      <w:r w:rsidRPr="00007D18">
        <w:t xml:space="preserve"> under </w:t>
      </w:r>
      <w:r w:rsidRPr="00007D18">
        <w:rPr>
          <w:b/>
          <w:bCs/>
        </w:rPr>
        <w:t>Section 504 or Title II of the ADA</w:t>
      </w:r>
      <w:r w:rsidRPr="00007D18">
        <w:t>.</w:t>
      </w:r>
    </w:p>
    <w:p w14:paraId="172F0087" w14:textId="77777777" w:rsidR="00007D18" w:rsidRPr="00007D18" w:rsidRDefault="00007D18" w:rsidP="00007D18">
      <w:pPr>
        <w:numPr>
          <w:ilvl w:val="0"/>
          <w:numId w:val="2"/>
        </w:numPr>
      </w:pPr>
      <w:r w:rsidRPr="00007D18">
        <w:t xml:space="preserve">Courts have awarded </w:t>
      </w:r>
      <w:r w:rsidRPr="00007D18">
        <w:rPr>
          <w:b/>
          <w:bCs/>
        </w:rPr>
        <w:t>compensatory damages</w:t>
      </w:r>
      <w:r w:rsidRPr="00007D18">
        <w:t xml:space="preserve">, which can include </w:t>
      </w:r>
      <w:r w:rsidRPr="00007D18">
        <w:rPr>
          <w:b/>
          <w:bCs/>
        </w:rPr>
        <w:t>reimbursement for private evaluations, attorney’s fees, and services</w:t>
      </w:r>
      <w:r w:rsidRPr="00007D18">
        <w:t xml:space="preserve"> parents had to secure due to the school's failure.</w:t>
      </w:r>
    </w:p>
    <w:p w14:paraId="01340946" w14:textId="207F8097" w:rsidR="00007D18" w:rsidRPr="00987A66" w:rsidRDefault="00007D18" w:rsidP="00007D18">
      <w:pPr>
        <w:rPr>
          <w:color w:val="4472C4" w:themeColor="accent1"/>
          <w:sz w:val="28"/>
          <w:szCs w:val="28"/>
        </w:rPr>
      </w:pPr>
      <w:r w:rsidRPr="00987A66">
        <w:rPr>
          <w:color w:val="4472C4" w:themeColor="accent1"/>
          <w:sz w:val="28"/>
          <w:szCs w:val="28"/>
        </w:rPr>
        <w:t xml:space="preserve"> </w:t>
      </w:r>
      <w:r w:rsidRPr="00987A66">
        <w:rPr>
          <w:b/>
          <w:bCs/>
          <w:color w:val="4472C4" w:themeColor="accent1"/>
          <w:sz w:val="28"/>
          <w:szCs w:val="28"/>
        </w:rPr>
        <w:t>Key Cases:</w:t>
      </w:r>
    </w:p>
    <w:p w14:paraId="445467D2" w14:textId="77777777" w:rsidR="00007D18" w:rsidRPr="00007D18" w:rsidRDefault="00007D18" w:rsidP="00007D18">
      <w:pPr>
        <w:numPr>
          <w:ilvl w:val="0"/>
          <w:numId w:val="3"/>
        </w:numPr>
      </w:pPr>
      <w:r w:rsidRPr="00007D18">
        <w:rPr>
          <w:b/>
          <w:bCs/>
        </w:rPr>
        <w:t>Fry v. Napoleon Community Schools (2017)</w:t>
      </w:r>
      <w:r w:rsidRPr="00007D18">
        <w:t xml:space="preserve">: While focused on exhaustion of remedies under IDEA, the Supreme Court acknowledged that </w:t>
      </w:r>
      <w:r w:rsidRPr="00007D18">
        <w:rPr>
          <w:b/>
          <w:bCs/>
        </w:rPr>
        <w:t>disability discrimination claims can proceed separately under 504/ADA</w:t>
      </w:r>
      <w:r w:rsidRPr="00007D18">
        <w:t xml:space="preserve">, especially when alleging </w:t>
      </w:r>
      <w:r w:rsidRPr="00007D18">
        <w:rPr>
          <w:b/>
          <w:bCs/>
        </w:rPr>
        <w:t>denial of equal access or intentional discrimination</w:t>
      </w:r>
      <w:r w:rsidRPr="00007D18">
        <w:t>.</w:t>
      </w:r>
    </w:p>
    <w:p w14:paraId="751FAF44" w14:textId="77777777" w:rsidR="00007D18" w:rsidRPr="00007D18" w:rsidRDefault="00007D18" w:rsidP="00007D18">
      <w:pPr>
        <w:numPr>
          <w:ilvl w:val="0"/>
          <w:numId w:val="3"/>
        </w:numPr>
      </w:pPr>
      <w:r w:rsidRPr="00007D18">
        <w:rPr>
          <w:b/>
          <w:bCs/>
        </w:rPr>
        <w:t>Duvall v. County of Kitsap (9th Cir. 2001)</w:t>
      </w:r>
      <w:r w:rsidRPr="00007D18">
        <w:t xml:space="preserve">: Established that </w:t>
      </w:r>
      <w:r w:rsidRPr="00007D18">
        <w:rPr>
          <w:b/>
          <w:bCs/>
        </w:rPr>
        <w:t>intentional discrimination under ADA</w:t>
      </w:r>
      <w:r w:rsidRPr="00007D18">
        <w:t xml:space="preserve"> can be shown by </w:t>
      </w:r>
      <w:r w:rsidRPr="00007D18">
        <w:rPr>
          <w:b/>
          <w:bCs/>
        </w:rPr>
        <w:t>deliberate indifference</w:t>
      </w:r>
      <w:r w:rsidRPr="00007D18">
        <w:t>, not just animus — meaning, repeated failure to act on known needs may suffice.</w:t>
      </w:r>
    </w:p>
    <w:p w14:paraId="4BD5AF60" w14:textId="78BBC830" w:rsidR="00007D18" w:rsidRPr="00007D18" w:rsidRDefault="00007D18" w:rsidP="00007D18">
      <w:pPr>
        <w:numPr>
          <w:ilvl w:val="0"/>
          <w:numId w:val="3"/>
        </w:numPr>
      </w:pPr>
      <w:r w:rsidRPr="00007D18">
        <w:rPr>
          <w:b/>
          <w:bCs/>
        </w:rPr>
        <w:t xml:space="preserve">Mark H. v. </w:t>
      </w:r>
      <w:proofErr w:type="spellStart"/>
      <w:r w:rsidRPr="00007D18">
        <w:rPr>
          <w:b/>
          <w:bCs/>
        </w:rPr>
        <w:t>Lemahieu</w:t>
      </w:r>
      <w:proofErr w:type="spellEnd"/>
      <w:r w:rsidRPr="00007D18">
        <w:rPr>
          <w:b/>
          <w:bCs/>
        </w:rPr>
        <w:t xml:space="preserve"> (9th Cir. 2008)</w:t>
      </w:r>
      <w:r w:rsidRPr="00007D18">
        <w:t xml:space="preserve">: A plaintiff must show the district acted with “deliberate indifference” under Section 504 to recover </w:t>
      </w:r>
      <w:r w:rsidRPr="00007D18">
        <w:rPr>
          <w:b/>
          <w:bCs/>
        </w:rPr>
        <w:t>compensatory damages</w:t>
      </w:r>
      <w:r w:rsidRPr="00007D18">
        <w:t>, including expenses incurred by parents.</w:t>
      </w:r>
    </w:p>
    <w:p w14:paraId="5FB5C8BE" w14:textId="5674F1B4" w:rsidR="00007D18" w:rsidRPr="00987A66" w:rsidRDefault="00007D18" w:rsidP="00007D18">
      <w:pPr>
        <w:rPr>
          <w:b/>
          <w:bCs/>
          <w:color w:val="4472C4" w:themeColor="accent1"/>
          <w:sz w:val="28"/>
          <w:szCs w:val="28"/>
        </w:rPr>
      </w:pPr>
      <w:r w:rsidRPr="00007D18">
        <w:rPr>
          <w:b/>
          <w:bCs/>
        </w:rPr>
        <w:lastRenderedPageBreak/>
        <w:t xml:space="preserve"> </w:t>
      </w:r>
      <w:r w:rsidRPr="00987A66">
        <w:rPr>
          <w:b/>
          <w:bCs/>
          <w:color w:val="4472C4" w:themeColor="accent1"/>
          <w:sz w:val="28"/>
          <w:szCs w:val="28"/>
        </w:rPr>
        <w:t>What Must Be Shown:</w:t>
      </w:r>
    </w:p>
    <w:p w14:paraId="5BE31D2E" w14:textId="77777777" w:rsidR="00007D18" w:rsidRPr="00007D18" w:rsidRDefault="00007D18" w:rsidP="00007D18">
      <w:r w:rsidRPr="00007D18">
        <w:t xml:space="preserve">If parents wish to pursue </w:t>
      </w:r>
      <w:r w:rsidRPr="00007D18">
        <w:rPr>
          <w:b/>
          <w:bCs/>
        </w:rPr>
        <w:t>reimbursement of legal expenses without first going through due process</w:t>
      </w:r>
      <w:r w:rsidRPr="00007D18">
        <w:t>, they must:</w:t>
      </w:r>
    </w:p>
    <w:p w14:paraId="32E346BA" w14:textId="77777777" w:rsidR="00007D18" w:rsidRPr="00007D18" w:rsidRDefault="00007D18" w:rsidP="00007D18">
      <w:pPr>
        <w:numPr>
          <w:ilvl w:val="0"/>
          <w:numId w:val="4"/>
        </w:numPr>
      </w:pPr>
      <w:r w:rsidRPr="00007D18">
        <w:rPr>
          <w:b/>
          <w:bCs/>
        </w:rPr>
        <w:t>Document</w:t>
      </w:r>
      <w:r w:rsidRPr="00007D18">
        <w:t xml:space="preserve"> repeated </w:t>
      </w:r>
      <w:r w:rsidRPr="00007D18">
        <w:rPr>
          <w:b/>
          <w:bCs/>
        </w:rPr>
        <w:t>denials of appropriate services</w:t>
      </w:r>
      <w:r w:rsidRPr="00007D18">
        <w:t>, even after notice or expert recommendations.</w:t>
      </w:r>
    </w:p>
    <w:p w14:paraId="541D1F51" w14:textId="77777777" w:rsidR="00007D18" w:rsidRPr="00007D18" w:rsidRDefault="00007D18" w:rsidP="00007D18">
      <w:pPr>
        <w:numPr>
          <w:ilvl w:val="0"/>
          <w:numId w:val="4"/>
        </w:numPr>
      </w:pPr>
      <w:r w:rsidRPr="00007D18">
        <w:t xml:space="preserve">Show that the district was </w:t>
      </w:r>
      <w:r w:rsidRPr="00007D18">
        <w:rPr>
          <w:b/>
          <w:bCs/>
        </w:rPr>
        <w:t>aware of the child’s needs</w:t>
      </w:r>
      <w:r w:rsidRPr="00007D18">
        <w:t xml:space="preserve"> and </w:t>
      </w:r>
      <w:r w:rsidRPr="00007D18">
        <w:rPr>
          <w:b/>
          <w:bCs/>
        </w:rPr>
        <w:t>failed to act</w:t>
      </w:r>
      <w:r w:rsidRPr="00007D18">
        <w:t xml:space="preserve">, not just negligently, but with </w:t>
      </w:r>
      <w:r w:rsidRPr="00007D18">
        <w:rPr>
          <w:b/>
          <w:bCs/>
        </w:rPr>
        <w:t>deliberate indifference</w:t>
      </w:r>
      <w:r w:rsidRPr="00007D18">
        <w:t>.</w:t>
      </w:r>
    </w:p>
    <w:p w14:paraId="5573571F" w14:textId="7B9A100F" w:rsidR="00007D18" w:rsidRPr="00007D18" w:rsidRDefault="00007D18" w:rsidP="00007D18">
      <w:pPr>
        <w:numPr>
          <w:ilvl w:val="0"/>
          <w:numId w:val="4"/>
        </w:numPr>
      </w:pPr>
      <w:r w:rsidRPr="00007D18">
        <w:t xml:space="preserve">Prove that their </w:t>
      </w:r>
      <w:r w:rsidRPr="00007D18">
        <w:rPr>
          <w:b/>
          <w:bCs/>
        </w:rPr>
        <w:t>legal advocacy costs</w:t>
      </w:r>
      <w:r w:rsidRPr="00007D18">
        <w:t xml:space="preserve"> (lawyer consultations, letters, evaluations) were </w:t>
      </w:r>
      <w:r w:rsidRPr="00007D18">
        <w:rPr>
          <w:b/>
          <w:bCs/>
        </w:rPr>
        <w:t>necessary to obtain services</w:t>
      </w:r>
      <w:r w:rsidRPr="00007D18">
        <w:t xml:space="preserve"> the school should have provided.</w:t>
      </w:r>
    </w:p>
    <w:p w14:paraId="44E232D4" w14:textId="5F695FDA" w:rsidR="00007D18" w:rsidRPr="00987A66" w:rsidRDefault="00007D18" w:rsidP="00007D18">
      <w:pPr>
        <w:rPr>
          <w:b/>
          <w:bCs/>
          <w:color w:val="4472C4" w:themeColor="accent1"/>
          <w:sz w:val="28"/>
          <w:szCs w:val="28"/>
        </w:rPr>
      </w:pPr>
      <w:r w:rsidRPr="00007D18">
        <w:rPr>
          <w:b/>
          <w:bCs/>
        </w:rPr>
        <w:t xml:space="preserve"> </w:t>
      </w:r>
      <w:r w:rsidRPr="00987A66">
        <w:rPr>
          <w:b/>
          <w:bCs/>
          <w:color w:val="4472C4" w:themeColor="accent1"/>
          <w:sz w:val="28"/>
          <w:szCs w:val="28"/>
        </w:rPr>
        <w:t>Important Note:</w:t>
      </w:r>
    </w:p>
    <w:p w14:paraId="34C4BE71" w14:textId="77777777" w:rsidR="00007D18" w:rsidRPr="00007D18" w:rsidRDefault="00007D18" w:rsidP="00007D18">
      <w:pPr>
        <w:numPr>
          <w:ilvl w:val="0"/>
          <w:numId w:val="5"/>
        </w:numPr>
      </w:pPr>
      <w:r w:rsidRPr="00007D18">
        <w:rPr>
          <w:b/>
          <w:bCs/>
        </w:rPr>
        <w:t>Simply hiring an attorney</w:t>
      </w:r>
      <w:r w:rsidRPr="00007D18">
        <w:t xml:space="preserve"> to write letters or attend IEPs doesn’t automatically entitle you to reimbursement.</w:t>
      </w:r>
    </w:p>
    <w:p w14:paraId="4EC97105" w14:textId="3243C3FC" w:rsidR="00007D18" w:rsidRPr="00007D18" w:rsidRDefault="00007D18" w:rsidP="00007D18">
      <w:pPr>
        <w:numPr>
          <w:ilvl w:val="0"/>
          <w:numId w:val="5"/>
        </w:numPr>
      </w:pPr>
      <w:r w:rsidRPr="00007D18">
        <w:t xml:space="preserve">However, if the </w:t>
      </w:r>
      <w:r w:rsidRPr="00007D18">
        <w:rPr>
          <w:b/>
          <w:bCs/>
        </w:rPr>
        <w:t>district only began to act appropriately due to legal pressure</w:t>
      </w:r>
      <w:r w:rsidRPr="00007D18">
        <w:t xml:space="preserve">, and their prior failures were well documented and egregious, some courts have ruled that </w:t>
      </w:r>
      <w:r w:rsidRPr="00007D18">
        <w:rPr>
          <w:b/>
          <w:bCs/>
        </w:rPr>
        <w:t>reimbursement of expenses, including legal ones, may be justified under civil rights statutes.</w:t>
      </w:r>
    </w:p>
    <w:p w14:paraId="2101B3D8" w14:textId="688F29C0" w:rsidR="00007D18" w:rsidRPr="00987A66" w:rsidRDefault="00007D18" w:rsidP="00007D18">
      <w:pPr>
        <w:rPr>
          <w:b/>
          <w:bCs/>
          <w:i/>
          <w:iCs/>
          <w:color w:val="4472C4" w:themeColor="accent1"/>
          <w:sz w:val="28"/>
          <w:szCs w:val="28"/>
          <w:u w:val="single"/>
        </w:rPr>
      </w:pPr>
      <w:r w:rsidRPr="00007D18">
        <w:rPr>
          <w:b/>
          <w:bCs/>
        </w:rPr>
        <w:t xml:space="preserve"> </w:t>
      </w:r>
      <w:r w:rsidRPr="00987A66">
        <w:rPr>
          <w:b/>
          <w:bCs/>
          <w:i/>
          <w:iCs/>
          <w:color w:val="4472C4" w:themeColor="accent1"/>
          <w:sz w:val="28"/>
          <w:szCs w:val="28"/>
          <w:u w:val="single"/>
        </w:rPr>
        <w:t>Takeaway for Advocacy Handout or Letter:</w:t>
      </w:r>
    </w:p>
    <w:p w14:paraId="595D35F1" w14:textId="77777777" w:rsidR="00007D18" w:rsidRPr="00987A66" w:rsidRDefault="00007D18" w:rsidP="00007D18">
      <w:pPr>
        <w:rPr>
          <w:i/>
          <w:iCs/>
          <w:color w:val="4472C4" w:themeColor="accent1"/>
          <w:sz w:val="28"/>
          <w:szCs w:val="28"/>
        </w:rPr>
      </w:pPr>
      <w:r w:rsidRPr="00987A66">
        <w:rPr>
          <w:i/>
          <w:iCs/>
          <w:color w:val="4472C4" w:themeColor="accent1"/>
          <w:sz w:val="28"/>
          <w:szCs w:val="28"/>
        </w:rPr>
        <w:t xml:space="preserve">When a school district continually refuses to provide an appropriate, evidence-based reading program for a child with dyslexia, despite clear notice and documentation, parents may incur legal expenses out of necessity—not choice. If those services were only made available after retaining legal counsel or educational experts, and the denial reflects a pattern of </w:t>
      </w:r>
      <w:r w:rsidRPr="00987A66">
        <w:rPr>
          <w:b/>
          <w:bCs/>
          <w:i/>
          <w:iCs/>
          <w:color w:val="4472C4" w:themeColor="accent1"/>
          <w:sz w:val="28"/>
          <w:szCs w:val="28"/>
        </w:rPr>
        <w:t>deliberate indifference</w:t>
      </w:r>
      <w:r w:rsidRPr="00987A66">
        <w:rPr>
          <w:i/>
          <w:iCs/>
          <w:color w:val="4472C4" w:themeColor="accent1"/>
          <w:sz w:val="28"/>
          <w:szCs w:val="28"/>
        </w:rPr>
        <w:t xml:space="preserve">, parents may be entitled to seek </w:t>
      </w:r>
      <w:r w:rsidRPr="00987A66">
        <w:rPr>
          <w:b/>
          <w:bCs/>
          <w:i/>
          <w:iCs/>
          <w:color w:val="4472C4" w:themeColor="accent1"/>
          <w:sz w:val="28"/>
          <w:szCs w:val="28"/>
        </w:rPr>
        <w:t>compensatory damages</w:t>
      </w:r>
      <w:r w:rsidRPr="00987A66">
        <w:rPr>
          <w:i/>
          <w:iCs/>
          <w:color w:val="4472C4" w:themeColor="accent1"/>
          <w:sz w:val="28"/>
          <w:szCs w:val="28"/>
        </w:rPr>
        <w:t xml:space="preserve">, including attorney’s fees, under </w:t>
      </w:r>
      <w:r w:rsidRPr="00987A66">
        <w:rPr>
          <w:b/>
          <w:bCs/>
          <w:i/>
          <w:iCs/>
          <w:color w:val="4472C4" w:themeColor="accent1"/>
          <w:sz w:val="28"/>
          <w:szCs w:val="28"/>
        </w:rPr>
        <w:t>Section 504 or the ADA</w:t>
      </w:r>
      <w:r w:rsidRPr="00987A66">
        <w:rPr>
          <w:i/>
          <w:iCs/>
          <w:color w:val="4472C4" w:themeColor="accent1"/>
          <w:sz w:val="28"/>
          <w:szCs w:val="28"/>
        </w:rPr>
        <w:t xml:space="preserve">. Denial of access to a proper reading intervention is not merely an administrative failure—it can constitute </w:t>
      </w:r>
      <w:r w:rsidRPr="00987A66">
        <w:rPr>
          <w:b/>
          <w:bCs/>
          <w:i/>
          <w:iCs/>
          <w:color w:val="4472C4" w:themeColor="accent1"/>
          <w:sz w:val="28"/>
          <w:szCs w:val="28"/>
        </w:rPr>
        <w:t>disability discrimination</w:t>
      </w:r>
      <w:r w:rsidRPr="00987A66">
        <w:rPr>
          <w:i/>
          <w:iCs/>
          <w:color w:val="4472C4" w:themeColor="accent1"/>
          <w:sz w:val="28"/>
          <w:szCs w:val="28"/>
        </w:rPr>
        <w:t>.</w:t>
      </w:r>
    </w:p>
    <w:p w14:paraId="67EB3B89" w14:textId="551947F1" w:rsidR="00007D18" w:rsidRPr="00987A66" w:rsidRDefault="00007D18" w:rsidP="00007D18">
      <w:pPr>
        <w:rPr>
          <w:i/>
          <w:iCs/>
          <w:color w:val="4472C4" w:themeColor="accent1"/>
          <w:sz w:val="28"/>
          <w:szCs w:val="28"/>
        </w:rPr>
      </w:pPr>
    </w:p>
    <w:p w14:paraId="1CF85080" w14:textId="5AA45887" w:rsidR="00007D18" w:rsidRPr="00E537A3" w:rsidRDefault="00E03062" w:rsidP="00007D18">
      <w:pPr>
        <w:rPr>
          <w:color w:val="4472C4" w:themeColor="accent1"/>
          <w:sz w:val="32"/>
          <w:szCs w:val="32"/>
        </w:rPr>
      </w:pPr>
      <w:r w:rsidRPr="00987A66">
        <w:rPr>
          <w:color w:val="4472C4" w:themeColor="accent1"/>
          <w:sz w:val="32"/>
          <w:szCs w:val="32"/>
        </w:rPr>
        <w:t>L</w:t>
      </w:r>
      <w:r w:rsidR="00007D18" w:rsidRPr="00987A66">
        <w:rPr>
          <w:color w:val="4472C4" w:themeColor="accent1"/>
          <w:sz w:val="32"/>
          <w:szCs w:val="32"/>
        </w:rPr>
        <w:t>egal rights of families to seek reimbursement for attorney’s fees and related costs when schools repeatedly refuse to provide appropriate dyslexia services—even without going to court.</w:t>
      </w:r>
    </w:p>
    <w:p w14:paraId="7D350860" w14:textId="60C7663A" w:rsidR="00007D18" w:rsidRPr="00007D18" w:rsidRDefault="00007D18" w:rsidP="00007D18">
      <w:r w:rsidRPr="00987A66">
        <w:rPr>
          <w:b/>
          <w:bCs/>
          <w:color w:val="4472C4" w:themeColor="accent1"/>
        </w:rPr>
        <w:t xml:space="preserve"> KNOW YOUR RIGHTS: </w:t>
      </w:r>
      <w:r w:rsidRPr="00007D18">
        <w:rPr>
          <w:b/>
          <w:bCs/>
        </w:rPr>
        <w:t>Reimbursement for Legal Costs in Dyslexia Advocacy</w:t>
      </w:r>
    </w:p>
    <w:p w14:paraId="2873D20F" w14:textId="657854D5" w:rsidR="00007D18" w:rsidRPr="00E537A3" w:rsidRDefault="00007D18" w:rsidP="00007D18">
      <w:pPr>
        <w:rPr>
          <w:b/>
          <w:bCs/>
          <w:color w:val="4472C4" w:themeColor="accent1"/>
          <w:sz w:val="28"/>
          <w:szCs w:val="28"/>
        </w:rPr>
      </w:pPr>
      <w:r w:rsidRPr="00E537A3">
        <w:rPr>
          <w:b/>
          <w:bCs/>
          <w:color w:val="4472C4" w:themeColor="accent1"/>
          <w:sz w:val="28"/>
          <w:szCs w:val="28"/>
        </w:rPr>
        <w:t>What Happens When Schools Refuse to Act?</w:t>
      </w:r>
    </w:p>
    <w:p w14:paraId="7E4E46F6" w14:textId="77777777" w:rsidR="00007D18" w:rsidRPr="00007D18" w:rsidRDefault="00007D18" w:rsidP="00007D18">
      <w:r w:rsidRPr="00007D18">
        <w:t xml:space="preserve">When a school </w:t>
      </w:r>
      <w:r w:rsidRPr="00007D18">
        <w:rPr>
          <w:b/>
          <w:bCs/>
        </w:rPr>
        <w:t>fails to provide evidence-based intervention</w:t>
      </w:r>
      <w:r w:rsidRPr="00007D18">
        <w:t xml:space="preserve"> for a student with dyslexia—</w:t>
      </w:r>
      <w:r w:rsidRPr="00007D18">
        <w:rPr>
          <w:b/>
          <w:bCs/>
        </w:rPr>
        <w:t>despite repeated requests, evaluations, and expert recommendations</w:t>
      </w:r>
      <w:r w:rsidRPr="00007D18">
        <w:t>—families are often forced to hire attorneys, private tutors, or specialists to secure their child’s right to read.</w:t>
      </w:r>
    </w:p>
    <w:p w14:paraId="249E4328" w14:textId="3606A11A" w:rsidR="00E03062" w:rsidRDefault="00007D18" w:rsidP="00007D18">
      <w:r w:rsidRPr="00007D18">
        <w:lastRenderedPageBreak/>
        <w:t xml:space="preserve">These expenses can be </w:t>
      </w:r>
      <w:r w:rsidRPr="00007D18">
        <w:rPr>
          <w:b/>
          <w:bCs/>
        </w:rPr>
        <w:t>substantial</w:t>
      </w:r>
      <w:r w:rsidRPr="00007D18">
        <w:t xml:space="preserve">, and they occur </w:t>
      </w:r>
      <w:r w:rsidRPr="00007D18">
        <w:rPr>
          <w:b/>
          <w:bCs/>
        </w:rPr>
        <w:t>because of the school’s inaction</w:t>
      </w:r>
      <w:r w:rsidRPr="00007D18">
        <w:t>, not because parents “opt out” of the system.</w:t>
      </w:r>
    </w:p>
    <w:p w14:paraId="7A968F66" w14:textId="6683154B" w:rsidR="00007D18" w:rsidRPr="00987A66" w:rsidRDefault="00007D18" w:rsidP="00007D18">
      <w:pPr>
        <w:rPr>
          <w:color w:val="4472C4" w:themeColor="accent1"/>
          <w:sz w:val="28"/>
          <w:szCs w:val="28"/>
        </w:rPr>
      </w:pPr>
      <w:r w:rsidRPr="00987A66">
        <w:rPr>
          <w:b/>
          <w:bCs/>
          <w:color w:val="4472C4" w:themeColor="accent1"/>
          <w:sz w:val="28"/>
          <w:szCs w:val="28"/>
        </w:rPr>
        <w:t>Can Families Be Reimbursed for Legal Costs?</w:t>
      </w:r>
    </w:p>
    <w:p w14:paraId="7D0822A1" w14:textId="77777777" w:rsidR="00007D18" w:rsidRPr="00007D18" w:rsidRDefault="00007D18" w:rsidP="00007D18">
      <w:r w:rsidRPr="00007D18">
        <w:rPr>
          <w:b/>
          <w:bCs/>
        </w:rPr>
        <w:t>Yes—In Certain Cases.</w:t>
      </w:r>
    </w:p>
    <w:p w14:paraId="3C256DF4" w14:textId="77777777" w:rsidR="00007D18" w:rsidRPr="00007D18" w:rsidRDefault="00007D18" w:rsidP="00007D18">
      <w:r w:rsidRPr="00007D18">
        <w:t xml:space="preserve">While reimbursement under the </w:t>
      </w:r>
      <w:r w:rsidRPr="00007D18">
        <w:rPr>
          <w:b/>
          <w:bCs/>
        </w:rPr>
        <w:t>Individuals with Disabilities Education Act (IDEA)</w:t>
      </w:r>
      <w:r w:rsidRPr="00007D18">
        <w:t xml:space="preserve"> typically requires a formal hearing or court ruling, families may also seek reimbursement through </w:t>
      </w:r>
      <w:r w:rsidRPr="00007D18">
        <w:rPr>
          <w:b/>
          <w:bCs/>
        </w:rPr>
        <w:t>civil rights laws</w:t>
      </w:r>
      <w:r w:rsidRPr="00007D18">
        <w:t xml:space="preserve"> like:</w:t>
      </w:r>
    </w:p>
    <w:p w14:paraId="02F80009" w14:textId="77777777" w:rsidR="00007D18" w:rsidRPr="00007D18" w:rsidRDefault="00007D18" w:rsidP="00007D18">
      <w:pPr>
        <w:numPr>
          <w:ilvl w:val="0"/>
          <w:numId w:val="6"/>
        </w:numPr>
      </w:pPr>
      <w:r w:rsidRPr="00007D18">
        <w:rPr>
          <w:b/>
          <w:bCs/>
        </w:rPr>
        <w:t>Section 504 of the Rehabilitation Act</w:t>
      </w:r>
    </w:p>
    <w:p w14:paraId="7F261D4D" w14:textId="77777777" w:rsidR="00007D18" w:rsidRPr="00007D18" w:rsidRDefault="00007D18" w:rsidP="00007D18">
      <w:pPr>
        <w:numPr>
          <w:ilvl w:val="0"/>
          <w:numId w:val="6"/>
        </w:numPr>
      </w:pPr>
      <w:r w:rsidRPr="00007D18">
        <w:rPr>
          <w:b/>
          <w:bCs/>
        </w:rPr>
        <w:t>Title II of the Americans with Disabilities Act (ADA)</w:t>
      </w:r>
    </w:p>
    <w:p w14:paraId="743F107A" w14:textId="77777777" w:rsidR="00007D18" w:rsidRPr="00007D18" w:rsidRDefault="00007D18" w:rsidP="00007D18">
      <w:r w:rsidRPr="00007D18">
        <w:t xml:space="preserve">These laws </w:t>
      </w:r>
      <w:r w:rsidRPr="00007D18">
        <w:rPr>
          <w:b/>
          <w:bCs/>
        </w:rPr>
        <w:t>prohibit disability-based discrimination</w:t>
      </w:r>
      <w:r w:rsidRPr="00007D18">
        <w:t xml:space="preserve">, including </w:t>
      </w:r>
      <w:r w:rsidRPr="00007D18">
        <w:rPr>
          <w:b/>
          <w:bCs/>
        </w:rPr>
        <w:t>failure to provide appropriate accommodations or interventions</w:t>
      </w:r>
      <w:r w:rsidRPr="00007D18">
        <w:t>.</w:t>
      </w:r>
    </w:p>
    <w:p w14:paraId="5DA16883" w14:textId="4DD4CE30" w:rsidR="00007D18" w:rsidRPr="00987A66" w:rsidRDefault="00007D18" w:rsidP="00007D18">
      <w:pPr>
        <w:rPr>
          <w:b/>
          <w:bCs/>
          <w:color w:val="4472C4" w:themeColor="accent1"/>
          <w:sz w:val="28"/>
          <w:szCs w:val="28"/>
        </w:rPr>
      </w:pPr>
      <w:r w:rsidRPr="00007D18">
        <w:rPr>
          <w:b/>
          <w:bCs/>
        </w:rPr>
        <w:t xml:space="preserve"> </w:t>
      </w:r>
      <w:r w:rsidRPr="00987A66">
        <w:rPr>
          <w:b/>
          <w:bCs/>
          <w:color w:val="4472C4" w:themeColor="accent1"/>
          <w:sz w:val="28"/>
          <w:szCs w:val="28"/>
        </w:rPr>
        <w:t>Legal Grounds for Reimbursement Without Going to Court</w:t>
      </w:r>
    </w:p>
    <w:p w14:paraId="1433587D" w14:textId="77777777" w:rsidR="00007D18" w:rsidRPr="00007D18" w:rsidRDefault="00007D18" w:rsidP="00007D18">
      <w:r w:rsidRPr="00007D18">
        <w:t xml:space="preserve">Under </w:t>
      </w:r>
      <w:r w:rsidRPr="00007D18">
        <w:rPr>
          <w:b/>
          <w:bCs/>
        </w:rPr>
        <w:t>504 and ADA</w:t>
      </w:r>
      <w:r w:rsidRPr="00007D18">
        <w:t>, a family may recover expenses if they can show:</w:t>
      </w:r>
    </w:p>
    <w:p w14:paraId="0B38EF85" w14:textId="68F32B77" w:rsidR="00007D18" w:rsidRPr="00007D18" w:rsidRDefault="00007D18" w:rsidP="00007D18">
      <w:r w:rsidRPr="00007D18">
        <w:t xml:space="preserve"> The school district </w:t>
      </w:r>
      <w:r w:rsidRPr="00007D18">
        <w:rPr>
          <w:b/>
          <w:bCs/>
        </w:rPr>
        <w:t>knew</w:t>
      </w:r>
      <w:r w:rsidRPr="00007D18">
        <w:t xml:space="preserve"> the student had a disability (dyslexia)</w:t>
      </w:r>
      <w:r w:rsidRPr="00007D18">
        <w:br/>
        <w:t xml:space="preserve"> The district </w:t>
      </w:r>
      <w:r w:rsidRPr="00007D18">
        <w:rPr>
          <w:b/>
          <w:bCs/>
        </w:rPr>
        <w:t>failed to provide appropriate, evidence-based intervention</w:t>
      </w:r>
      <w:r w:rsidRPr="00007D18">
        <w:br/>
        <w:t xml:space="preserve"> Parents had to hire professionals or attorneys </w:t>
      </w:r>
      <w:r w:rsidRPr="00007D18">
        <w:rPr>
          <w:b/>
          <w:bCs/>
        </w:rPr>
        <w:t>to access needed services</w:t>
      </w:r>
      <w:r w:rsidRPr="00007D18">
        <w:br/>
        <w:t xml:space="preserve"> The district acted with </w:t>
      </w:r>
      <w:r w:rsidRPr="00007D18">
        <w:rPr>
          <w:b/>
          <w:bCs/>
        </w:rPr>
        <w:t>“deliberate indifference”</w:t>
      </w:r>
      <w:r w:rsidRPr="00007D18">
        <w:t>—ignoring the student’s needs despite repeated notice</w:t>
      </w:r>
    </w:p>
    <w:p w14:paraId="224985BA" w14:textId="4545A2C6" w:rsidR="00007D18" w:rsidRPr="00E537A3" w:rsidRDefault="00007D18" w:rsidP="00007D18">
      <w:pPr>
        <w:rPr>
          <w:b/>
          <w:bCs/>
          <w:color w:val="4472C4" w:themeColor="accent1"/>
          <w:sz w:val="28"/>
          <w:szCs w:val="28"/>
        </w:rPr>
      </w:pPr>
      <w:r w:rsidRPr="00007D18">
        <w:rPr>
          <w:b/>
          <w:bCs/>
        </w:rPr>
        <w:t xml:space="preserve"> </w:t>
      </w:r>
      <w:r w:rsidRPr="00E537A3">
        <w:rPr>
          <w:b/>
          <w:bCs/>
          <w:color w:val="4472C4" w:themeColor="accent1"/>
          <w:sz w:val="28"/>
          <w:szCs w:val="28"/>
        </w:rPr>
        <w:t>Key Legal Cases</w:t>
      </w:r>
    </w:p>
    <w:p w14:paraId="799C0430" w14:textId="77777777" w:rsidR="00007D18" w:rsidRPr="00007D18" w:rsidRDefault="00007D18" w:rsidP="00007D18">
      <w:pPr>
        <w:numPr>
          <w:ilvl w:val="0"/>
          <w:numId w:val="7"/>
        </w:numPr>
      </w:pPr>
      <w:r w:rsidRPr="00007D18">
        <w:rPr>
          <w:b/>
          <w:bCs/>
        </w:rPr>
        <w:t>Fry v. Napoleon Community Schools (2017):</w:t>
      </w:r>
      <w:r w:rsidRPr="00007D18">
        <w:t xml:space="preserve"> Civil rights claims can proceed </w:t>
      </w:r>
      <w:r w:rsidRPr="00007D18">
        <w:rPr>
          <w:b/>
          <w:bCs/>
        </w:rPr>
        <w:t>independently</w:t>
      </w:r>
      <w:r w:rsidRPr="00007D18">
        <w:t xml:space="preserve"> of IDEA.</w:t>
      </w:r>
    </w:p>
    <w:p w14:paraId="71599A8C" w14:textId="77777777" w:rsidR="00007D18" w:rsidRPr="00007D18" w:rsidRDefault="00007D18" w:rsidP="00007D18">
      <w:pPr>
        <w:numPr>
          <w:ilvl w:val="0"/>
          <w:numId w:val="7"/>
        </w:numPr>
      </w:pPr>
      <w:r w:rsidRPr="00007D18">
        <w:rPr>
          <w:b/>
          <w:bCs/>
        </w:rPr>
        <w:t>Duvall v. County of Kitsap (9th Cir. 2001):</w:t>
      </w:r>
      <w:r w:rsidRPr="00007D18">
        <w:t xml:space="preserve"> Courts may award damages for </w:t>
      </w:r>
      <w:r w:rsidRPr="00007D18">
        <w:rPr>
          <w:b/>
          <w:bCs/>
        </w:rPr>
        <w:t>deliberate indifference</w:t>
      </w:r>
      <w:r w:rsidRPr="00007D18">
        <w:t xml:space="preserve"> under ADA.</w:t>
      </w:r>
    </w:p>
    <w:p w14:paraId="158AE978" w14:textId="77777777" w:rsidR="00007D18" w:rsidRPr="00007D18" w:rsidRDefault="00007D18" w:rsidP="00007D18">
      <w:pPr>
        <w:numPr>
          <w:ilvl w:val="0"/>
          <w:numId w:val="7"/>
        </w:numPr>
      </w:pPr>
      <w:r w:rsidRPr="00007D18">
        <w:rPr>
          <w:b/>
          <w:bCs/>
        </w:rPr>
        <w:t xml:space="preserve">Mark H. v. </w:t>
      </w:r>
      <w:proofErr w:type="spellStart"/>
      <w:r w:rsidRPr="00007D18">
        <w:rPr>
          <w:b/>
          <w:bCs/>
        </w:rPr>
        <w:t>Lemahieu</w:t>
      </w:r>
      <w:proofErr w:type="spellEnd"/>
      <w:r w:rsidRPr="00007D18">
        <w:rPr>
          <w:b/>
          <w:bCs/>
        </w:rPr>
        <w:t xml:space="preserve"> (9th Cir. 2008):</w:t>
      </w:r>
      <w:r w:rsidRPr="00007D18">
        <w:t xml:space="preserve"> Reimbursement for services and legal costs is possible if discrimination is proven.</w:t>
      </w:r>
    </w:p>
    <w:p w14:paraId="52AC838E" w14:textId="1B824FF7" w:rsidR="00007D18" w:rsidRPr="00E537A3" w:rsidRDefault="00007D18" w:rsidP="00007D18">
      <w:pPr>
        <w:rPr>
          <w:b/>
          <w:bCs/>
          <w:color w:val="4472C4" w:themeColor="accent1"/>
          <w:sz w:val="28"/>
          <w:szCs w:val="28"/>
        </w:rPr>
      </w:pPr>
      <w:r w:rsidRPr="00007D18">
        <w:rPr>
          <w:b/>
          <w:bCs/>
        </w:rPr>
        <w:t xml:space="preserve"> </w:t>
      </w:r>
      <w:r w:rsidRPr="00E537A3">
        <w:rPr>
          <w:b/>
          <w:bCs/>
          <w:color w:val="4472C4" w:themeColor="accent1"/>
          <w:sz w:val="28"/>
          <w:szCs w:val="28"/>
        </w:rPr>
        <w:t>What This Means for Families</w:t>
      </w:r>
    </w:p>
    <w:p w14:paraId="3F3FBD12" w14:textId="77777777" w:rsidR="00007D18" w:rsidRPr="00007D18" w:rsidRDefault="00007D18" w:rsidP="00007D18">
      <w:r w:rsidRPr="00007D18">
        <w:t>If you paid for:</w:t>
      </w:r>
    </w:p>
    <w:p w14:paraId="0B453741" w14:textId="77777777" w:rsidR="00007D18" w:rsidRPr="00007D18" w:rsidRDefault="00007D18" w:rsidP="00007D18">
      <w:pPr>
        <w:numPr>
          <w:ilvl w:val="0"/>
          <w:numId w:val="8"/>
        </w:numPr>
      </w:pPr>
      <w:r w:rsidRPr="00007D18">
        <w:t>A private evaluation because the school refused to test</w:t>
      </w:r>
    </w:p>
    <w:p w14:paraId="796578AC" w14:textId="77777777" w:rsidR="00007D18" w:rsidRPr="00007D18" w:rsidRDefault="00007D18" w:rsidP="00007D18">
      <w:pPr>
        <w:numPr>
          <w:ilvl w:val="0"/>
          <w:numId w:val="8"/>
        </w:numPr>
        <w:rPr>
          <w:b/>
          <w:bCs/>
        </w:rPr>
      </w:pPr>
      <w:r w:rsidRPr="00007D18">
        <w:rPr>
          <w:b/>
          <w:bCs/>
        </w:rPr>
        <w:t>Attorney’s fees to compel action at IEP meetings</w:t>
      </w:r>
    </w:p>
    <w:p w14:paraId="44D36A4D" w14:textId="77777777" w:rsidR="00007D18" w:rsidRPr="00007D18" w:rsidRDefault="00007D18" w:rsidP="00007D18">
      <w:pPr>
        <w:numPr>
          <w:ilvl w:val="0"/>
          <w:numId w:val="8"/>
        </w:numPr>
      </w:pPr>
      <w:r w:rsidRPr="00007D18">
        <w:t>Tutoring or reading programs because no appropriate services were offered</w:t>
      </w:r>
    </w:p>
    <w:p w14:paraId="7DA1E3B6" w14:textId="77777777" w:rsidR="00007D18" w:rsidRPr="00007D18" w:rsidRDefault="00007D18" w:rsidP="00007D18">
      <w:r w:rsidRPr="00007D18">
        <w:t xml:space="preserve">...you may have a right to </w:t>
      </w:r>
      <w:r w:rsidRPr="00007D18">
        <w:rPr>
          <w:b/>
          <w:bCs/>
        </w:rPr>
        <w:t>seek reimbursement</w:t>
      </w:r>
      <w:r w:rsidRPr="00007D18">
        <w:t xml:space="preserve">—especially if these costs were necessary due to the school’s ongoing refusal to provide a </w:t>
      </w:r>
      <w:r w:rsidRPr="00007D18">
        <w:rPr>
          <w:b/>
          <w:bCs/>
        </w:rPr>
        <w:t>free and appropriate public education (FAPE)</w:t>
      </w:r>
      <w:r w:rsidRPr="00007D18">
        <w:t xml:space="preserve"> under federal law.</w:t>
      </w:r>
    </w:p>
    <w:p w14:paraId="46A9B1DB" w14:textId="08A3BA24" w:rsidR="00007D18" w:rsidRPr="00007D18" w:rsidRDefault="00007D18" w:rsidP="00007D18"/>
    <w:p w14:paraId="11304A15" w14:textId="77777777" w:rsidR="00E03062" w:rsidRDefault="00007D18" w:rsidP="00007D18">
      <w:pPr>
        <w:rPr>
          <w:b/>
          <w:bCs/>
        </w:rPr>
      </w:pPr>
      <w:r w:rsidRPr="00007D18">
        <w:rPr>
          <w:b/>
          <w:bCs/>
        </w:rPr>
        <w:t xml:space="preserve"> </w:t>
      </w:r>
    </w:p>
    <w:p w14:paraId="7718F865" w14:textId="412A5CA0" w:rsidR="00007D18" w:rsidRPr="00E537A3" w:rsidRDefault="00007D18" w:rsidP="00007D18">
      <w:pPr>
        <w:rPr>
          <w:b/>
          <w:bCs/>
          <w:color w:val="4472C4" w:themeColor="accent1"/>
          <w:sz w:val="28"/>
          <w:szCs w:val="28"/>
        </w:rPr>
      </w:pPr>
      <w:r w:rsidRPr="00E537A3">
        <w:rPr>
          <w:b/>
          <w:bCs/>
          <w:color w:val="4472C4" w:themeColor="accent1"/>
          <w:sz w:val="28"/>
          <w:szCs w:val="28"/>
        </w:rPr>
        <w:lastRenderedPageBreak/>
        <w:t>What This Means for Legislators</w:t>
      </w:r>
    </w:p>
    <w:p w14:paraId="13FE32BB" w14:textId="77777777" w:rsidR="00007D18" w:rsidRPr="00007D18" w:rsidRDefault="00007D18" w:rsidP="00007D18">
      <w:r w:rsidRPr="00007D18">
        <w:t xml:space="preserve">Parents in Wyoming and other states are </w:t>
      </w:r>
      <w:r w:rsidRPr="00007D18">
        <w:rPr>
          <w:b/>
          <w:bCs/>
        </w:rPr>
        <w:t>spending thousands of dollars</w:t>
      </w:r>
      <w:r w:rsidRPr="00007D18">
        <w:t xml:space="preserve"> on legal help just to access the education their children are legally entitled to.</w:t>
      </w:r>
    </w:p>
    <w:p w14:paraId="19ECE31D" w14:textId="77777777" w:rsidR="00007D18" w:rsidRPr="00007D18" w:rsidRDefault="00007D18" w:rsidP="00007D18">
      <w:r w:rsidRPr="00007D18">
        <w:t>The solution is not forcing families into court—it is ensuring school districts:</w:t>
      </w:r>
    </w:p>
    <w:p w14:paraId="2FD18556" w14:textId="77777777" w:rsidR="00007D18" w:rsidRPr="00007D18" w:rsidRDefault="00007D18" w:rsidP="00007D18">
      <w:pPr>
        <w:numPr>
          <w:ilvl w:val="0"/>
          <w:numId w:val="9"/>
        </w:numPr>
      </w:pPr>
      <w:r w:rsidRPr="00007D18">
        <w:t>Follow federal disability laws</w:t>
      </w:r>
    </w:p>
    <w:p w14:paraId="13F4F7C1" w14:textId="77777777" w:rsidR="00007D18" w:rsidRPr="00007D18" w:rsidRDefault="00007D18" w:rsidP="00007D18">
      <w:pPr>
        <w:numPr>
          <w:ilvl w:val="0"/>
          <w:numId w:val="9"/>
        </w:numPr>
      </w:pPr>
      <w:r w:rsidRPr="00007D18">
        <w:t>Provide trained teachers and evidence-based reading instruction</w:t>
      </w:r>
    </w:p>
    <w:p w14:paraId="37D173D7" w14:textId="77777777" w:rsidR="00007D18" w:rsidRPr="00007D18" w:rsidRDefault="00007D18" w:rsidP="00007D18">
      <w:pPr>
        <w:numPr>
          <w:ilvl w:val="0"/>
          <w:numId w:val="9"/>
        </w:numPr>
      </w:pPr>
      <w:r w:rsidRPr="00007D18">
        <w:t>Stop discriminating against students with dyslexia by denying intervention</w:t>
      </w:r>
    </w:p>
    <w:p w14:paraId="11F48D09" w14:textId="72F71E48" w:rsidR="00007D18" w:rsidRPr="00007D18" w:rsidRDefault="00007D18" w:rsidP="00E537A3">
      <w:r w:rsidRPr="00E537A3">
        <w:rPr>
          <w:b/>
          <w:bCs/>
          <w:color w:val="4472C4" w:themeColor="accent1"/>
          <w:sz w:val="28"/>
          <w:szCs w:val="28"/>
        </w:rPr>
        <w:t xml:space="preserve"> </w:t>
      </w:r>
    </w:p>
    <w:p w14:paraId="60A94FED" w14:textId="77777777" w:rsidR="00CA6E95" w:rsidRDefault="00CA6E95"/>
    <w:sectPr w:rsidR="00CA6E95" w:rsidSect="00987A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6239B"/>
    <w:multiLevelType w:val="multilevel"/>
    <w:tmpl w:val="433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27D02"/>
    <w:multiLevelType w:val="multilevel"/>
    <w:tmpl w:val="0A48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63C7A"/>
    <w:multiLevelType w:val="multilevel"/>
    <w:tmpl w:val="B29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A7D2C"/>
    <w:multiLevelType w:val="multilevel"/>
    <w:tmpl w:val="8AB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D4269"/>
    <w:multiLevelType w:val="multilevel"/>
    <w:tmpl w:val="E84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C0CC9"/>
    <w:multiLevelType w:val="multilevel"/>
    <w:tmpl w:val="59E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52766"/>
    <w:multiLevelType w:val="multilevel"/>
    <w:tmpl w:val="8114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90D59"/>
    <w:multiLevelType w:val="multilevel"/>
    <w:tmpl w:val="812A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24C36"/>
    <w:multiLevelType w:val="multilevel"/>
    <w:tmpl w:val="D1CA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855663">
    <w:abstractNumId w:val="2"/>
  </w:num>
  <w:num w:numId="2" w16cid:durableId="1023173124">
    <w:abstractNumId w:val="6"/>
  </w:num>
  <w:num w:numId="3" w16cid:durableId="1856579113">
    <w:abstractNumId w:val="8"/>
  </w:num>
  <w:num w:numId="4" w16cid:durableId="1457875366">
    <w:abstractNumId w:val="1"/>
  </w:num>
  <w:num w:numId="5" w16cid:durableId="1288469183">
    <w:abstractNumId w:val="7"/>
  </w:num>
  <w:num w:numId="6" w16cid:durableId="47071790">
    <w:abstractNumId w:val="4"/>
  </w:num>
  <w:num w:numId="7" w16cid:durableId="1870487954">
    <w:abstractNumId w:val="0"/>
  </w:num>
  <w:num w:numId="8" w16cid:durableId="221138643">
    <w:abstractNumId w:val="5"/>
  </w:num>
  <w:num w:numId="9" w16cid:durableId="24715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18"/>
    <w:rsid w:val="00007D18"/>
    <w:rsid w:val="00390201"/>
    <w:rsid w:val="006F15A3"/>
    <w:rsid w:val="00987A66"/>
    <w:rsid w:val="00A36CDA"/>
    <w:rsid w:val="00B82B5D"/>
    <w:rsid w:val="00CA6E95"/>
    <w:rsid w:val="00E01A60"/>
    <w:rsid w:val="00E03062"/>
    <w:rsid w:val="00E537A3"/>
    <w:rsid w:val="00FD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0EC7"/>
  <w15:chartTrackingRefBased/>
  <w15:docId w15:val="{1B100F6F-372F-43A6-B727-CE9006A5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7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7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7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7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7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7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7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7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D18"/>
    <w:rPr>
      <w:rFonts w:eastAsiaTheme="majorEastAsia" w:cstheme="majorBidi"/>
      <w:color w:val="272727" w:themeColor="text1" w:themeTint="D8"/>
    </w:rPr>
  </w:style>
  <w:style w:type="paragraph" w:styleId="Title">
    <w:name w:val="Title"/>
    <w:basedOn w:val="Normal"/>
    <w:next w:val="Normal"/>
    <w:link w:val="TitleChar"/>
    <w:uiPriority w:val="10"/>
    <w:qFormat/>
    <w:rsid w:val="0000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D18"/>
    <w:pPr>
      <w:spacing w:before="160"/>
      <w:jc w:val="center"/>
    </w:pPr>
    <w:rPr>
      <w:i/>
      <w:iCs/>
      <w:color w:val="404040" w:themeColor="text1" w:themeTint="BF"/>
    </w:rPr>
  </w:style>
  <w:style w:type="character" w:customStyle="1" w:styleId="QuoteChar">
    <w:name w:val="Quote Char"/>
    <w:basedOn w:val="DefaultParagraphFont"/>
    <w:link w:val="Quote"/>
    <w:uiPriority w:val="29"/>
    <w:rsid w:val="00007D18"/>
    <w:rPr>
      <w:i/>
      <w:iCs/>
      <w:color w:val="404040" w:themeColor="text1" w:themeTint="BF"/>
    </w:rPr>
  </w:style>
  <w:style w:type="paragraph" w:styleId="ListParagraph">
    <w:name w:val="List Paragraph"/>
    <w:basedOn w:val="Normal"/>
    <w:uiPriority w:val="34"/>
    <w:qFormat/>
    <w:rsid w:val="00007D18"/>
    <w:pPr>
      <w:ind w:left="720"/>
      <w:contextualSpacing/>
    </w:pPr>
  </w:style>
  <w:style w:type="character" w:styleId="IntenseEmphasis">
    <w:name w:val="Intense Emphasis"/>
    <w:basedOn w:val="DefaultParagraphFont"/>
    <w:uiPriority w:val="21"/>
    <w:qFormat/>
    <w:rsid w:val="00007D18"/>
    <w:rPr>
      <w:i/>
      <w:iCs/>
      <w:color w:val="2F5496" w:themeColor="accent1" w:themeShade="BF"/>
    </w:rPr>
  </w:style>
  <w:style w:type="paragraph" w:styleId="IntenseQuote">
    <w:name w:val="Intense Quote"/>
    <w:basedOn w:val="Normal"/>
    <w:next w:val="Normal"/>
    <w:link w:val="IntenseQuoteChar"/>
    <w:uiPriority w:val="30"/>
    <w:qFormat/>
    <w:rsid w:val="00007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7D18"/>
    <w:rPr>
      <w:i/>
      <w:iCs/>
      <w:color w:val="2F5496" w:themeColor="accent1" w:themeShade="BF"/>
    </w:rPr>
  </w:style>
  <w:style w:type="character" w:styleId="IntenseReference">
    <w:name w:val="Intense Reference"/>
    <w:basedOn w:val="DefaultParagraphFont"/>
    <w:uiPriority w:val="32"/>
    <w:qFormat/>
    <w:rsid w:val="00007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dcterms:created xsi:type="dcterms:W3CDTF">2025-09-24T17:21:00Z</dcterms:created>
  <dcterms:modified xsi:type="dcterms:W3CDTF">2025-09-24T17:21:00Z</dcterms:modified>
</cp:coreProperties>
</file>