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8AF04" w14:textId="1AA80030" w:rsidR="00513F57" w:rsidRPr="008B75C5" w:rsidRDefault="00513F57" w:rsidP="00B81525">
      <w:pPr>
        <w:jc w:val="center"/>
        <w:rPr>
          <w:b/>
          <w:bCs/>
          <w:color w:val="4472C4" w:themeColor="accent1"/>
          <w:sz w:val="28"/>
          <w:szCs w:val="28"/>
        </w:rPr>
      </w:pPr>
      <w:r w:rsidRPr="00513F57">
        <w:rPr>
          <w:b/>
          <w:bCs/>
          <w:color w:val="4472C4" w:themeColor="accent1"/>
          <w:sz w:val="28"/>
          <w:szCs w:val="28"/>
        </w:rPr>
        <w:t xml:space="preserve">If your goal is to explain—credibly and in plain English—why high-stakes standardized reading tests can undervalue real, documented gains for a student with profound dyslexia (even one making clear progress deep into Wilson Step </w:t>
      </w:r>
      <w:r w:rsidR="00113131">
        <w:rPr>
          <w:b/>
          <w:bCs/>
          <w:color w:val="4472C4" w:themeColor="accent1"/>
          <w:sz w:val="28"/>
          <w:szCs w:val="28"/>
        </w:rPr>
        <w:t>____</w:t>
      </w:r>
      <w:r w:rsidRPr="00513F57">
        <w:rPr>
          <w:b/>
          <w:bCs/>
          <w:color w:val="4472C4" w:themeColor="accent1"/>
          <w:sz w:val="28"/>
          <w:szCs w:val="28"/>
        </w:rPr>
        <w:t>), these Ph.D.-level researchers are top fits to testify:</w:t>
      </w:r>
    </w:p>
    <w:p w14:paraId="203E34B0" w14:textId="77777777" w:rsidR="00B81525" w:rsidRPr="00513F57" w:rsidRDefault="00B81525" w:rsidP="00B81525">
      <w:pPr>
        <w:jc w:val="center"/>
        <w:rPr>
          <w:b/>
          <w:bCs/>
          <w:color w:val="4472C4" w:themeColor="accent1"/>
        </w:rPr>
      </w:pPr>
    </w:p>
    <w:p w14:paraId="6D6F17F9" w14:textId="77777777" w:rsidR="00513F57" w:rsidRPr="00513F57" w:rsidRDefault="00513F57" w:rsidP="00513F57">
      <w:pPr>
        <w:numPr>
          <w:ilvl w:val="0"/>
          <w:numId w:val="1"/>
        </w:numPr>
      </w:pPr>
      <w:r w:rsidRPr="00513F57">
        <w:rPr>
          <w:b/>
          <w:bCs/>
        </w:rPr>
        <w:t>Hugh W. Catts, Ph.D.</w:t>
      </w:r>
      <w:r w:rsidRPr="00513F57">
        <w:t xml:space="preserve"> (Florida State University; former Univ. of Kansas)</w:t>
      </w:r>
      <w:r w:rsidRPr="00513F57">
        <w:br/>
        <w:t xml:space="preserve">Best for: Explaining why state reading tests are </w:t>
      </w:r>
      <w:r w:rsidRPr="00513F57">
        <w:rPr>
          <w:b/>
          <w:bCs/>
        </w:rPr>
        <w:t>poor benchmarks</w:t>
      </w:r>
      <w:r w:rsidRPr="00513F57">
        <w:t xml:space="preserve"> for individual student growth and what to use instead. He’s written directly on the misalignment between high-stakes tests and meaningful reading outcomes. </w:t>
      </w:r>
      <w:hyperlink r:id="rId5" w:tgtFrame="_blank" w:history="1">
        <w:r w:rsidRPr="00513F57">
          <w:rPr>
            <w:rStyle w:val="Hyperlink"/>
          </w:rPr>
          <w:t>The Reading League+1</w:t>
        </w:r>
      </w:hyperlink>
    </w:p>
    <w:p w14:paraId="59F79E65" w14:textId="77777777" w:rsidR="00513F57" w:rsidRPr="00513F57" w:rsidRDefault="00513F57" w:rsidP="00513F57">
      <w:pPr>
        <w:numPr>
          <w:ilvl w:val="0"/>
          <w:numId w:val="1"/>
        </w:numPr>
      </w:pPr>
      <w:r w:rsidRPr="00513F57">
        <w:rPr>
          <w:b/>
          <w:bCs/>
        </w:rPr>
        <w:t>Jack M. Fletcher, Ph.D.</w:t>
      </w:r>
      <w:r w:rsidRPr="00513F57">
        <w:t xml:space="preserve"> (University of Houston; NICHD-funded, past president of the International Neuropsychological Society)</w:t>
      </w:r>
      <w:r w:rsidRPr="00513F57">
        <w:br/>
        <w:t xml:space="preserve">Best for: SLD identification, RTI/MTSS, and assessment validity. He can connect IDEA’s “multiple measures” requirement to why a </w:t>
      </w:r>
      <w:r w:rsidRPr="00513F57">
        <w:rPr>
          <w:b/>
          <w:bCs/>
        </w:rPr>
        <w:t>body of evidence</w:t>
      </w:r>
      <w:r w:rsidRPr="00513F57">
        <w:t xml:space="preserve"> (program mastery checks, lesson completion, progress-monitoring) can outweigh a single standardized score. </w:t>
      </w:r>
      <w:hyperlink r:id="rId6" w:tgtFrame="_blank" w:history="1">
        <w:r w:rsidRPr="00513F57">
          <w:rPr>
            <w:rStyle w:val="Hyperlink"/>
          </w:rPr>
          <w:t>NIH News in Health+2Wyoming Instructional Network+2</w:t>
        </w:r>
      </w:hyperlink>
    </w:p>
    <w:p w14:paraId="0B847B1C" w14:textId="77777777" w:rsidR="00513F57" w:rsidRPr="00513F57" w:rsidRDefault="00513F57" w:rsidP="00513F57">
      <w:pPr>
        <w:numPr>
          <w:ilvl w:val="0"/>
          <w:numId w:val="1"/>
        </w:numPr>
      </w:pPr>
      <w:r w:rsidRPr="00513F57">
        <w:rPr>
          <w:b/>
          <w:bCs/>
        </w:rPr>
        <w:t>Richard K. Wagner, Ph.D.</w:t>
      </w:r>
      <w:r w:rsidRPr="00513F57">
        <w:t xml:space="preserve"> (Florida State University; Florida Center for Reading Research; co-author of CTOPP-2, TOWRE-2)</w:t>
      </w:r>
      <w:r w:rsidRPr="00513F57">
        <w:br/>
        <w:t xml:space="preserve">Best for: What common standardized tools actually measure (speed/efficiency) vs. what your Wilson data show (accurate decoding mastery over time). He’s ideally positioned to testify to test </w:t>
      </w:r>
      <w:r w:rsidRPr="00513F57">
        <w:rPr>
          <w:b/>
          <w:bCs/>
        </w:rPr>
        <w:t>limitations and proper interpretation</w:t>
      </w:r>
      <w:r w:rsidRPr="00513F57">
        <w:t xml:space="preserve">. </w:t>
      </w:r>
      <w:hyperlink r:id="rId7" w:tgtFrame="_blank" w:history="1">
        <w:r w:rsidRPr="00513F57">
          <w:rPr>
            <w:rStyle w:val="Hyperlink"/>
          </w:rPr>
          <w:t>fcrr.org+2International Dyslexia Association+2</w:t>
        </w:r>
      </w:hyperlink>
    </w:p>
    <w:p w14:paraId="7473A2A8" w14:textId="77777777" w:rsidR="00513F57" w:rsidRPr="00513F57" w:rsidRDefault="00513F57" w:rsidP="00513F57">
      <w:pPr>
        <w:numPr>
          <w:ilvl w:val="0"/>
          <w:numId w:val="1"/>
        </w:numPr>
      </w:pPr>
      <w:r w:rsidRPr="00513F57">
        <w:rPr>
          <w:b/>
          <w:bCs/>
        </w:rPr>
        <w:t>Guinevere Eden, Ph.D.</w:t>
      </w:r>
      <w:r w:rsidRPr="00513F57">
        <w:t xml:space="preserve"> (Georgetown University; past IDA presidential awardee)</w:t>
      </w:r>
      <w:r w:rsidRPr="00513F57">
        <w:br/>
        <w:t xml:space="preserve">Best for: Neuroscience of dyslexia—why students can improve substantially with explicit instruction yet still underperform on certain timed, print-heavy measures due to the nature of the disability, not lack of learning. She has testified to the U.S. Senate on dyslexia science. </w:t>
      </w:r>
      <w:hyperlink r:id="rId8" w:tgtFrame="_blank" w:history="1">
        <w:r w:rsidRPr="00513F57">
          <w:rPr>
            <w:rStyle w:val="Hyperlink"/>
          </w:rPr>
          <w:t>U.S. Senate HELP Committee+2APM Reports+2</w:t>
        </w:r>
      </w:hyperlink>
    </w:p>
    <w:p w14:paraId="1333FDCC" w14:textId="77777777" w:rsidR="00513F57" w:rsidRPr="00513F57" w:rsidRDefault="00513F57" w:rsidP="00513F57">
      <w:pPr>
        <w:numPr>
          <w:ilvl w:val="0"/>
          <w:numId w:val="1"/>
        </w:numPr>
      </w:pPr>
      <w:r w:rsidRPr="00513F57">
        <w:rPr>
          <w:b/>
          <w:bCs/>
        </w:rPr>
        <w:t>Maryanne Wolf, Ed.D.</w:t>
      </w:r>
      <w:r w:rsidRPr="00513F57">
        <w:t xml:space="preserve"> or </w:t>
      </w:r>
      <w:r w:rsidRPr="00513F57">
        <w:rPr>
          <w:b/>
          <w:bCs/>
        </w:rPr>
        <w:t>Virginia W. Berninger, Ph.D.</w:t>
      </w:r>
      <w:r w:rsidRPr="00513F57">
        <w:t xml:space="preserve"> (emerita scholars) — strong complementary voices if you need writing/spelling and language components tied in; Berninger has long argued for instruction-aligned measures and growth data. </w:t>
      </w:r>
      <w:hyperlink r:id="rId9" w:tgtFrame="_blank" w:history="1">
        <w:r w:rsidRPr="00513F57">
          <w:rPr>
            <w:rStyle w:val="Hyperlink"/>
          </w:rPr>
          <w:t>UW College of Education+1</w:t>
        </w:r>
      </w:hyperlink>
    </w:p>
    <w:p w14:paraId="4C9C2AD7" w14:textId="77777777" w:rsidR="00513F57" w:rsidRPr="00513F57" w:rsidRDefault="00513F57" w:rsidP="00513F57">
      <w:r w:rsidRPr="00513F57">
        <w:t>Why these picks map to your exact point</w:t>
      </w:r>
    </w:p>
    <w:p w14:paraId="1E2448A2" w14:textId="77777777" w:rsidR="00513F57" w:rsidRPr="00513F57" w:rsidRDefault="00513F57" w:rsidP="00513F57">
      <w:pPr>
        <w:numPr>
          <w:ilvl w:val="0"/>
          <w:numId w:val="2"/>
        </w:numPr>
      </w:pPr>
      <w:r w:rsidRPr="00513F57">
        <w:rPr>
          <w:b/>
          <w:bCs/>
        </w:rPr>
        <w:t>High-stakes standardized reading tests = weak growth monitors</w:t>
      </w:r>
      <w:r w:rsidRPr="00513F57">
        <w:t xml:space="preserve"> for dyslexia, especially when timed and comprehension-heavy; they often lag behind the real improvements captured in structured-literacy progress data (word reading/decoding accuracy, phonemic proficiency, nonsense-word reading, mastery checks). Catts lays this out explicitly. </w:t>
      </w:r>
      <w:hyperlink r:id="rId10" w:tgtFrame="_blank" w:history="1">
        <w:r w:rsidRPr="00513F57">
          <w:rPr>
            <w:rStyle w:val="Hyperlink"/>
          </w:rPr>
          <w:t>The Reading League</w:t>
        </w:r>
      </w:hyperlink>
    </w:p>
    <w:p w14:paraId="7103301D" w14:textId="77777777" w:rsidR="00513F57" w:rsidRPr="00513F57" w:rsidRDefault="00513F57" w:rsidP="00513F57">
      <w:pPr>
        <w:numPr>
          <w:ilvl w:val="0"/>
          <w:numId w:val="2"/>
        </w:numPr>
      </w:pPr>
      <w:r w:rsidRPr="00513F57">
        <w:rPr>
          <w:b/>
          <w:bCs/>
        </w:rPr>
        <w:t>IDEA requires multiple measures</w:t>
      </w:r>
      <w:r w:rsidRPr="00513F57">
        <w:t xml:space="preserve">; relying on a single standardized score to deny or discount programming is unsound. Fletcher’s RTI/Hybrid-Model work is the go-to here. </w:t>
      </w:r>
      <w:hyperlink r:id="rId11" w:tgtFrame="_blank" w:history="1">
        <w:r w:rsidRPr="00513F57">
          <w:rPr>
            <w:rStyle w:val="Hyperlink"/>
          </w:rPr>
          <w:t>Wyoming Instructional Network</w:t>
        </w:r>
      </w:hyperlink>
    </w:p>
    <w:p w14:paraId="2259AA65" w14:textId="77777777" w:rsidR="00513F57" w:rsidRPr="00513F57" w:rsidRDefault="00513F57" w:rsidP="00513F57">
      <w:pPr>
        <w:numPr>
          <w:ilvl w:val="0"/>
          <w:numId w:val="2"/>
        </w:numPr>
      </w:pPr>
      <w:r w:rsidRPr="00513F57">
        <w:rPr>
          <w:b/>
          <w:bCs/>
        </w:rPr>
        <w:lastRenderedPageBreak/>
        <w:t>Test construction matters</w:t>
      </w:r>
      <w:r w:rsidRPr="00513F57">
        <w:t xml:space="preserve">: Wagner can explain how speeded measures (e.g., efficiency/fluency) can remain depressed longer—even when accuracy and decoding skills have </w:t>
      </w:r>
      <w:r w:rsidRPr="00513F57">
        <w:rPr>
          <w:b/>
          <w:bCs/>
        </w:rPr>
        <w:t>truly improved</w:t>
      </w:r>
      <w:r w:rsidRPr="00513F57">
        <w:t xml:space="preserve">—which is typical in profound dyslexia. </w:t>
      </w:r>
      <w:hyperlink r:id="rId12" w:tgtFrame="_blank" w:history="1">
        <w:r w:rsidRPr="00513F57">
          <w:rPr>
            <w:rStyle w:val="Hyperlink"/>
          </w:rPr>
          <w:t>International Dyslexia Association+1</w:t>
        </w:r>
      </w:hyperlink>
    </w:p>
    <w:p w14:paraId="64EAA0DB" w14:textId="77777777" w:rsidR="00513F57" w:rsidRPr="00513F57" w:rsidRDefault="00513F57" w:rsidP="00513F57">
      <w:pPr>
        <w:numPr>
          <w:ilvl w:val="0"/>
          <w:numId w:val="2"/>
        </w:numPr>
      </w:pPr>
      <w:r w:rsidRPr="00513F57">
        <w:rPr>
          <w:b/>
          <w:bCs/>
        </w:rPr>
        <w:t>Neuroscience evidence</w:t>
      </w:r>
      <w:r w:rsidRPr="00513F57">
        <w:t xml:space="preserve"> shows dyslexic readers can learn to read significantly better with explicit instruction while still showing group-norm deficits on certain tasks; Eden can translate that science clearly for a fact-finder. </w:t>
      </w:r>
      <w:hyperlink r:id="rId13" w:tgtFrame="_blank" w:history="1">
        <w:r w:rsidRPr="00513F57">
          <w:rPr>
            <w:rStyle w:val="Hyperlink"/>
          </w:rPr>
          <w:t>U.S. Senate HELP Committee+1</w:t>
        </w:r>
      </w:hyperlink>
    </w:p>
    <w:p w14:paraId="1829EC4B" w14:textId="77777777" w:rsidR="00513F57" w:rsidRPr="00513F57" w:rsidRDefault="00513F57" w:rsidP="00513F57">
      <w:r w:rsidRPr="00513F57">
        <w:t>How to brief your expert (so they can say this cleanly)</w:t>
      </w:r>
    </w:p>
    <w:p w14:paraId="1B5AC0F4" w14:textId="113699EB" w:rsidR="00513F57" w:rsidRPr="00513F57" w:rsidRDefault="00513F57" w:rsidP="00513F57">
      <w:pPr>
        <w:numPr>
          <w:ilvl w:val="0"/>
          <w:numId w:val="3"/>
        </w:numPr>
      </w:pPr>
      <w:r w:rsidRPr="00513F57">
        <w:t>Provide:</w:t>
      </w:r>
      <w:r w:rsidRPr="00513F57">
        <w:br/>
        <w:t xml:space="preserve">• Wilson lesson history and </w:t>
      </w:r>
      <w:r w:rsidRPr="00513F57">
        <w:rPr>
          <w:b/>
          <w:bCs/>
        </w:rPr>
        <w:t>mastery checks</w:t>
      </w:r>
      <w:r w:rsidRPr="00513F57">
        <w:t xml:space="preserve"> (through Step </w:t>
      </w:r>
      <w:r w:rsidR="00113131">
        <w:t>______</w:t>
      </w:r>
      <w:r w:rsidRPr="00513F57">
        <w:t>), session fidelity logs, and error-analysis trends.</w:t>
      </w:r>
      <w:r w:rsidRPr="00513F57">
        <w:br/>
        <w:t xml:space="preserve">• Curriculum-based measures: </w:t>
      </w:r>
      <w:r w:rsidRPr="00513F57">
        <w:rPr>
          <w:b/>
          <w:bCs/>
        </w:rPr>
        <w:t>nonsense-word reading</w:t>
      </w:r>
      <w:r w:rsidRPr="00513F57">
        <w:t xml:space="preserve">, </w:t>
      </w:r>
      <w:r w:rsidRPr="00513F57">
        <w:rPr>
          <w:b/>
          <w:bCs/>
        </w:rPr>
        <w:t>decoding accuracy</w:t>
      </w:r>
      <w:r w:rsidRPr="00513F57">
        <w:t xml:space="preserve">, </w:t>
      </w:r>
      <w:r w:rsidRPr="00513F57">
        <w:rPr>
          <w:b/>
          <w:bCs/>
        </w:rPr>
        <w:t>phoneme segmentation/blending</w:t>
      </w:r>
      <w:r w:rsidRPr="00513F57">
        <w:t xml:space="preserve"> growth, controlled-text passage accuracy.</w:t>
      </w:r>
      <w:r w:rsidRPr="00513F57">
        <w:br/>
        <w:t xml:space="preserve">• Any general-ed/state test results—so the expert can contrast </w:t>
      </w:r>
      <w:r w:rsidRPr="00513F57">
        <w:rPr>
          <w:b/>
          <w:bCs/>
        </w:rPr>
        <w:t>what they measure</w:t>
      </w:r>
      <w:r w:rsidRPr="00513F57">
        <w:t xml:space="preserve"> vs </w:t>
      </w:r>
      <w:r w:rsidRPr="00513F57">
        <w:rPr>
          <w:b/>
          <w:bCs/>
        </w:rPr>
        <w:t>what Wilson progress demonstrates</w:t>
      </w:r>
      <w:r w:rsidRPr="00513F57">
        <w:t xml:space="preserve"> (skill acquisition that standardized tests under-sample).</w:t>
      </w:r>
      <w:r w:rsidRPr="00513F57">
        <w:br/>
        <w:t>• IDEA citations on “variety of assessment tools and strategies” to reinforce the multiple-measures argument (your legal handouts already hit this). (Source note for you: 20 U.S.C. §1414; 34 C.F.R. §300.304.)</w:t>
      </w:r>
    </w:p>
    <w:p w14:paraId="03A923F7" w14:textId="77777777" w:rsidR="00513F57" w:rsidRPr="00513F57" w:rsidRDefault="00513F57" w:rsidP="00513F57">
      <w:r w:rsidRPr="00513F57">
        <w:t>Practical next steps</w:t>
      </w:r>
    </w:p>
    <w:p w14:paraId="0AD56D9C" w14:textId="77777777" w:rsidR="00513F57" w:rsidRPr="00513F57" w:rsidRDefault="00513F57" w:rsidP="00513F57">
      <w:pPr>
        <w:numPr>
          <w:ilvl w:val="0"/>
          <w:numId w:val="4"/>
        </w:numPr>
      </w:pPr>
      <w:r w:rsidRPr="00513F57">
        <w:t xml:space="preserve">Start with </w:t>
      </w:r>
      <w:r w:rsidRPr="00513F57">
        <w:rPr>
          <w:b/>
          <w:bCs/>
        </w:rPr>
        <w:t>Catts</w:t>
      </w:r>
      <w:r w:rsidRPr="00513F57">
        <w:t xml:space="preserve"> or </w:t>
      </w:r>
      <w:r w:rsidRPr="00513F57">
        <w:rPr>
          <w:b/>
          <w:bCs/>
        </w:rPr>
        <w:t>Fletcher</w:t>
      </w:r>
      <w:r w:rsidRPr="00513F57">
        <w:t xml:space="preserve"> as primary; add </w:t>
      </w:r>
      <w:r w:rsidRPr="00513F57">
        <w:rPr>
          <w:b/>
          <w:bCs/>
        </w:rPr>
        <w:t>Wagner</w:t>
      </w:r>
      <w:r w:rsidRPr="00513F57">
        <w:t xml:space="preserve"> for testing-interpretation depth and </w:t>
      </w:r>
      <w:r w:rsidRPr="00513F57">
        <w:rPr>
          <w:b/>
          <w:bCs/>
        </w:rPr>
        <w:t>Eden</w:t>
      </w:r>
      <w:r w:rsidRPr="00513F57">
        <w:t xml:space="preserve"> if you want a neuroscience lens.</w:t>
      </w:r>
    </w:p>
    <w:p w14:paraId="38DAB9F6" w14:textId="77777777" w:rsidR="00513F57" w:rsidRPr="00513F57" w:rsidRDefault="00513F57" w:rsidP="00513F57">
      <w:pPr>
        <w:numPr>
          <w:ilvl w:val="0"/>
          <w:numId w:val="4"/>
        </w:numPr>
      </w:pPr>
      <w:r w:rsidRPr="00513F57">
        <w:t xml:space="preserve">Reach out via their university/lab pages and ask about </w:t>
      </w:r>
      <w:r w:rsidRPr="00513F57">
        <w:rPr>
          <w:b/>
          <w:bCs/>
        </w:rPr>
        <w:t>expert testimony/consulting</w:t>
      </w:r>
      <w:r w:rsidRPr="00513F57">
        <w:t xml:space="preserve"> availability (many academics do this selectively). Pages to start: Catts and Wagner (FSU/FCRR), Fletcher (Univ. of Houston), Eden (Georgetown). </w:t>
      </w:r>
      <w:hyperlink r:id="rId14" w:tgtFrame="_blank" w:history="1">
        <w:r w:rsidRPr="00513F57">
          <w:rPr>
            <w:rStyle w:val="Hyperlink"/>
          </w:rPr>
          <w:t>U.S. Senate HELP Committee+3fcrr.org+3ResearchGate+3</w:t>
        </w:r>
      </w:hyperlink>
    </w:p>
    <w:p w14:paraId="6D4E4A35" w14:textId="77777777" w:rsidR="00CA6E95" w:rsidRDefault="00CA6E95"/>
    <w:sectPr w:rsidR="00CA6E95" w:rsidSect="00513F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212A0"/>
    <w:multiLevelType w:val="multilevel"/>
    <w:tmpl w:val="6D0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8788D"/>
    <w:multiLevelType w:val="multilevel"/>
    <w:tmpl w:val="34C8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983A5E"/>
    <w:multiLevelType w:val="multilevel"/>
    <w:tmpl w:val="E926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420249"/>
    <w:multiLevelType w:val="multilevel"/>
    <w:tmpl w:val="9C4E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508354">
    <w:abstractNumId w:val="0"/>
  </w:num>
  <w:num w:numId="2" w16cid:durableId="1721661173">
    <w:abstractNumId w:val="2"/>
  </w:num>
  <w:num w:numId="3" w16cid:durableId="611399247">
    <w:abstractNumId w:val="3"/>
  </w:num>
  <w:num w:numId="4" w16cid:durableId="1946115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57"/>
    <w:rsid w:val="00113131"/>
    <w:rsid w:val="00433F25"/>
    <w:rsid w:val="00513F57"/>
    <w:rsid w:val="008B75C5"/>
    <w:rsid w:val="00A36CDA"/>
    <w:rsid w:val="00B81525"/>
    <w:rsid w:val="00B82B5D"/>
    <w:rsid w:val="00CA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C8CF2"/>
  <w15:chartTrackingRefBased/>
  <w15:docId w15:val="{427FB0CC-EB38-4DBB-ACA0-568BA69C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F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F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F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F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F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F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F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F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F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F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F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F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F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F5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3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p.senate.gov/imo/media/doc/Eden.pdf?utm_source=chatgpt.com" TargetMode="External"/><Relationship Id="rId13" Type="http://schemas.openxmlformats.org/officeDocument/2006/relationships/hyperlink" Target="https://www.help.senate.gov/imo/media/doc/Eden.pdf?utm_source=chatgp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crr.org/people/richard-wagner-phd?utm_source=chatgpt.com" TargetMode="External"/><Relationship Id="rId12" Type="http://schemas.openxmlformats.org/officeDocument/2006/relationships/hyperlink" Target="https://dyslexiaida.org/why-is-it-so-difficult-to-diagnose-dyslexia-and-how-can-we-do-it-better/?utm_source=chatgpt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ewsinhealth.nih.gov/2024/02/dr-jack-fletcher-dyslexia?utm_source=chatgpt.com" TargetMode="External"/><Relationship Id="rId11" Type="http://schemas.openxmlformats.org/officeDocument/2006/relationships/hyperlink" Target="https://wyominginstructionalnetwork.com/wp-content/uploads/2018/05/Identifying-Learning-Disabilities-in-the-Context-of-Response-to-Intervention_A-Hybrid-Model.pdf?utm_source=chatgpt.com" TargetMode="External"/><Relationship Id="rId5" Type="http://schemas.openxmlformats.org/officeDocument/2006/relationships/hyperlink" Target="https://www.thereadingleague.org/wp-content/uploads/2022/02/JanFeb2022-TRLJ-Article.pdf?utm_source=chatgpt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hereadingleague.org/wp-content/uploads/2022/02/JanFeb2022-TRLJ-Article.pdf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uw.edu/news/feature/study-shows-specific-learning-disabilities-differ-unit-language-affected?utm_source=chatgpt.com" TargetMode="External"/><Relationship Id="rId14" Type="http://schemas.openxmlformats.org/officeDocument/2006/relationships/hyperlink" Target="https://fcrr.org/people/richard-wagner-phd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McGlothlin</dc:creator>
  <cp:keywords/>
  <dc:description/>
  <cp:lastModifiedBy>Annie McGlothlin</cp:lastModifiedBy>
  <cp:revision>4</cp:revision>
  <cp:lastPrinted>2025-09-15T22:48:00Z</cp:lastPrinted>
  <dcterms:created xsi:type="dcterms:W3CDTF">2025-09-15T22:40:00Z</dcterms:created>
  <dcterms:modified xsi:type="dcterms:W3CDTF">2025-09-15T22:49:00Z</dcterms:modified>
</cp:coreProperties>
</file>