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CC32" w14:textId="77777777" w:rsidR="00F950B5" w:rsidRPr="00180831" w:rsidRDefault="00F950B5" w:rsidP="00F950B5">
      <w:pPr>
        <w:jc w:val="center"/>
        <w:rPr>
          <w:b/>
          <w:bCs/>
          <w:color w:val="EE0000"/>
          <w:sz w:val="32"/>
          <w:szCs w:val="32"/>
        </w:rPr>
      </w:pPr>
      <w:r w:rsidRPr="00180831">
        <w:rPr>
          <w:b/>
          <w:bCs/>
          <w:color w:val="EE0000"/>
          <w:sz w:val="32"/>
          <w:szCs w:val="32"/>
        </w:rPr>
        <w:t>Advocacy Handout Series: Protecting Your Child’s Rights Under IDEA</w:t>
      </w:r>
    </w:p>
    <w:p w14:paraId="52B8BA62" w14:textId="77777777" w:rsidR="00180831" w:rsidRDefault="00180831" w:rsidP="00F950B5">
      <w:pPr>
        <w:jc w:val="center"/>
        <w:rPr>
          <w:b/>
          <w:bCs/>
          <w:sz w:val="32"/>
          <w:szCs w:val="32"/>
        </w:rPr>
      </w:pPr>
    </w:p>
    <w:p w14:paraId="05C3847E" w14:textId="77777777" w:rsidR="00F950B5" w:rsidRPr="00F950B5" w:rsidRDefault="00F950B5" w:rsidP="00F950B5">
      <w:pPr>
        <w:numPr>
          <w:ilvl w:val="0"/>
          <w:numId w:val="1"/>
        </w:numPr>
      </w:pPr>
      <w:r w:rsidRPr="00F950B5">
        <w:rPr>
          <w:b/>
          <w:bCs/>
        </w:rPr>
        <w:t>Predetermination</w:t>
      </w:r>
    </w:p>
    <w:p w14:paraId="38BE7F96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District drafts IEPs removing critical services or makes decisions outside the IEP team.</w:t>
      </w:r>
    </w:p>
    <w:p w14:paraId="7F315E9A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 xml:space="preserve">Citations: </w:t>
      </w:r>
      <w:r w:rsidRPr="00F950B5">
        <w:rPr>
          <w:i/>
          <w:iCs/>
        </w:rPr>
        <w:t>Deal v. Hamilton County</w:t>
      </w:r>
      <w:r w:rsidRPr="00F950B5">
        <w:t xml:space="preserve">; </w:t>
      </w:r>
      <w:r w:rsidRPr="00F950B5">
        <w:rPr>
          <w:i/>
          <w:iCs/>
        </w:rPr>
        <w:t>R.E.B. v. Hawaii DOE</w:t>
      </w:r>
      <w:r w:rsidRPr="00F950B5">
        <w:t xml:space="preserve">; </w:t>
      </w:r>
      <w:r w:rsidRPr="00F950B5">
        <w:rPr>
          <w:i/>
          <w:iCs/>
        </w:rPr>
        <w:t>Nack v. Orange City</w:t>
      </w:r>
      <w:r w:rsidRPr="00F950B5">
        <w:t>.</w:t>
      </w:r>
    </w:p>
    <w:p w14:paraId="436B7FB2" w14:textId="77777777" w:rsidR="00F950B5" w:rsidRPr="00F950B5" w:rsidRDefault="00F950B5" w:rsidP="00F950B5">
      <w:pPr>
        <w:numPr>
          <w:ilvl w:val="0"/>
          <w:numId w:val="1"/>
        </w:numPr>
      </w:pPr>
      <w:r w:rsidRPr="00F950B5">
        <w:rPr>
          <w:b/>
          <w:bCs/>
        </w:rPr>
        <w:t>Extended School Year (ESY) Services</w:t>
      </w:r>
    </w:p>
    <w:p w14:paraId="0E0E955A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Legal factors for ESY consideration (</w:t>
      </w:r>
      <w:proofErr w:type="spellStart"/>
      <w:r w:rsidRPr="00F950B5">
        <w:t>Wrightslaw</w:t>
      </w:r>
      <w:proofErr w:type="spellEnd"/>
      <w:r w:rsidRPr="00F950B5">
        <w:t xml:space="preserve"> “9 ESY Factors”).</w:t>
      </w:r>
    </w:p>
    <w:p w14:paraId="60844E52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Courts rejecting regression/recoupment as the sole test.</w:t>
      </w:r>
    </w:p>
    <w:p w14:paraId="4EBD9B92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 xml:space="preserve">Citations: </w:t>
      </w:r>
      <w:r w:rsidRPr="00F950B5">
        <w:rPr>
          <w:i/>
          <w:iCs/>
        </w:rPr>
        <w:t>Reusch v. Fountain</w:t>
      </w:r>
      <w:r w:rsidRPr="00F950B5">
        <w:t xml:space="preserve">, </w:t>
      </w:r>
      <w:r w:rsidRPr="00F950B5">
        <w:rPr>
          <w:i/>
          <w:iCs/>
        </w:rPr>
        <w:t>Johnson v. Independent School Dist. No. 4</w:t>
      </w:r>
      <w:r w:rsidRPr="00F950B5">
        <w:t>.</w:t>
      </w:r>
    </w:p>
    <w:p w14:paraId="5B060C93" w14:textId="77777777" w:rsidR="00F950B5" w:rsidRPr="00F950B5" w:rsidRDefault="00F950B5" w:rsidP="00F950B5">
      <w:pPr>
        <w:numPr>
          <w:ilvl w:val="0"/>
          <w:numId w:val="1"/>
        </w:numPr>
      </w:pPr>
      <w:r w:rsidRPr="00F950B5">
        <w:rPr>
          <w:b/>
          <w:bCs/>
        </w:rPr>
        <w:t>Methodology on the IEP</w:t>
      </w:r>
    </w:p>
    <w:p w14:paraId="121D49C2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Parents’ right to request evidence-based instruction (e.g., Wilson/OG).</w:t>
      </w:r>
    </w:p>
    <w:p w14:paraId="08A34F9A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Districts cannot insist only on “district-preferred” methods if ineffective.</w:t>
      </w:r>
    </w:p>
    <w:p w14:paraId="7C317C4A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 xml:space="preserve">Citations: </w:t>
      </w:r>
      <w:r w:rsidRPr="00F950B5">
        <w:rPr>
          <w:i/>
          <w:iCs/>
        </w:rPr>
        <w:t>Ridley Sch. Dist. v. M.R.</w:t>
      </w:r>
      <w:r w:rsidRPr="00F950B5">
        <w:t xml:space="preserve">; </w:t>
      </w:r>
      <w:r w:rsidRPr="00F950B5">
        <w:rPr>
          <w:i/>
          <w:iCs/>
        </w:rPr>
        <w:t>Oberti v. Board of Educ.</w:t>
      </w:r>
    </w:p>
    <w:p w14:paraId="117A2FAD" w14:textId="77777777" w:rsidR="00F950B5" w:rsidRPr="00F950B5" w:rsidRDefault="00F950B5" w:rsidP="00F950B5">
      <w:pPr>
        <w:numPr>
          <w:ilvl w:val="0"/>
          <w:numId w:val="1"/>
        </w:numPr>
      </w:pPr>
      <w:r w:rsidRPr="00F950B5">
        <w:rPr>
          <w:b/>
          <w:bCs/>
        </w:rPr>
        <w:t>Standardized Tests Cannot Deny Services</w:t>
      </w:r>
    </w:p>
    <w:p w14:paraId="1783BF04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IDEA requires “variety of assessment tools.” Reliance on one standardized test = unlawful.</w:t>
      </w:r>
    </w:p>
    <w:p w14:paraId="3443B4A6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Citations: 20 U.S.C. § 1414; 34 C.F.R. § 300.304; IDA position papers.</w:t>
      </w:r>
    </w:p>
    <w:p w14:paraId="247626FD" w14:textId="77777777" w:rsidR="00F950B5" w:rsidRPr="00F950B5" w:rsidRDefault="00F950B5" w:rsidP="00F950B5">
      <w:pPr>
        <w:numPr>
          <w:ilvl w:val="0"/>
          <w:numId w:val="1"/>
        </w:numPr>
      </w:pPr>
      <w:r w:rsidRPr="00F950B5">
        <w:rPr>
          <w:b/>
          <w:bCs/>
        </w:rPr>
        <w:t>Deliberate Indifference under ADA/§504</w:t>
      </w:r>
    </w:p>
    <w:p w14:paraId="63C273DA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When districts ignore known needs, they risk ADA and §504 liability.</w:t>
      </w:r>
    </w:p>
    <w:p w14:paraId="35E35806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 xml:space="preserve">Citations: </w:t>
      </w:r>
      <w:r w:rsidRPr="00F950B5">
        <w:rPr>
          <w:i/>
          <w:iCs/>
        </w:rPr>
        <w:t>Duvall v. County of Kitsap</w:t>
      </w:r>
      <w:r w:rsidRPr="00F950B5">
        <w:t xml:space="preserve">; </w:t>
      </w:r>
      <w:r w:rsidRPr="00F950B5">
        <w:rPr>
          <w:i/>
          <w:iCs/>
        </w:rPr>
        <w:t xml:space="preserve">Mark H. v. </w:t>
      </w:r>
      <w:proofErr w:type="spellStart"/>
      <w:r w:rsidRPr="00F950B5">
        <w:rPr>
          <w:i/>
          <w:iCs/>
        </w:rPr>
        <w:t>Lemahieu</w:t>
      </w:r>
      <w:proofErr w:type="spellEnd"/>
      <w:r w:rsidRPr="00F950B5">
        <w:t>.</w:t>
      </w:r>
    </w:p>
    <w:p w14:paraId="6DB4B23F" w14:textId="77777777" w:rsidR="00F950B5" w:rsidRPr="00F950B5" w:rsidRDefault="00F950B5" w:rsidP="00F950B5">
      <w:pPr>
        <w:numPr>
          <w:ilvl w:val="0"/>
          <w:numId w:val="1"/>
        </w:numPr>
      </w:pPr>
      <w:r w:rsidRPr="00F950B5">
        <w:rPr>
          <w:b/>
          <w:bCs/>
        </w:rPr>
        <w:t>Stay Put Provision (34 C.F.R. § 300.518)</w:t>
      </w:r>
    </w:p>
    <w:p w14:paraId="48271372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Student remains in last agreed-upon placement/methodology during disputes.</w:t>
      </w:r>
    </w:p>
    <w:p w14:paraId="1E21E04C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 xml:space="preserve">Citations: </w:t>
      </w:r>
      <w:r w:rsidRPr="00F950B5">
        <w:rPr>
          <w:i/>
          <w:iCs/>
        </w:rPr>
        <w:t>Honig v. Doe</w:t>
      </w:r>
      <w:r w:rsidRPr="00F950B5">
        <w:t xml:space="preserve"> (U.S. Supreme Court).</w:t>
      </w:r>
    </w:p>
    <w:p w14:paraId="14A67BF5" w14:textId="77777777" w:rsidR="00F950B5" w:rsidRPr="00F950B5" w:rsidRDefault="00F950B5" w:rsidP="00F950B5">
      <w:pPr>
        <w:numPr>
          <w:ilvl w:val="0"/>
          <w:numId w:val="1"/>
        </w:numPr>
      </w:pPr>
      <w:r w:rsidRPr="00F950B5">
        <w:rPr>
          <w:b/>
          <w:bCs/>
        </w:rPr>
        <w:t>Prior Written Notice (PWN)</w:t>
      </w:r>
    </w:p>
    <w:p w14:paraId="51EE3042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Required whenever a district refuses or proposes a change.</w:t>
      </w:r>
    </w:p>
    <w:p w14:paraId="39BE2E0B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Must include reasons, data, options considered, and law.</w:t>
      </w:r>
    </w:p>
    <w:p w14:paraId="4FF91C36" w14:textId="77777777" w:rsidR="00F950B5" w:rsidRPr="00F950B5" w:rsidRDefault="00F950B5" w:rsidP="00F950B5">
      <w:pPr>
        <w:numPr>
          <w:ilvl w:val="1"/>
          <w:numId w:val="1"/>
        </w:numPr>
      </w:pPr>
      <w:r w:rsidRPr="00F950B5">
        <w:t>Citations: 34 C.F.R. § 300.503.</w:t>
      </w:r>
    </w:p>
    <w:sectPr w:rsidR="00F950B5" w:rsidRPr="00F950B5" w:rsidSect="00180831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40DC"/>
    <w:multiLevelType w:val="multilevel"/>
    <w:tmpl w:val="12E2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84F24"/>
    <w:multiLevelType w:val="multilevel"/>
    <w:tmpl w:val="A57C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022148">
    <w:abstractNumId w:val="0"/>
  </w:num>
  <w:num w:numId="2" w16cid:durableId="16162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B5"/>
    <w:rsid w:val="00180831"/>
    <w:rsid w:val="00204A9A"/>
    <w:rsid w:val="00752633"/>
    <w:rsid w:val="00A36CDA"/>
    <w:rsid w:val="00B82B5D"/>
    <w:rsid w:val="00CA6E95"/>
    <w:rsid w:val="00F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64F5"/>
  <w15:chartTrackingRefBased/>
  <w15:docId w15:val="{2FD85680-A5AD-4AB9-A9ED-6E684D9C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0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0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0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3</cp:revision>
  <dcterms:created xsi:type="dcterms:W3CDTF">2025-09-15T02:22:00Z</dcterms:created>
  <dcterms:modified xsi:type="dcterms:W3CDTF">2025-09-15T02:30:00Z</dcterms:modified>
</cp:coreProperties>
</file>