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6C4E7" w14:textId="77777777" w:rsidR="000E101A" w:rsidRDefault="00F70ACD">
      <w:pPr>
        <w:spacing w:after="60"/>
        <w:jc w:val="center"/>
      </w:pPr>
      <w:r>
        <w:rPr>
          <w:b/>
          <w:bCs/>
          <w:color w:val="1B6B74"/>
          <w:sz w:val="28"/>
          <w:szCs w:val="28"/>
        </w:rPr>
        <w:t>McMinn Clinic</w:t>
      </w:r>
    </w:p>
    <w:p w14:paraId="470C8B63" w14:textId="77777777" w:rsidR="000E101A" w:rsidRDefault="00F70ACD">
      <w:pPr>
        <w:pBdr>
          <w:bottom w:val="single" w:sz="12" w:space="6" w:color="1B6B74"/>
        </w:pBdr>
        <w:spacing w:after="200"/>
        <w:jc w:val="center"/>
      </w:pPr>
      <w:r>
        <w:rPr>
          <w:b/>
          <w:bCs/>
          <w:sz w:val="40"/>
          <w:szCs w:val="40"/>
        </w:rPr>
        <w:t>Patient Guide: Dysautonomia</w:t>
      </w:r>
    </w:p>
    <w:p w14:paraId="474C3B04" w14:textId="77777777" w:rsidR="000E101A" w:rsidRDefault="000E101A">
      <w:pPr>
        <w:spacing w:before="60" w:after="60"/>
      </w:pPr>
    </w:p>
    <w:p w14:paraId="5280F16D" w14:textId="77777777" w:rsidR="000E101A" w:rsidRDefault="00F70ACD">
      <w:pPr>
        <w:pStyle w:val="Heading1"/>
        <w:pBdr>
          <w:bottom w:val="single" w:sz="8" w:space="4" w:color="1B6B74"/>
        </w:pBdr>
      </w:pPr>
      <w:r>
        <w:t>What Is Dysautonomia?</w:t>
      </w:r>
    </w:p>
    <w:p w14:paraId="37BACECC" w14:textId="77777777" w:rsidR="000E101A" w:rsidRDefault="00F70ACD">
      <w:pPr>
        <w:spacing w:before="60" w:after="60"/>
      </w:pPr>
      <w:r>
        <w:t>Dysautonomia is a disorder caused by an imbalance between the two branches of the autonomic nervous system — the sympathetic ("fight-or-flight") system and the parasympathetic ("rest-and-digest") system. Think of it as a blown fuse in the limbic system, the part of the brain that controls your stress response. As a result, patients with dysautonomia are stuck in a fight-or-flight dominant state, leaving the body in a constant state of alert even when there is no real threat.</w:t>
      </w:r>
    </w:p>
    <w:p w14:paraId="149C26AD" w14:textId="77777777" w:rsidR="000E101A" w:rsidRDefault="000E101A">
      <w:pPr>
        <w:spacing w:before="60" w:after="60"/>
      </w:pPr>
    </w:p>
    <w:p w14:paraId="45848806" w14:textId="77777777" w:rsidR="000E101A" w:rsidRDefault="00F70ACD">
      <w:pPr>
        <w:pStyle w:val="Heading1"/>
        <w:pBdr>
          <w:bottom w:val="single" w:sz="8" w:space="4" w:color="1B6B74"/>
        </w:pBdr>
      </w:pPr>
      <w:r>
        <w:t>Common Causes</w:t>
      </w:r>
    </w:p>
    <w:p w14:paraId="08632B78" w14:textId="77777777" w:rsidR="000E101A" w:rsidRDefault="00F70ACD">
      <w:pPr>
        <w:spacing w:before="60" w:after="60"/>
      </w:pPr>
      <w:r>
        <w:t>Dysautonomia can result from a wide range of underlying conditions, including:</w:t>
      </w:r>
    </w:p>
    <w:p w14:paraId="5F87538A" w14:textId="77777777" w:rsidR="000E101A" w:rsidRDefault="000E101A">
      <w:pPr>
        <w:spacing w:before="60" w:after="60"/>
      </w:pPr>
    </w:p>
    <w:p w14:paraId="659CB0C5" w14:textId="77777777" w:rsidR="000E101A" w:rsidRDefault="00F70ACD">
      <w:pPr>
        <w:pStyle w:val="Heading2"/>
      </w:pPr>
      <w:r>
        <w:t>Genetic &amp; Primary Autonomic Disorders</w:t>
      </w:r>
    </w:p>
    <w:p w14:paraId="47365506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Familial dysautonomia, pure autonomic failure, multiple system atrophy, primary orthostatic hypotension and syncope</w:t>
      </w:r>
    </w:p>
    <w:p w14:paraId="0A68B0C2" w14:textId="77777777" w:rsidR="000E101A" w:rsidRDefault="00F70ACD">
      <w:pPr>
        <w:pStyle w:val="Heading2"/>
      </w:pPr>
      <w:r>
        <w:t>Autoimmune Diseases</w:t>
      </w:r>
    </w:p>
    <w:p w14:paraId="6D51B354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Lupus, Sjögren's disease, autoimmune autonomic ganglionopathy, multiple sclerosis, and other autoimmune neurologic or systemic diseases</w:t>
      </w:r>
    </w:p>
    <w:p w14:paraId="725987D6" w14:textId="77777777" w:rsidR="000E101A" w:rsidRDefault="00F70ACD">
      <w:pPr>
        <w:pStyle w:val="Heading2"/>
      </w:pPr>
      <w:r>
        <w:t>Neurodegenerative &amp; Neurologic Disorders</w:t>
      </w:r>
    </w:p>
    <w:p w14:paraId="6FBD135A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Parkinson's disease, Lewy body dementia, multiple system atrophy, stroke, spinal cord injury, traumatic brain injury, Charcot-Marie-Tooth disease, ALS</w:t>
      </w:r>
    </w:p>
    <w:p w14:paraId="439C5237" w14:textId="77777777" w:rsidR="000E101A" w:rsidRDefault="00F70ACD">
      <w:pPr>
        <w:pStyle w:val="Heading2"/>
      </w:pPr>
      <w:r>
        <w:t>Metabolic &amp; Systemic Diseases</w:t>
      </w:r>
    </w:p>
    <w:p w14:paraId="5F0ADED2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Diabetes (diabetic autonomic neuropathy), chronic alcoholism, amyloidosis, chronic kidney disease, cardiovascular disease, celiac disease, inflammatory bowel disease, sarcoidosis, rheumatoid arthritis</w:t>
      </w:r>
    </w:p>
    <w:p w14:paraId="3F130C22" w14:textId="77777777" w:rsidR="000E101A" w:rsidRDefault="00F70ACD">
      <w:pPr>
        <w:pStyle w:val="Heading2"/>
      </w:pPr>
      <w:r>
        <w:t>Infections &amp; Post-Infectious Causes</w:t>
      </w:r>
    </w:p>
    <w:p w14:paraId="58C55921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COVID-19 and long COVID, Guillain-Barré syndrome, Lyme disease, HIV/AIDS, other post-infectious neuropathies</w:t>
      </w:r>
    </w:p>
    <w:p w14:paraId="25F92C98" w14:textId="77777777" w:rsidR="000E101A" w:rsidRDefault="00F70ACD">
      <w:pPr>
        <w:pStyle w:val="Heading2"/>
      </w:pPr>
      <w:r>
        <w:t>Nutritional Deficiencies</w:t>
      </w:r>
    </w:p>
    <w:p w14:paraId="63308262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Vitamin B12, thiamine (B1), other B-vitamins, vitamin E, and copper deficiencies</w:t>
      </w:r>
    </w:p>
    <w:p w14:paraId="5706C829" w14:textId="77777777" w:rsidR="000E101A" w:rsidRDefault="00F70ACD">
      <w:pPr>
        <w:pStyle w:val="Heading2"/>
      </w:pPr>
      <w:r>
        <w:t>Medications &amp; Medical Interventions</w:t>
      </w:r>
    </w:p>
    <w:p w14:paraId="3A39AF93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Certain antihypertensives, antidepressants, antipsychotics, and chemotherapy agents; surgery or radiation affecting autonomic pathways</w:t>
      </w:r>
    </w:p>
    <w:p w14:paraId="52117CB5" w14:textId="77777777" w:rsidR="000E101A" w:rsidRDefault="00F70ACD">
      <w:pPr>
        <w:pStyle w:val="Heading2"/>
      </w:pPr>
      <w:r>
        <w:t>Toxins &amp; Environmental Exposures</w:t>
      </w:r>
    </w:p>
    <w:p w14:paraId="03EA1196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Heavy metals (mercury, arsenic), organophosphate pesticides, alcohol, and other neurotoxins</w:t>
      </w:r>
    </w:p>
    <w:p w14:paraId="45B15533" w14:textId="77777777" w:rsidR="000E101A" w:rsidRDefault="00F70ACD">
      <w:pPr>
        <w:pStyle w:val="Heading2"/>
      </w:pPr>
      <w:r>
        <w:t>Structural &amp; Mechanical Causes</w:t>
      </w:r>
    </w:p>
    <w:p w14:paraId="3F1E57B9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 xml:space="preserve">Brain tumors, Chiari malformation, </w:t>
      </w:r>
      <w:proofErr w:type="spellStart"/>
      <w:r>
        <w:t>craniocervical</w:t>
      </w:r>
      <w:proofErr w:type="spellEnd"/>
      <w:r>
        <w:t xml:space="preserve"> instability, spinal cord compression or injury</w:t>
      </w:r>
    </w:p>
    <w:p w14:paraId="0A183804" w14:textId="77777777" w:rsidR="000E101A" w:rsidRDefault="00F70ACD">
      <w:pPr>
        <w:pStyle w:val="Heading2"/>
      </w:pPr>
      <w:r>
        <w:lastRenderedPageBreak/>
        <w:t>Hormonal &amp; Endocrine Factors</w:t>
      </w:r>
    </w:p>
    <w:p w14:paraId="5E29A2D4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Thyroid disorders, adrenal insufficiency, testosterone deficiency, and other hormonal imbalances</w:t>
      </w:r>
    </w:p>
    <w:p w14:paraId="7E5893C0" w14:textId="77777777" w:rsidR="000E101A" w:rsidRDefault="00F70ACD">
      <w:pPr>
        <w:pStyle w:val="Heading2"/>
      </w:pPr>
      <w:r>
        <w:t>Idiopathic</w:t>
      </w:r>
    </w:p>
    <w:p w14:paraId="27292CCE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In a significant number of patients, no clear underlying cause is identified</w:t>
      </w:r>
    </w:p>
    <w:p w14:paraId="71A89EA5" w14:textId="77777777" w:rsidR="000E101A" w:rsidRDefault="000E101A">
      <w:pPr>
        <w:spacing w:before="60" w:after="60"/>
      </w:pPr>
    </w:p>
    <w:p w14:paraId="6CDB088A" w14:textId="77777777" w:rsidR="000E101A" w:rsidRDefault="00F70ACD">
      <w:pPr>
        <w:pStyle w:val="Heading1"/>
        <w:pBdr>
          <w:bottom w:val="single" w:sz="8" w:space="4" w:color="1B6B74"/>
        </w:pBdr>
      </w:pPr>
      <w:r>
        <w:t>Symptoms</w:t>
      </w:r>
    </w:p>
    <w:p w14:paraId="29E385DA" w14:textId="77777777" w:rsidR="000E101A" w:rsidRDefault="00F70ACD">
      <w:pPr>
        <w:spacing w:before="60" w:after="60"/>
      </w:pPr>
      <w:r>
        <w:t>Symptoms vary widely from person to person. The most common clusters include:</w:t>
      </w:r>
    </w:p>
    <w:p w14:paraId="1892CF72" w14:textId="77777777" w:rsidR="000E101A" w:rsidRDefault="000E101A">
      <w:pPr>
        <w:spacing w:before="60" w:after="60"/>
      </w:pPr>
    </w:p>
    <w:p w14:paraId="532CF452" w14:textId="77777777" w:rsidR="000E101A" w:rsidRDefault="00F70ACD">
      <w:pPr>
        <w:pStyle w:val="Heading2"/>
      </w:pPr>
      <w:r>
        <w:t>Heart &amp; Blood Pressure</w:t>
      </w:r>
    </w:p>
    <w:p w14:paraId="7EA5D88F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Palpitations, rapid or slow heart rate, irregular rhythm</w:t>
      </w:r>
    </w:p>
    <w:p w14:paraId="3B71DFEF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Dizziness or lightheadedness on standing (orthostatic intolerance)</w:t>
      </w:r>
    </w:p>
    <w:p w14:paraId="1AA8A294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Fainting or near-fainting (presyncope/syncope)</w:t>
      </w:r>
    </w:p>
    <w:p w14:paraId="5271B792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Labile or abnormal blood pressure — too low or episodically too high</w:t>
      </w:r>
    </w:p>
    <w:p w14:paraId="6F9C3188" w14:textId="77777777" w:rsidR="000E101A" w:rsidRDefault="00F70ACD">
      <w:pPr>
        <w:pStyle w:val="Heading2"/>
      </w:pPr>
      <w:r>
        <w:t>Energy &amp; Exercise</w:t>
      </w:r>
    </w:p>
    <w:p w14:paraId="562511E9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Persistent fatigue and easy exhaustion</w:t>
      </w:r>
    </w:p>
    <w:p w14:paraId="672CF9E0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Exercise intolerance</w:t>
      </w:r>
    </w:p>
    <w:p w14:paraId="437AE53C" w14:textId="77777777" w:rsidR="000E101A" w:rsidRDefault="00F70ACD">
      <w:pPr>
        <w:pStyle w:val="Heading2"/>
      </w:pPr>
      <w:r>
        <w:t>Brain &amp; Nervous System</w:t>
      </w:r>
    </w:p>
    <w:p w14:paraId="5CB906FC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Brain fog, slowed thinking, difficulty concentrating, memory lapses</w:t>
      </w:r>
    </w:p>
    <w:p w14:paraId="414DE9BB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Chronic headaches or migraines</w:t>
      </w:r>
    </w:p>
    <w:p w14:paraId="650C9242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Visual disturbances, blurred vision, sensitivity to light</w:t>
      </w:r>
    </w:p>
    <w:p w14:paraId="2E53DA53" w14:textId="77777777" w:rsidR="000E101A" w:rsidRDefault="00F70ACD">
      <w:pPr>
        <w:pStyle w:val="Heading2"/>
      </w:pPr>
      <w:r>
        <w:t>Digestive &amp; Urinary</w:t>
      </w:r>
    </w:p>
    <w:p w14:paraId="61EB6EA7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Nausea, bloating, early satiety, reflux, abdominal pain</w:t>
      </w:r>
    </w:p>
    <w:p w14:paraId="2000E7F8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Constipation, diarrhea, or gastroparesis</w:t>
      </w:r>
    </w:p>
    <w:p w14:paraId="5DCFCCC4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Urinary urgency, frequency, incontinence, or incomplete emptying</w:t>
      </w:r>
    </w:p>
    <w:p w14:paraId="07EF5379" w14:textId="77777777" w:rsidR="000E101A" w:rsidRDefault="00F70ACD">
      <w:pPr>
        <w:pStyle w:val="Heading2"/>
      </w:pPr>
      <w:r>
        <w:t>Temperature &amp; Sweating</w:t>
      </w:r>
    </w:p>
    <w:p w14:paraId="0361FB63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Heat intolerance, feeling excessively hot or cold</w:t>
      </w:r>
    </w:p>
    <w:p w14:paraId="60F5C1CE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Abnormal sweating — too much (hyperhidrosis) or too little (hypohidrosis)</w:t>
      </w:r>
    </w:p>
    <w:p w14:paraId="4F18E88E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Dry eyes or dry mouth</w:t>
      </w:r>
    </w:p>
    <w:p w14:paraId="099E7EEF" w14:textId="77777777" w:rsidR="000E101A" w:rsidRDefault="00F70ACD">
      <w:pPr>
        <w:pStyle w:val="Heading2"/>
      </w:pPr>
      <w:r>
        <w:t>Other</w:t>
      </w:r>
    </w:p>
    <w:p w14:paraId="20784728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Sleep disturbances</w:t>
      </w:r>
    </w:p>
    <w:p w14:paraId="414E8314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Anxiety and mood lability</w:t>
      </w:r>
    </w:p>
    <w:p w14:paraId="7C075CEB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Sexual dysfunction (reduced arousal, anorgasmia, erectile dysfunction)</w:t>
      </w:r>
    </w:p>
    <w:p w14:paraId="4184AE97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Abnormal pupil response or light sensitivity</w:t>
      </w:r>
    </w:p>
    <w:p w14:paraId="1A2A9D11" w14:textId="77777777" w:rsidR="000E101A" w:rsidRDefault="000E101A">
      <w:pPr>
        <w:spacing w:before="60" w:after="60"/>
      </w:pPr>
    </w:p>
    <w:p w14:paraId="6FD85037" w14:textId="77777777" w:rsidR="000E101A" w:rsidRDefault="00F70ACD">
      <w:pPr>
        <w:pStyle w:val="Heading1"/>
        <w:pBdr>
          <w:bottom w:val="single" w:sz="8" w:space="4" w:color="1B6B74"/>
        </w:pBdr>
      </w:pPr>
      <w:r>
        <w:t>Therapeutic Options</w:t>
      </w:r>
    </w:p>
    <w:p w14:paraId="588A5347" w14:textId="77777777" w:rsidR="000E101A" w:rsidRDefault="00F70ACD">
      <w:pPr>
        <w:spacing w:before="60" w:after="60"/>
      </w:pPr>
      <w:r>
        <w:t>Treatment focuses on calming the overactive sympathetic nervous system and rebuilding parasympathetic tone. A personalized, layered approach works best.</w:t>
      </w:r>
    </w:p>
    <w:p w14:paraId="4DA9AA07" w14:textId="77777777" w:rsidR="000E101A" w:rsidRDefault="000E101A">
      <w:pPr>
        <w:spacing w:before="60" w:after="60"/>
      </w:pPr>
    </w:p>
    <w:p w14:paraId="00ECA337" w14:textId="77777777" w:rsidR="000E101A" w:rsidRDefault="00F70ACD">
      <w:pPr>
        <w:pStyle w:val="Heading2"/>
      </w:pPr>
      <w:r>
        <w:t>Mind-Body &amp; Nervous System Retraining</w:t>
      </w:r>
    </w:p>
    <w:p w14:paraId="113E3233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Meditation, biofeedback, breathing exercises, yoga, prayer, tai chi</w:t>
      </w:r>
    </w:p>
    <w:p w14:paraId="1A18915E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lastRenderedPageBreak/>
        <w:t>Limbic retraining programs such as the Dynamic Neural Retraining System (DNRS) or the Gupta Program</w:t>
      </w:r>
    </w:p>
    <w:p w14:paraId="3B8D8307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Thriving Spoonies Pathway — a 12-week virtual program with community, one-on-one coaching, and a self-paced option (Emily Fraser, emilyfraser.ca)</w:t>
      </w:r>
    </w:p>
    <w:p w14:paraId="3EE86465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Meditation apps: Headspace, Calm, or Insight Timer</w:t>
      </w:r>
    </w:p>
    <w:p w14:paraId="74604570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t>HeartMath</w:t>
      </w:r>
      <w:proofErr w:type="spellEnd"/>
      <w:r>
        <w:t xml:space="preserve"> monitor for heart rate variability training</w:t>
      </w:r>
    </w:p>
    <w:p w14:paraId="2C54D638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Hypnosis, visualization, and positive thinking practices</w:t>
      </w:r>
    </w:p>
    <w:p w14:paraId="4DAAF7D6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Neurofeedback / biofeedback; Alpha-Stim device</w:t>
      </w:r>
    </w:p>
    <w:p w14:paraId="32F2B040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See McMinn Stress Plan and Stress Toolbox</w:t>
      </w:r>
    </w:p>
    <w:p w14:paraId="2360431F" w14:textId="77777777" w:rsidR="000E101A" w:rsidRDefault="00F70ACD">
      <w:pPr>
        <w:pStyle w:val="Heading2"/>
      </w:pPr>
      <w:r>
        <w:t>Lifestyle &amp; Daily Habits</w:t>
      </w:r>
    </w:p>
    <w:p w14:paraId="3EFBB4C2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Restorative sleep — this is foundational</w:t>
      </w:r>
    </w:p>
    <w:p w14:paraId="59524EAA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Spend time in nature</w:t>
      </w:r>
    </w:p>
    <w:p w14:paraId="45A0C7F1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Eat frequent smaller meals; hunger can trigger symptoms</w:t>
      </w:r>
    </w:p>
    <w:p w14:paraId="44234FE1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Abundant hydration with filtered water</w:t>
      </w:r>
    </w:p>
    <w:p w14:paraId="19BC30B9" w14:textId="1AA945D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 xml:space="preserve">Salt supplementation </w:t>
      </w:r>
    </w:p>
    <w:p w14:paraId="63A5F5B5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Compression/support stockings (for orthostatic symptoms)</w:t>
      </w:r>
    </w:p>
    <w:p w14:paraId="70D00C0C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Avoid sugar, processed foods, caffeine, and alcohol</w:t>
      </w:r>
    </w:p>
    <w:p w14:paraId="786B2CC1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Embrace positive thinking and stress reduction</w:t>
      </w:r>
    </w:p>
    <w:p w14:paraId="42A0E6D1" w14:textId="77777777" w:rsidR="000E101A" w:rsidRDefault="00F70ACD">
      <w:pPr>
        <w:pStyle w:val="Heading2"/>
      </w:pPr>
      <w:r>
        <w:t>Diet</w:t>
      </w:r>
    </w:p>
    <w:p w14:paraId="31C3BFC3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The GAPS diet is one of the better dietary approaches for this condition</w:t>
      </w:r>
    </w:p>
    <w:p w14:paraId="3DA05B88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Some patients do well with a carnivore-based diet</w:t>
      </w:r>
    </w:p>
    <w:p w14:paraId="4BE43304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A gluten-free diet has shown ~34% improvement in POTS in some studies</w:t>
      </w:r>
    </w:p>
    <w:p w14:paraId="0C860CA7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Optimize gut health — see McMinn Gut Health Protocol</w:t>
      </w:r>
    </w:p>
    <w:p w14:paraId="0DA0213D" w14:textId="6B3B3C8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Treat SIBO (small intestinal bacterial overgrowth) if present</w:t>
      </w:r>
      <w:r w:rsidR="003828F8">
        <w:t xml:space="preserve"> may be very helpful. </w:t>
      </w:r>
    </w:p>
    <w:p w14:paraId="5327C7F9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The gut-brain connection is especially important in dysautonomia</w:t>
      </w:r>
    </w:p>
    <w:p w14:paraId="382F78BE" w14:textId="77777777" w:rsidR="000E101A" w:rsidRDefault="00F70ACD">
      <w:pPr>
        <w:pStyle w:val="Heading2"/>
      </w:pPr>
      <w:r>
        <w:t>Exercise</w:t>
      </w:r>
    </w:p>
    <w:p w14:paraId="1037F056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Start mild and non-competitive — walking, yoga, gentle stretching</w:t>
      </w:r>
    </w:p>
    <w:p w14:paraId="4D0BC884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If upright exercise causes dizziness, try horizontal options such as rowing or recumbent cycling</w:t>
      </w:r>
    </w:p>
    <w:p w14:paraId="58184F69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Do not overdo it; gradual progression is key</w:t>
      </w:r>
    </w:p>
    <w:p w14:paraId="37AB58B8" w14:textId="77777777" w:rsidR="000E101A" w:rsidRDefault="00F70ACD">
      <w:pPr>
        <w:pStyle w:val="Heading2"/>
      </w:pPr>
      <w:r>
        <w:t>Supplements &amp; Integrative Therapies</w:t>
      </w:r>
    </w:p>
    <w:p w14:paraId="4377620F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Herbal adaptogens: ashwagandha, Rhodiola</w:t>
      </w:r>
    </w:p>
    <w:p w14:paraId="55F9C3C5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DHA — 2 to 5 capsules per day</w:t>
      </w:r>
    </w:p>
    <w:p w14:paraId="69D8531A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Fish oil</w:t>
      </w:r>
    </w:p>
    <w:p w14:paraId="2AF8F3EC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Olive oil — 1 tablespoon twice daily</w:t>
      </w:r>
    </w:p>
    <w:p w14:paraId="2BB278A8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CBD oil</w:t>
      </w:r>
    </w:p>
    <w:p w14:paraId="78CB894A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Acupuncture</w:t>
      </w:r>
    </w:p>
    <w:p w14:paraId="335EC7EE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IV Myers cocktail / glutathione</w:t>
      </w:r>
    </w:p>
    <w:p w14:paraId="5628CC74" w14:textId="77777777" w:rsidR="000E101A" w:rsidRDefault="00F70ACD">
      <w:pPr>
        <w:pStyle w:val="Heading2"/>
      </w:pPr>
      <w:r>
        <w:t>Hormonal &amp; Toxin Considerations</w:t>
      </w:r>
    </w:p>
    <w:p w14:paraId="7638538E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Hormone replacement therapy may be helpful</w:t>
      </w:r>
    </w:p>
    <w:p w14:paraId="69EA717C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Optimize thyroid function</w:t>
      </w:r>
    </w:p>
    <w:p w14:paraId="62108879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Consider testing for toxins: heavy metals, organic toxins, and mold; pursue a customized detox if positive</w:t>
      </w:r>
    </w:p>
    <w:p w14:paraId="2F506F69" w14:textId="77777777" w:rsidR="000E101A" w:rsidRDefault="00F70ACD">
      <w:pPr>
        <w:pStyle w:val="Heading2"/>
      </w:pPr>
      <w:r>
        <w:t>Condition-Specific Treatments</w:t>
      </w:r>
    </w:p>
    <w:p w14:paraId="3BCEE6BC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 xml:space="preserve">Treat Mast Cell Activation Syndrome (MCAS) if present: </w:t>
      </w:r>
      <w:proofErr w:type="spellStart"/>
      <w:r>
        <w:t>Gastrocrom</w:t>
      </w:r>
      <w:proofErr w:type="spellEnd"/>
      <w:r>
        <w:t>, H1 and H2 blockers, low-histamine or low-sulfur diet, bioflavonoids</w:t>
      </w:r>
    </w:p>
    <w:p w14:paraId="0B76A11A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IVIg (intravenous immunoglobulin) may be helpful for some patients</w:t>
      </w:r>
    </w:p>
    <w:p w14:paraId="610F1E03" w14:textId="0C01E8F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lastRenderedPageBreak/>
        <w:t>LDN (low-dose naltrexone) — start low, work</w:t>
      </w:r>
      <w:r w:rsidR="003828F8">
        <w:t xml:space="preserve"> up: </w:t>
      </w:r>
      <w:r>
        <w:t xml:space="preserve"> do not use if taking narcotics</w:t>
      </w:r>
    </w:p>
    <w:p w14:paraId="1BFF4271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Welchol if diarrhea is a primary symptom</w:t>
      </w:r>
    </w:p>
    <w:p w14:paraId="2AA4AB5D" w14:textId="77777777" w:rsidR="000E101A" w:rsidRDefault="000E101A">
      <w:pPr>
        <w:spacing w:before="60" w:after="60"/>
      </w:pPr>
    </w:p>
    <w:p w14:paraId="0A4EDF1D" w14:textId="77777777" w:rsidR="000E101A" w:rsidRDefault="00F70ACD">
      <w:pPr>
        <w:pStyle w:val="Heading1"/>
        <w:pBdr>
          <w:bottom w:val="single" w:sz="8" w:space="4" w:color="1B6B74"/>
        </w:pBdr>
      </w:pPr>
      <w:r>
        <w:t>Medications That May Help</w:t>
      </w:r>
    </w:p>
    <w:p w14:paraId="0ED20439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t>Cortef</w:t>
      </w:r>
      <w:proofErr w:type="spellEnd"/>
      <w:r>
        <w:t xml:space="preserve"> — for low energy and adrenal insufficiency</w:t>
      </w:r>
    </w:p>
    <w:p w14:paraId="29F8CA63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Beta-blockers — for tachycardia</w:t>
      </w:r>
    </w:p>
    <w:p w14:paraId="4878FCF9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Benzodiazepines — for anxiety (use with caution; short-term)</w:t>
      </w:r>
    </w:p>
    <w:p w14:paraId="648DC175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t>Florinef</w:t>
      </w:r>
      <w:proofErr w:type="spellEnd"/>
      <w:r>
        <w:t xml:space="preserve"> (fludrocortisone) — for orthostatic hypotension, lightheadedness, and fainting</w:t>
      </w:r>
    </w:p>
    <w:p w14:paraId="2D43A003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 xml:space="preserve">Dexedrine — for </w:t>
      </w:r>
      <w:proofErr w:type="spellStart"/>
      <w:r>
        <w:t>neurally</w:t>
      </w:r>
      <w:proofErr w:type="spellEnd"/>
      <w:r>
        <w:t xml:space="preserve"> mediated hypotension and energy</w:t>
      </w:r>
    </w:p>
    <w:p w14:paraId="165E6C42" w14:textId="77777777" w:rsidR="000E101A" w:rsidRDefault="000E101A">
      <w:pPr>
        <w:spacing w:before="60" w:after="60"/>
      </w:pPr>
    </w:p>
    <w:p w14:paraId="3F6BD94C" w14:textId="77777777" w:rsidR="000E101A" w:rsidRDefault="00F70ACD">
      <w:pPr>
        <w:pStyle w:val="Heading1"/>
        <w:pBdr>
          <w:bottom w:val="single" w:sz="8" w:space="4" w:color="1B6B74"/>
        </w:pBdr>
      </w:pPr>
      <w:r>
        <w:t>Resources &amp; Further Reading</w:t>
      </w:r>
    </w:p>
    <w:p w14:paraId="277C10BA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dysautonomiainternational.org</w:t>
      </w:r>
    </w:p>
    <w:p w14:paraId="5D9A7A6C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The Dysautonomia Project by Freeman, Goldstein, and Thompson</w:t>
      </w:r>
    </w:p>
    <w:p w14:paraId="0A576CAF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McMinn Gut Health Protocol (available at McMinnMD.com)</w:t>
      </w:r>
    </w:p>
    <w:p w14:paraId="56F13B2E" w14:textId="77777777" w:rsidR="000E101A" w:rsidRDefault="00F70ACD">
      <w:pPr>
        <w:pStyle w:val="ListParagraph"/>
        <w:numPr>
          <w:ilvl w:val="0"/>
          <w:numId w:val="2"/>
        </w:numPr>
        <w:spacing w:before="40" w:after="40"/>
      </w:pPr>
      <w:r>
        <w:t>McMinn Stress Plan and Stress Toolbox (available at McMinnMD.com)</w:t>
      </w:r>
    </w:p>
    <w:p w14:paraId="4D378D5A" w14:textId="77777777" w:rsidR="003828F8" w:rsidRDefault="003828F8" w:rsidP="003828F8">
      <w:pPr>
        <w:spacing w:before="40" w:after="40"/>
      </w:pPr>
    </w:p>
    <w:p w14:paraId="44BF7A9F" w14:textId="491FAE7B" w:rsidR="000E101A" w:rsidRDefault="003828F8" w:rsidP="000174C0">
      <w:pPr>
        <w:pStyle w:val="font-claude-response-body"/>
      </w:pPr>
      <w:r>
        <w:rPr>
          <w:rStyle w:val="Strong"/>
        </w:rPr>
        <w:t>Important:</w:t>
      </w:r>
      <w:r>
        <w:t xml:space="preserve"> This handout provides educational information to support your wellness journey. It is not personalized medical advice. </w:t>
      </w:r>
      <w:r>
        <w:t>T</w:t>
      </w:r>
      <w:r>
        <w:t>reatment should always be individualized. Please consult your healthcare provider before starting new supplements, medications, or therapies. Your doctor can help you determine what's right for your unique situation.</w:t>
      </w:r>
    </w:p>
    <w:p w14:paraId="00D00201" w14:textId="77777777" w:rsidR="000E101A" w:rsidRDefault="00F70ACD">
      <w:pPr>
        <w:pBdr>
          <w:top w:val="single" w:sz="6" w:space="4" w:color="1B6B74"/>
        </w:pBdr>
        <w:spacing w:before="160"/>
        <w:jc w:val="center"/>
      </w:pPr>
      <w:r>
        <w:rPr>
          <w:i/>
          <w:iCs/>
          <w:color w:val="888888"/>
          <w:sz w:val="16"/>
          <w:szCs w:val="16"/>
        </w:rPr>
        <w:t>©</w:t>
      </w:r>
      <w:r>
        <w:rPr>
          <w:i/>
          <w:iCs/>
          <w:color w:val="888888"/>
          <w:sz w:val="16"/>
          <w:szCs w:val="16"/>
        </w:rPr>
        <w:t xml:space="preserve"> James McMinn, </w:t>
      </w:r>
      <w:proofErr w:type="gramStart"/>
      <w:r>
        <w:rPr>
          <w:i/>
          <w:iCs/>
          <w:color w:val="888888"/>
          <w:sz w:val="16"/>
          <w:szCs w:val="16"/>
        </w:rPr>
        <w:t>MD  •</w:t>
      </w:r>
      <w:proofErr w:type="gramEnd"/>
      <w:r>
        <w:rPr>
          <w:i/>
          <w:iCs/>
          <w:color w:val="888888"/>
          <w:sz w:val="16"/>
          <w:szCs w:val="16"/>
        </w:rPr>
        <w:t xml:space="preserve">  </w:t>
      </w:r>
      <w:proofErr w:type="gramStart"/>
      <w:r>
        <w:rPr>
          <w:i/>
          <w:iCs/>
          <w:color w:val="888888"/>
          <w:sz w:val="16"/>
          <w:szCs w:val="16"/>
        </w:rPr>
        <w:t>McMinnMD.com  •</w:t>
      </w:r>
      <w:proofErr w:type="gramEnd"/>
      <w:r>
        <w:rPr>
          <w:i/>
          <w:iCs/>
          <w:color w:val="888888"/>
          <w:sz w:val="16"/>
          <w:szCs w:val="16"/>
        </w:rPr>
        <w:t xml:space="preserve">  Updated 5/11/26</w:t>
      </w:r>
    </w:p>
    <w:sectPr w:rsidR="000E101A">
      <w:pgSz w:w="12240" w:h="15840"/>
      <w:pgMar w:top="1080" w:right="1260" w:bottom="108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roman"/>
    <w:notTrueType/>
    <w:pitch w:val="default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877F8"/>
    <w:multiLevelType w:val="hybridMultilevel"/>
    <w:tmpl w:val="5882EDA4"/>
    <w:lvl w:ilvl="0" w:tplc="69D8171A">
      <w:start w:val="1"/>
      <w:numFmt w:val="bullet"/>
      <w:lvlText w:val="•"/>
      <w:lvlJc w:val="left"/>
      <w:pPr>
        <w:ind w:left="540" w:hanging="260"/>
      </w:pPr>
    </w:lvl>
    <w:lvl w:ilvl="1" w:tplc="9836BE74">
      <w:numFmt w:val="decimal"/>
      <w:lvlText w:val=""/>
      <w:lvlJc w:val="left"/>
    </w:lvl>
    <w:lvl w:ilvl="2" w:tplc="F648E100">
      <w:numFmt w:val="decimal"/>
      <w:lvlText w:val=""/>
      <w:lvlJc w:val="left"/>
    </w:lvl>
    <w:lvl w:ilvl="3" w:tplc="5740A7EA">
      <w:numFmt w:val="decimal"/>
      <w:lvlText w:val=""/>
      <w:lvlJc w:val="left"/>
    </w:lvl>
    <w:lvl w:ilvl="4" w:tplc="4A46DCFE">
      <w:numFmt w:val="decimal"/>
      <w:lvlText w:val=""/>
      <w:lvlJc w:val="left"/>
    </w:lvl>
    <w:lvl w:ilvl="5" w:tplc="BA644102">
      <w:numFmt w:val="decimal"/>
      <w:lvlText w:val=""/>
      <w:lvlJc w:val="left"/>
    </w:lvl>
    <w:lvl w:ilvl="6" w:tplc="4E64A2D2">
      <w:numFmt w:val="decimal"/>
      <w:lvlText w:val=""/>
      <w:lvlJc w:val="left"/>
    </w:lvl>
    <w:lvl w:ilvl="7" w:tplc="E55EE582">
      <w:numFmt w:val="decimal"/>
      <w:lvlText w:val=""/>
      <w:lvlJc w:val="left"/>
    </w:lvl>
    <w:lvl w:ilvl="8" w:tplc="3496AFD6">
      <w:numFmt w:val="decimal"/>
      <w:lvlText w:val=""/>
      <w:lvlJc w:val="left"/>
    </w:lvl>
  </w:abstractNum>
  <w:abstractNum w:abstractNumId="1" w15:restartNumberingAfterBreak="0">
    <w:nsid w:val="118D0997"/>
    <w:multiLevelType w:val="hybridMultilevel"/>
    <w:tmpl w:val="164CC19E"/>
    <w:lvl w:ilvl="0" w:tplc="55B459EE">
      <w:start w:val="1"/>
      <w:numFmt w:val="bullet"/>
      <w:lvlText w:val="●"/>
      <w:lvlJc w:val="left"/>
      <w:pPr>
        <w:ind w:left="720" w:hanging="360"/>
      </w:pPr>
    </w:lvl>
    <w:lvl w:ilvl="1" w:tplc="52C839EE">
      <w:start w:val="1"/>
      <w:numFmt w:val="bullet"/>
      <w:lvlText w:val="○"/>
      <w:lvlJc w:val="left"/>
      <w:pPr>
        <w:ind w:left="1440" w:hanging="360"/>
      </w:pPr>
    </w:lvl>
    <w:lvl w:ilvl="2" w:tplc="D2E05CB4">
      <w:start w:val="1"/>
      <w:numFmt w:val="bullet"/>
      <w:lvlText w:val="■"/>
      <w:lvlJc w:val="left"/>
      <w:pPr>
        <w:ind w:left="2160" w:hanging="360"/>
      </w:pPr>
    </w:lvl>
    <w:lvl w:ilvl="3" w:tplc="E32A4FF0">
      <w:start w:val="1"/>
      <w:numFmt w:val="bullet"/>
      <w:lvlText w:val="●"/>
      <w:lvlJc w:val="left"/>
      <w:pPr>
        <w:ind w:left="2880" w:hanging="360"/>
      </w:pPr>
    </w:lvl>
    <w:lvl w:ilvl="4" w:tplc="18CEEE40">
      <w:start w:val="1"/>
      <w:numFmt w:val="bullet"/>
      <w:lvlText w:val="○"/>
      <w:lvlJc w:val="left"/>
      <w:pPr>
        <w:ind w:left="3600" w:hanging="360"/>
      </w:pPr>
    </w:lvl>
    <w:lvl w:ilvl="5" w:tplc="91166FEC">
      <w:start w:val="1"/>
      <w:numFmt w:val="bullet"/>
      <w:lvlText w:val="■"/>
      <w:lvlJc w:val="left"/>
      <w:pPr>
        <w:ind w:left="4320" w:hanging="360"/>
      </w:pPr>
    </w:lvl>
    <w:lvl w:ilvl="6" w:tplc="46D6D412">
      <w:start w:val="1"/>
      <w:numFmt w:val="bullet"/>
      <w:lvlText w:val="●"/>
      <w:lvlJc w:val="left"/>
      <w:pPr>
        <w:ind w:left="5040" w:hanging="360"/>
      </w:pPr>
    </w:lvl>
    <w:lvl w:ilvl="7" w:tplc="74FE9DBE">
      <w:start w:val="1"/>
      <w:numFmt w:val="bullet"/>
      <w:lvlText w:val="●"/>
      <w:lvlJc w:val="left"/>
      <w:pPr>
        <w:ind w:left="5760" w:hanging="360"/>
      </w:pPr>
    </w:lvl>
    <w:lvl w:ilvl="8" w:tplc="1AC8D852">
      <w:start w:val="1"/>
      <w:numFmt w:val="bullet"/>
      <w:lvlText w:val="●"/>
      <w:lvlJc w:val="left"/>
      <w:pPr>
        <w:ind w:left="6480" w:hanging="360"/>
      </w:pPr>
    </w:lvl>
  </w:abstractNum>
  <w:num w:numId="1" w16cid:durableId="1849371219">
    <w:abstractNumId w:val="1"/>
    <w:lvlOverride w:ilvl="0">
      <w:startOverride w:val="1"/>
    </w:lvlOverride>
  </w:num>
  <w:num w:numId="2" w16cid:durableId="84085087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01A"/>
    <w:rsid w:val="000174C0"/>
    <w:rsid w:val="000E101A"/>
    <w:rsid w:val="003828F8"/>
    <w:rsid w:val="00A208A4"/>
    <w:rsid w:val="00F7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0DA973"/>
  <w15:docId w15:val="{CC8B0676-FB59-A349-9C0F-960CF791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2E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00" w:after="120"/>
      <w:outlineLvl w:val="0"/>
    </w:pPr>
    <w:rPr>
      <w:b/>
      <w:bCs/>
      <w:color w:val="1B6B74"/>
      <w:sz w:val="26"/>
      <w:szCs w:val="26"/>
    </w:rPr>
  </w:style>
  <w:style w:type="paragraph" w:styleId="Heading2">
    <w:name w:val="heading 2"/>
    <w:uiPriority w:val="9"/>
    <w:unhideWhenUsed/>
    <w:qFormat/>
    <w:pPr>
      <w:spacing w:before="200" w:after="80"/>
      <w:outlineLvl w:val="1"/>
    </w:pPr>
    <w:rPr>
      <w:b/>
      <w:bCs/>
      <w:sz w:val="22"/>
      <w:szCs w:val="2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customStyle="1" w:styleId="font-claude-response-body">
    <w:name w:val="font-claude-response-body"/>
    <w:basedOn w:val="Normal"/>
    <w:rsid w:val="003828F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3828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James McMinn</cp:lastModifiedBy>
  <cp:revision>2</cp:revision>
  <dcterms:created xsi:type="dcterms:W3CDTF">2026-05-11T21:40:00Z</dcterms:created>
  <dcterms:modified xsi:type="dcterms:W3CDTF">2026-05-11T21:57:00Z</dcterms:modified>
</cp:coreProperties>
</file>