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C95E"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PART 1 – GENERAL</w:t>
      </w:r>
    </w:p>
    <w:p w14:paraId="1A15E4F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1.1. SUMMARY</w:t>
      </w:r>
    </w:p>
    <w:p w14:paraId="54FD3B42"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A. Selection Includes: </w:t>
      </w:r>
    </w:p>
    <w:p w14:paraId="11D72BEB"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Solid plastic [toilet compartments] [urinal screens] [privacy screens].</w:t>
      </w:r>
    </w:p>
    <w:p w14:paraId="06BCA12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1.2. REFERENCES</w:t>
      </w:r>
    </w:p>
    <w:p w14:paraId="0D7F1349"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Advancing Standards Transforming Markets (ASTM International)</w:t>
      </w:r>
    </w:p>
    <w:p w14:paraId="5F13A13F" w14:textId="4C65E049"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 xml:space="preserve">1. ASTM E84 - Standard Test Method for Surface Burning Characteristics of </w:t>
      </w:r>
      <w:r w:rsidRPr="00710A17">
        <w:rPr>
          <w:rFonts w:ascii="Century Gothic" w:hAnsi="Century Gothic"/>
          <w:sz w:val="20"/>
          <w:szCs w:val="20"/>
        </w:rPr>
        <w:tab/>
        <w:t>Building Materials.</w:t>
      </w:r>
    </w:p>
    <w:p w14:paraId="0F1DE3E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National Fire Protection Association (NFPA):</w:t>
      </w:r>
    </w:p>
    <w:p w14:paraId="08BCCB9F" w14:textId="04B65023"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1. NFPA 286 – Standard Methods of Fire Tests for Evaluating Contribution of Wall and Ceiling Interior Finish to Room Fire Growth.</w:t>
      </w:r>
    </w:p>
    <w:p w14:paraId="4DDC36CD"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1.3. SYSTEM DESCRIPTION</w:t>
      </w:r>
    </w:p>
    <w:p w14:paraId="142F3E7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Compartment Configurations:</w:t>
      </w:r>
    </w:p>
    <w:p w14:paraId="737C864A" w14:textId="10F205E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Floor mounted</w:t>
      </w:r>
      <w:r w:rsidR="005708A9">
        <w:rPr>
          <w:rFonts w:ascii="Century Gothic" w:hAnsi="Century Gothic"/>
          <w:sz w:val="20"/>
          <w:szCs w:val="20"/>
        </w:rPr>
        <w:t xml:space="preserve"> overhead braced</w:t>
      </w:r>
      <w:r w:rsidRPr="00710A17">
        <w:rPr>
          <w:rFonts w:ascii="Century Gothic" w:hAnsi="Century Gothic"/>
          <w:sz w:val="20"/>
          <w:szCs w:val="20"/>
        </w:rPr>
        <w:t xml:space="preserve"> toilet partitions, privacy screens, and entry partitions.</w:t>
      </w:r>
    </w:p>
    <w:p w14:paraId="0B38B906"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Urinal screens: wall or floor mounted.</w:t>
      </w:r>
    </w:p>
    <w:p w14:paraId="1A1EE3A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1.4 SUBMITTALS</w:t>
      </w:r>
    </w:p>
    <w:p w14:paraId="2E0FB07E"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A. Submittals for Review: </w:t>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r>
    </w:p>
    <w:p w14:paraId="2AF2A82B"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Shop Drawings: Dimensioned layout and elevations.</w:t>
      </w:r>
    </w:p>
    <w:p w14:paraId="3A2A3DA8"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Product Data: Manufacturer’s descriptive data for panels and hardware.</w:t>
      </w:r>
    </w:p>
    <w:p w14:paraId="018C2D2D"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3. Samples: 2"x3" samples available upon request.</w:t>
      </w:r>
    </w:p>
    <w:p w14:paraId="79ADD456"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Sustainable Design Submittals:</w:t>
      </w:r>
    </w:p>
    <w:p w14:paraId="1CB7E1E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Recycled Content: Certify post-consumer and pre-consumer recycled content.</w:t>
      </w:r>
    </w:p>
    <w:p w14:paraId="55622745" w14:textId="7E8485A6"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Regional Materials: Certify distances from manufacturing and raw material sources.</w:t>
      </w:r>
    </w:p>
    <w:p w14:paraId="31895F6E"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1.5 QUALITY ASSURANCE:</w:t>
      </w:r>
    </w:p>
    <w:p w14:paraId="7E1EBEDF" w14:textId="59E1F44C" w:rsidR="00710A17" w:rsidRPr="00710A17" w:rsidRDefault="00710A17" w:rsidP="00AC2128">
      <w:pPr>
        <w:spacing w:after="0" w:line="360" w:lineRule="auto"/>
        <w:ind w:left="1440"/>
        <w:rPr>
          <w:rFonts w:ascii="Century Gothic" w:hAnsi="Century Gothic"/>
          <w:sz w:val="20"/>
          <w:szCs w:val="20"/>
        </w:rPr>
      </w:pPr>
      <w:r w:rsidRPr="00710A17">
        <w:rPr>
          <w:rFonts w:ascii="Century Gothic" w:hAnsi="Century Gothic"/>
          <w:sz w:val="20"/>
          <w:szCs w:val="20"/>
        </w:rPr>
        <w:t xml:space="preserve">A. Manufacturer Qualifications: Over 15 </w:t>
      </w:r>
      <w:proofErr w:type="spellStart"/>
      <w:proofErr w:type="gramStart"/>
      <w:r w:rsidRPr="00710A17">
        <w:rPr>
          <w:rFonts w:ascii="Century Gothic" w:hAnsi="Century Gothic"/>
          <w:sz w:val="20"/>
          <w:szCs w:val="20"/>
        </w:rPr>
        <w:t>years</w:t>
      </w:r>
      <w:proofErr w:type="gramEnd"/>
      <w:r w:rsidRPr="00710A17">
        <w:rPr>
          <w:rFonts w:ascii="Century Gothic" w:hAnsi="Century Gothic"/>
          <w:sz w:val="20"/>
          <w:szCs w:val="20"/>
        </w:rPr>
        <w:t xml:space="preserve"> experience</w:t>
      </w:r>
      <w:proofErr w:type="spellEnd"/>
      <w:r w:rsidRPr="00710A17">
        <w:rPr>
          <w:rFonts w:ascii="Century Gothic" w:hAnsi="Century Gothic"/>
          <w:sz w:val="20"/>
          <w:szCs w:val="20"/>
        </w:rPr>
        <w:t xml:space="preserve"> of outstanding manufacturing experience in solid plastic toilet compartments.</w:t>
      </w:r>
    </w:p>
    <w:p w14:paraId="7C8D6EE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1.6 WARRANTIES:</w:t>
      </w:r>
    </w:p>
    <w:p w14:paraId="58E400A9" w14:textId="109E8252" w:rsidR="00710A17" w:rsidRPr="00710A17" w:rsidRDefault="00710A17" w:rsidP="00AC2128">
      <w:pPr>
        <w:spacing w:after="0" w:line="360" w:lineRule="auto"/>
        <w:ind w:left="1440"/>
        <w:rPr>
          <w:rFonts w:ascii="Century Gothic" w:hAnsi="Century Gothic"/>
          <w:sz w:val="20"/>
          <w:szCs w:val="20"/>
        </w:rPr>
      </w:pPr>
      <w:r w:rsidRPr="00710A17">
        <w:rPr>
          <w:rFonts w:ascii="Century Gothic" w:hAnsi="Century Gothic"/>
          <w:sz w:val="20"/>
          <w:szCs w:val="20"/>
        </w:rPr>
        <w:t>A. Provide manufacturer’s 25-year warranty against breakage, corrosion, and delamination under normal conditions.</w:t>
      </w:r>
    </w:p>
    <w:p w14:paraId="3DFA3986" w14:textId="602F6780" w:rsidR="00710A17" w:rsidRPr="00710A17" w:rsidRDefault="00710A17" w:rsidP="00AC2128">
      <w:pPr>
        <w:spacing w:after="0" w:line="360" w:lineRule="auto"/>
        <w:ind w:left="1440"/>
        <w:rPr>
          <w:rFonts w:ascii="Century Gothic" w:hAnsi="Century Gothic"/>
          <w:sz w:val="20"/>
          <w:szCs w:val="20"/>
        </w:rPr>
      </w:pPr>
      <w:r w:rsidRPr="00710A17">
        <w:rPr>
          <w:rFonts w:ascii="Century Gothic" w:hAnsi="Century Gothic"/>
          <w:sz w:val="20"/>
          <w:szCs w:val="20"/>
        </w:rPr>
        <w:t xml:space="preserve">B.  Warranty </w:t>
      </w:r>
      <w:proofErr w:type="gramStart"/>
      <w:r w:rsidRPr="00710A17">
        <w:rPr>
          <w:rFonts w:ascii="Century Gothic" w:hAnsi="Century Gothic"/>
          <w:sz w:val="20"/>
          <w:szCs w:val="20"/>
        </w:rPr>
        <w:t>void</w:t>
      </w:r>
      <w:proofErr w:type="gramEnd"/>
      <w:r w:rsidRPr="00710A17">
        <w:rPr>
          <w:rFonts w:ascii="Century Gothic" w:hAnsi="Century Gothic"/>
          <w:sz w:val="20"/>
          <w:szCs w:val="20"/>
        </w:rPr>
        <w:t xml:space="preserve"> if material is exposed to direct sunlight (causing warping), stored leaning against a wall, or stored outside recommended room temperature. Material must be stored flat, indoors, at room temperature.</w:t>
      </w:r>
    </w:p>
    <w:p w14:paraId="034B7776" w14:textId="77777777" w:rsidR="00AC2128" w:rsidRDefault="00AC2128" w:rsidP="00AC2128">
      <w:pPr>
        <w:spacing w:after="0" w:line="360" w:lineRule="auto"/>
        <w:jc w:val="center"/>
        <w:rPr>
          <w:rFonts w:ascii="Century Gothic" w:hAnsi="Century Gothic"/>
          <w:b/>
          <w:bCs/>
          <w:sz w:val="60"/>
          <w:szCs w:val="60"/>
        </w:rPr>
      </w:pPr>
    </w:p>
    <w:p w14:paraId="30FEA8F5" w14:textId="77777777"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lastRenderedPageBreak/>
        <w:t>PART 2 – PRODUCTS</w:t>
      </w:r>
    </w:p>
    <w:p w14:paraId="34A48896" w14:textId="77777777"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t>2.1 MANUFACTURERS</w:t>
      </w:r>
    </w:p>
    <w:p w14:paraId="2718A435" w14:textId="77777777"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t>A. Accu Tec Manufacturing, Inc.</w:t>
      </w:r>
    </w:p>
    <w:p w14:paraId="77604431" w14:textId="26BC668F" w:rsidR="00AC2128" w:rsidRPr="00AC2128" w:rsidRDefault="00AC2128" w:rsidP="00AC2128">
      <w:pPr>
        <w:spacing w:after="0" w:line="360" w:lineRule="auto"/>
        <w:ind w:left="1440"/>
        <w:rPr>
          <w:rFonts w:ascii="Century Gothic" w:hAnsi="Century Gothic"/>
          <w:sz w:val="20"/>
          <w:szCs w:val="20"/>
        </w:rPr>
      </w:pPr>
      <w:r w:rsidRPr="00AC2128">
        <w:rPr>
          <w:rFonts w:ascii="Century Gothic" w:hAnsi="Century Gothic"/>
          <w:sz w:val="20"/>
          <w:szCs w:val="20"/>
        </w:rPr>
        <w:t>B. Substitutions: Requests for substitutions shall be considered only if the proposed product meets or exceeds the established design intent, performance criteria, material requirements, and dimensions outlined in this specification.</w:t>
      </w:r>
    </w:p>
    <w:p w14:paraId="4324FBD2" w14:textId="4804F6B9" w:rsidR="00AC2128" w:rsidRPr="00AC2128" w:rsidRDefault="00AC2128" w:rsidP="00AC2128">
      <w:pPr>
        <w:spacing w:after="0" w:line="360" w:lineRule="auto"/>
        <w:ind w:left="2160"/>
        <w:rPr>
          <w:rFonts w:ascii="Century Gothic" w:hAnsi="Century Gothic"/>
          <w:sz w:val="20"/>
          <w:szCs w:val="20"/>
        </w:rPr>
      </w:pPr>
      <w:r w:rsidRPr="00AC2128">
        <w:rPr>
          <w:rFonts w:ascii="Century Gothic" w:hAnsi="Century Gothic"/>
          <w:sz w:val="20"/>
          <w:szCs w:val="20"/>
        </w:rPr>
        <w:t>1. Manufacturers seeking to have a product approved as “equal” must submit complete product data, technical specifications, fire performance data (NFPA 286 or ASTM E84, as applicable), maintenance information, and samples at least 10 days prior to bid date unless otherwise permitted by the architect.</w:t>
      </w:r>
    </w:p>
    <w:p w14:paraId="7CDD700B" w14:textId="77777777"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t xml:space="preserve">2. Substitutions will be accepted only when the architect determines that the proposed </w:t>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t>product:</w:t>
      </w:r>
    </w:p>
    <w:p w14:paraId="56203E25" w14:textId="37CDB790" w:rsidR="00AC2128" w:rsidRPr="00AC2128" w:rsidRDefault="00AC2128" w:rsidP="00AC2128">
      <w:pPr>
        <w:spacing w:after="0" w:line="360" w:lineRule="auto"/>
        <w:ind w:left="2880"/>
        <w:rPr>
          <w:rFonts w:ascii="Century Gothic" w:hAnsi="Century Gothic"/>
          <w:sz w:val="20"/>
          <w:szCs w:val="20"/>
        </w:rPr>
      </w:pPr>
      <w:r>
        <w:rPr>
          <w:rFonts w:ascii="Century Gothic" w:hAnsi="Century Gothic"/>
          <w:sz w:val="20"/>
          <w:szCs w:val="20"/>
        </w:rPr>
        <w:t>I</w:t>
      </w:r>
      <w:r w:rsidRPr="00AC2128">
        <w:rPr>
          <w:rFonts w:ascii="Century Gothic" w:hAnsi="Century Gothic"/>
          <w:sz w:val="20"/>
          <w:szCs w:val="20"/>
        </w:rPr>
        <w:t>. Maintains equal or superior material quality, durability, and fire/safety compliance.</w:t>
      </w:r>
    </w:p>
    <w:p w14:paraId="2DFCFDDD" w14:textId="6F18A52A"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Pr>
          <w:rFonts w:ascii="Century Gothic" w:hAnsi="Century Gothic"/>
          <w:sz w:val="20"/>
          <w:szCs w:val="20"/>
        </w:rPr>
        <w:t>II</w:t>
      </w:r>
      <w:r w:rsidRPr="00AC2128">
        <w:rPr>
          <w:rFonts w:ascii="Century Gothic" w:hAnsi="Century Gothic"/>
          <w:sz w:val="20"/>
          <w:szCs w:val="20"/>
        </w:rPr>
        <w:t xml:space="preserve">. Fully matches the design intent, configuration, appearance, and functionality </w:t>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t>described in the contract documents.</w:t>
      </w:r>
    </w:p>
    <w:p w14:paraId="5DA3DAC1" w14:textId="08D02769"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Pr>
          <w:rFonts w:ascii="Century Gothic" w:hAnsi="Century Gothic"/>
          <w:sz w:val="20"/>
          <w:szCs w:val="20"/>
        </w:rPr>
        <w:t>III</w:t>
      </w:r>
      <w:r w:rsidRPr="00AC2128">
        <w:rPr>
          <w:rFonts w:ascii="Century Gothic" w:hAnsi="Century Gothic"/>
          <w:sz w:val="20"/>
          <w:szCs w:val="20"/>
        </w:rPr>
        <w:t>. Does not require architectural or structural redesign.</w:t>
      </w:r>
    </w:p>
    <w:p w14:paraId="720C0549" w14:textId="6B50FD0D" w:rsidR="00AC2128" w:rsidRPr="00AC2128" w:rsidRDefault="00AC2128" w:rsidP="00AC2128">
      <w:pPr>
        <w:spacing w:after="0" w:line="360" w:lineRule="auto"/>
        <w:rPr>
          <w:rFonts w:ascii="Century Gothic" w:hAnsi="Century Gothic"/>
          <w:sz w:val="20"/>
          <w:szCs w:val="20"/>
        </w:rPr>
      </w:pP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sidRPr="00AC2128">
        <w:rPr>
          <w:rFonts w:ascii="Century Gothic" w:hAnsi="Century Gothic"/>
          <w:sz w:val="20"/>
          <w:szCs w:val="20"/>
        </w:rPr>
        <w:tab/>
      </w:r>
      <w:r>
        <w:rPr>
          <w:rFonts w:ascii="Century Gothic" w:hAnsi="Century Gothic"/>
          <w:sz w:val="20"/>
          <w:szCs w:val="20"/>
        </w:rPr>
        <w:t>IV</w:t>
      </w:r>
      <w:r w:rsidRPr="00AC2128">
        <w:rPr>
          <w:rFonts w:ascii="Century Gothic" w:hAnsi="Century Gothic"/>
          <w:sz w:val="20"/>
          <w:szCs w:val="20"/>
        </w:rPr>
        <w:t>. Does not affect other trades or installed work.</w:t>
      </w:r>
    </w:p>
    <w:p w14:paraId="23CB607C" w14:textId="3E46895A" w:rsidR="00AC2128" w:rsidRDefault="00AC2128" w:rsidP="00AC2128">
      <w:pPr>
        <w:spacing w:after="0" w:line="360" w:lineRule="auto"/>
        <w:ind w:left="2160"/>
        <w:rPr>
          <w:rFonts w:ascii="Century Gothic" w:hAnsi="Century Gothic"/>
          <w:sz w:val="20"/>
          <w:szCs w:val="20"/>
        </w:rPr>
      </w:pPr>
      <w:r w:rsidRPr="00AC2128">
        <w:rPr>
          <w:rFonts w:ascii="Century Gothic" w:hAnsi="Century Gothic"/>
          <w:sz w:val="20"/>
          <w:szCs w:val="20"/>
        </w:rPr>
        <w:t>3. Submittals submitted without supporting documentation may be rejected without review.</w:t>
      </w:r>
      <w:r w:rsidR="00710A17" w:rsidRPr="00710A17">
        <w:rPr>
          <w:rFonts w:ascii="Century Gothic" w:hAnsi="Century Gothic"/>
          <w:sz w:val="20"/>
          <w:szCs w:val="20"/>
        </w:rPr>
        <w:tab/>
      </w:r>
    </w:p>
    <w:p w14:paraId="1ECB85F1" w14:textId="0072047D" w:rsidR="00AC2128" w:rsidRDefault="00710A17" w:rsidP="00AC2128">
      <w:pPr>
        <w:spacing w:after="0" w:line="360" w:lineRule="auto"/>
        <w:ind w:firstLine="720"/>
        <w:rPr>
          <w:rFonts w:ascii="Century Gothic" w:hAnsi="Century Gothic"/>
          <w:sz w:val="20"/>
          <w:szCs w:val="20"/>
        </w:rPr>
      </w:pPr>
      <w:r w:rsidRPr="00710A17">
        <w:rPr>
          <w:rFonts w:ascii="Century Gothic" w:hAnsi="Century Gothic"/>
          <w:sz w:val="20"/>
          <w:szCs w:val="20"/>
        </w:rPr>
        <w:t>2.2. MATERIALS</w:t>
      </w:r>
    </w:p>
    <w:p w14:paraId="090167B3" w14:textId="6C79FC28" w:rsidR="00710A17" w:rsidRPr="00710A17" w:rsidRDefault="00710A17" w:rsidP="00AC2128">
      <w:pPr>
        <w:spacing w:after="0" w:line="360" w:lineRule="auto"/>
        <w:ind w:left="720" w:firstLine="720"/>
        <w:rPr>
          <w:rFonts w:ascii="Century Gothic" w:hAnsi="Century Gothic"/>
          <w:sz w:val="20"/>
          <w:szCs w:val="20"/>
        </w:rPr>
      </w:pPr>
      <w:r w:rsidRPr="00710A17">
        <w:rPr>
          <w:rFonts w:ascii="Century Gothic" w:hAnsi="Century Gothic"/>
          <w:sz w:val="20"/>
          <w:szCs w:val="20"/>
        </w:rPr>
        <w:t>A. MATERIALS</w:t>
      </w:r>
    </w:p>
    <w:p w14:paraId="15F3E5F8"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Solid HDPE polymer resins, single thickness, 1" thick, edges rounded to ¼" radius.</w:t>
      </w:r>
    </w:p>
    <w:p w14:paraId="48CA077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2. Waterproof, </w:t>
      </w:r>
      <w:proofErr w:type="gramStart"/>
      <w:r w:rsidRPr="00710A17">
        <w:rPr>
          <w:rFonts w:ascii="Century Gothic" w:hAnsi="Century Gothic"/>
          <w:sz w:val="20"/>
          <w:szCs w:val="20"/>
        </w:rPr>
        <w:t>nonabsorbent</w:t>
      </w:r>
      <w:proofErr w:type="gramEnd"/>
      <w:r w:rsidRPr="00710A17">
        <w:rPr>
          <w:rFonts w:ascii="Century Gothic" w:hAnsi="Century Gothic"/>
          <w:sz w:val="20"/>
          <w:szCs w:val="20"/>
        </w:rPr>
        <w:t xml:space="preserve">, </w:t>
      </w:r>
      <w:proofErr w:type="gramStart"/>
      <w:r w:rsidRPr="00710A17">
        <w:rPr>
          <w:rFonts w:ascii="Century Gothic" w:hAnsi="Century Gothic"/>
          <w:sz w:val="20"/>
          <w:szCs w:val="20"/>
        </w:rPr>
        <w:t>graffiti-resistant</w:t>
      </w:r>
      <w:proofErr w:type="gramEnd"/>
      <w:r w:rsidRPr="00710A17">
        <w:rPr>
          <w:rFonts w:ascii="Century Gothic" w:hAnsi="Century Gothic"/>
          <w:sz w:val="20"/>
          <w:szCs w:val="20"/>
        </w:rPr>
        <w:t>.</w:t>
      </w:r>
    </w:p>
    <w:p w14:paraId="098CB500" w14:textId="612D11C6"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3. Fire hazard classification: Not required OR Class A/B per ASTM E84 OR pass NFPA 286</w:t>
      </w:r>
      <w:r w:rsidR="00AC2128">
        <w:rPr>
          <w:rFonts w:ascii="Century Gothic" w:hAnsi="Century Gothic"/>
          <w:sz w:val="20"/>
          <w:szCs w:val="20"/>
        </w:rPr>
        <w:t>.</w:t>
      </w:r>
    </w:p>
    <w:p w14:paraId="76087BE4"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4. Recycled content: Minimum 25% (if applicable).</w:t>
      </w:r>
    </w:p>
    <w:p w14:paraId="3E85D130"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5. Color: To be selected from manufacturer’s full color range.</w:t>
      </w:r>
    </w:p>
    <w:p w14:paraId="2EB705E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Aluminum Extrusions: ASTM B221, 6463-T5 alloy, clear anodized finish.</w:t>
      </w:r>
    </w:p>
    <w:p w14:paraId="3E6AB5EE"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C. Stainless Steel: ASTM A167, Type 304, satin finish.</w:t>
      </w:r>
    </w:p>
    <w:p w14:paraId="1ED22FB9"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2.3 HARDWARE</w:t>
      </w:r>
    </w:p>
    <w:p w14:paraId="007D91E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 xml:space="preserve"> </w:t>
      </w:r>
      <w:r w:rsidRPr="00710A17">
        <w:rPr>
          <w:rFonts w:ascii="Century Gothic" w:hAnsi="Century Gothic"/>
          <w:i/>
          <w:iCs/>
          <w:sz w:val="18"/>
          <w:szCs w:val="18"/>
        </w:rPr>
        <w:t xml:space="preserve">(All aluminum hardware shall have a clear anodized finish; all </w:t>
      </w:r>
      <w:proofErr w:type="gramStart"/>
      <w:r w:rsidRPr="00710A17">
        <w:rPr>
          <w:rFonts w:ascii="Century Gothic" w:hAnsi="Century Gothic"/>
          <w:i/>
          <w:iCs/>
          <w:sz w:val="18"/>
          <w:szCs w:val="18"/>
        </w:rPr>
        <w:t>stainless steel</w:t>
      </w:r>
      <w:proofErr w:type="gramEnd"/>
      <w:r w:rsidRPr="00710A17">
        <w:rPr>
          <w:rFonts w:ascii="Century Gothic" w:hAnsi="Century Gothic"/>
          <w:i/>
          <w:iCs/>
          <w:sz w:val="18"/>
          <w:szCs w:val="18"/>
        </w:rPr>
        <w:t xml:space="preserve"> hardware shall have a satin finish.)</w:t>
      </w:r>
      <w:r w:rsidRPr="00710A17">
        <w:rPr>
          <w:rFonts w:ascii="Century Gothic" w:hAnsi="Century Gothic"/>
          <w:sz w:val="18"/>
          <w:szCs w:val="18"/>
        </w:rPr>
        <w:t xml:space="preserve"> </w:t>
      </w:r>
    </w:p>
    <w:p w14:paraId="6C52AED1"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HINGES:</w:t>
      </w:r>
    </w:p>
    <w:p w14:paraId="3B0983B6"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8" heavy-duty extruded aluminum, wrap-around flanges, field-adjustable nylon cams.</w:t>
      </w:r>
    </w:p>
    <w:p w14:paraId="770E9ED4" w14:textId="36890CC1"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lastRenderedPageBreak/>
        <w:t>2. Continuous Aluminum Hinge available in 54" or 71" lengths; spring-loaded for self-closing action; universal non-handed profile; fixed closing action.</w:t>
      </w:r>
    </w:p>
    <w:p w14:paraId="2E28B8BC" w14:textId="2FD9179B" w:rsidR="00AC2128" w:rsidRDefault="00710A17" w:rsidP="005708A9">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3. Continuous </w:t>
      </w:r>
      <w:proofErr w:type="gramStart"/>
      <w:r w:rsidRPr="00710A17">
        <w:rPr>
          <w:rFonts w:ascii="Century Gothic" w:hAnsi="Century Gothic"/>
          <w:sz w:val="20"/>
          <w:szCs w:val="20"/>
        </w:rPr>
        <w:t>Stainless Steel</w:t>
      </w:r>
      <w:proofErr w:type="gramEnd"/>
      <w:r w:rsidRPr="00710A17">
        <w:rPr>
          <w:rFonts w:ascii="Century Gothic" w:hAnsi="Century Gothic"/>
          <w:sz w:val="20"/>
          <w:szCs w:val="20"/>
        </w:rPr>
        <w:t xml:space="preserve"> Hinge available in 54" or 71" lengths; Type 304 stainless steel, </w:t>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spring-loaded for self-closing action; universal non-handed profile; fixed closing action.</w:t>
      </w:r>
    </w:p>
    <w:p w14:paraId="42AEE372" w14:textId="366B60FD" w:rsid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4. Helix Stainless Steel Hinge available in 54" or 71" LENGTHS; 14-gauge Type 304 stainless steel with welded and ground ¼" stainless pin; in-swing set to 15° open, out-swing set in closed</w:t>
      </w:r>
      <w:r>
        <w:rPr>
          <w:rFonts w:ascii="Century Gothic" w:hAnsi="Century Gothic"/>
          <w:sz w:val="20"/>
          <w:szCs w:val="20"/>
        </w:rPr>
        <w:t xml:space="preserve"> </w:t>
      </w:r>
      <w:r w:rsidRPr="00710A17">
        <w:rPr>
          <w:rFonts w:ascii="Century Gothic" w:hAnsi="Century Gothic"/>
          <w:sz w:val="20"/>
          <w:szCs w:val="20"/>
        </w:rPr>
        <w:t>position.</w:t>
      </w:r>
      <w:r w:rsidR="005708A9">
        <w:rPr>
          <w:rFonts w:ascii="Century Gothic" w:hAnsi="Century Gothic"/>
          <w:sz w:val="20"/>
          <w:szCs w:val="20"/>
        </w:rPr>
        <w:t xml:space="preserve"> </w:t>
      </w:r>
    </w:p>
    <w:p w14:paraId="4A585518"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B. BRACKETS:</w:t>
      </w:r>
    </w:p>
    <w:p w14:paraId="39C55AE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1. Aluminum Stirrup Bracket extruded 6463-T5 aluminum</w:t>
      </w:r>
    </w:p>
    <w:p w14:paraId="633D19F2" w14:textId="75A16D12"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2. Continuous Aluminum Bracket available in 54" or 71" lengths, extruded 6463-T5 aluminum.</w:t>
      </w:r>
    </w:p>
    <w:p w14:paraId="3A194470" w14:textId="4CE23590"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 xml:space="preserve">3. Continuous </w:t>
      </w:r>
      <w:proofErr w:type="gramStart"/>
      <w:r w:rsidRPr="00710A17">
        <w:rPr>
          <w:rFonts w:ascii="Century Gothic" w:hAnsi="Century Gothic"/>
          <w:sz w:val="20"/>
          <w:szCs w:val="20"/>
        </w:rPr>
        <w:t>Stainless Steel</w:t>
      </w:r>
      <w:proofErr w:type="gramEnd"/>
      <w:r w:rsidRPr="00710A17">
        <w:rPr>
          <w:rFonts w:ascii="Century Gothic" w:hAnsi="Century Gothic"/>
          <w:sz w:val="20"/>
          <w:szCs w:val="20"/>
        </w:rPr>
        <w:t xml:space="preserve"> Bracket available in 54" or 71" lengths, Type 304 stainless steel.</w:t>
      </w:r>
    </w:p>
    <w:p w14:paraId="7663494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4. Continuous PVC Single-Ear Bracket available in 54" or 71" lengths, extruded PVC </w:t>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construction, available in Black, Blueberry, Beige, Linen, Mocha, and </w:t>
      </w:r>
      <w:proofErr w:type="gramStart"/>
      <w:r w:rsidRPr="00710A17">
        <w:rPr>
          <w:rFonts w:ascii="Century Gothic" w:hAnsi="Century Gothic"/>
          <w:sz w:val="20"/>
          <w:szCs w:val="20"/>
        </w:rPr>
        <w:t>Grey</w:t>
      </w:r>
      <w:proofErr w:type="gramEnd"/>
      <w:r w:rsidRPr="00710A17">
        <w:rPr>
          <w:rFonts w:ascii="Century Gothic" w:hAnsi="Century Gothic"/>
          <w:sz w:val="20"/>
          <w:szCs w:val="20"/>
        </w:rPr>
        <w:t xml:space="preserve"> colors only.</w:t>
      </w:r>
    </w:p>
    <w:p w14:paraId="59FE819B"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 xml:space="preserve"> </w:t>
      </w:r>
      <w:r w:rsidRPr="00710A17">
        <w:rPr>
          <w:rFonts w:ascii="Century Gothic" w:hAnsi="Century Gothic"/>
          <w:sz w:val="20"/>
          <w:szCs w:val="20"/>
        </w:rPr>
        <w:tab/>
        <w:t>C.  DOOR STRIKE AND KEEPERS:</w:t>
      </w:r>
    </w:p>
    <w:p w14:paraId="13BEF14D" w14:textId="71A0E1DE"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1. Aluminum Strike/Keeper 6" heavy-duty extruded 6463-T5 aluminum, factory-installed hard rubber bumper.</w:t>
      </w:r>
    </w:p>
    <w:p w14:paraId="09DF194F" w14:textId="4405F6D6"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2. Stainless Steel Strike/Keeper Type 304 stainless steel, factory-installed hard rubber bumper.</w:t>
      </w:r>
    </w:p>
    <w:p w14:paraId="1385AEE0" w14:textId="77777777" w:rsidR="00710A17" w:rsidRPr="00710A17" w:rsidRDefault="00710A17" w:rsidP="00AC2128">
      <w:pPr>
        <w:spacing w:after="0" w:line="360" w:lineRule="auto"/>
        <w:ind w:left="720" w:firstLine="720"/>
        <w:rPr>
          <w:rFonts w:ascii="Century Gothic" w:hAnsi="Century Gothic"/>
          <w:sz w:val="20"/>
          <w:szCs w:val="20"/>
        </w:rPr>
      </w:pPr>
      <w:r w:rsidRPr="00710A17">
        <w:rPr>
          <w:rFonts w:ascii="Century Gothic" w:hAnsi="Century Gothic"/>
          <w:sz w:val="20"/>
          <w:szCs w:val="20"/>
        </w:rPr>
        <w:t>D. SLIDE LATCH</w:t>
      </w:r>
    </w:p>
    <w:p w14:paraId="0A92814C" w14:textId="4A532053" w:rsidR="00710A17" w:rsidRPr="00710A17" w:rsidRDefault="00710A17" w:rsidP="00AC2128">
      <w:pPr>
        <w:spacing w:after="0" w:line="360" w:lineRule="auto"/>
        <w:ind w:left="2160"/>
        <w:rPr>
          <w:rFonts w:ascii="Century Gothic" w:hAnsi="Century Gothic"/>
          <w:sz w:val="20"/>
          <w:szCs w:val="20"/>
        </w:rPr>
      </w:pPr>
      <w:r w:rsidRPr="00710A17">
        <w:rPr>
          <w:rFonts w:ascii="Century Gothic" w:hAnsi="Century Gothic"/>
          <w:sz w:val="20"/>
          <w:szCs w:val="20"/>
        </w:rPr>
        <w:t>1. Aluminum Slide Latch Heavy-duty extruded 6463-T5 aluminum latch housing, black anodized slide bar and button.</w:t>
      </w:r>
    </w:p>
    <w:p w14:paraId="317703BF"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Cast Stainless Steel Slide Latch, type 304 stainless steel.</w:t>
      </w:r>
    </w:p>
    <w:p w14:paraId="3DD786A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F. COAT HOOK AND BUMPER </w:t>
      </w:r>
    </w:p>
    <w:p w14:paraId="1054E34D"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1. Combination coat hook and door stop, </w:t>
      </w:r>
      <w:proofErr w:type="spellStart"/>
      <w:r w:rsidRPr="00710A17">
        <w:rPr>
          <w:rFonts w:ascii="Century Gothic" w:hAnsi="Century Gothic"/>
          <w:sz w:val="20"/>
          <w:szCs w:val="20"/>
        </w:rPr>
        <w:t>Zamak</w:t>
      </w:r>
      <w:proofErr w:type="spellEnd"/>
      <w:r w:rsidRPr="00710A17">
        <w:rPr>
          <w:rFonts w:ascii="Century Gothic" w:hAnsi="Century Gothic"/>
          <w:sz w:val="20"/>
          <w:szCs w:val="20"/>
        </w:rPr>
        <w:t xml:space="preserve"> alloy with satin clear finish.</w:t>
      </w:r>
    </w:p>
    <w:p w14:paraId="23A0AA69"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Combination coat hook and door stop, cast stainless steel.</w:t>
      </w:r>
    </w:p>
    <w:p w14:paraId="65B642C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 xml:space="preserve">G. DOOR PULLS </w:t>
      </w:r>
    </w:p>
    <w:p w14:paraId="1C2CB4D2"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 xml:space="preserve">1. </w:t>
      </w:r>
      <w:proofErr w:type="spellStart"/>
      <w:r w:rsidRPr="00710A17">
        <w:rPr>
          <w:rFonts w:ascii="Century Gothic" w:hAnsi="Century Gothic"/>
          <w:sz w:val="20"/>
          <w:szCs w:val="20"/>
        </w:rPr>
        <w:t>Zamak</w:t>
      </w:r>
      <w:proofErr w:type="spellEnd"/>
      <w:r w:rsidRPr="00710A17">
        <w:rPr>
          <w:rFonts w:ascii="Century Gothic" w:hAnsi="Century Gothic"/>
          <w:sz w:val="20"/>
          <w:szCs w:val="20"/>
        </w:rPr>
        <w:t xml:space="preserve"> alloy with satin clear finish.</w:t>
      </w:r>
    </w:p>
    <w:p w14:paraId="7A219EAC"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2. Cast stainless steel (satin finish).</w:t>
      </w:r>
    </w:p>
    <w:p w14:paraId="76D12A23"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r>
      <w:r w:rsidRPr="00710A17">
        <w:rPr>
          <w:rFonts w:ascii="Century Gothic" w:hAnsi="Century Gothic"/>
          <w:sz w:val="20"/>
          <w:szCs w:val="20"/>
        </w:rPr>
        <w:tab/>
        <w:t>I. ADA outswing doors include a second pull.</w:t>
      </w:r>
    </w:p>
    <w:p w14:paraId="514A721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2.4 COMPONENTS</w:t>
      </w:r>
    </w:p>
    <w:p w14:paraId="300762B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Doors/Panels: 55" high, mounted 14" above finished floor.</w:t>
      </w:r>
    </w:p>
    <w:p w14:paraId="5866EE97" w14:textId="75E1B771" w:rsidR="001C6A10" w:rsidRDefault="00710A17" w:rsidP="00AC2128">
      <w:pPr>
        <w:spacing w:after="0" w:line="360" w:lineRule="auto"/>
        <w:rPr>
          <w:rFonts w:ascii="Century Gothic" w:hAnsi="Century Gothic"/>
          <w:sz w:val="20"/>
          <w:szCs w:val="20"/>
        </w:rPr>
      </w:pPr>
      <w:r w:rsidRPr="00710A17">
        <w:rPr>
          <w:rFonts w:ascii="Century Gothic" w:hAnsi="Century Gothic"/>
          <w:sz w:val="20"/>
          <w:szCs w:val="20"/>
        </w:rPr>
        <w:lastRenderedPageBreak/>
        <w:tab/>
      </w:r>
      <w:r w:rsidRPr="00710A17">
        <w:rPr>
          <w:rFonts w:ascii="Century Gothic" w:hAnsi="Century Gothic"/>
          <w:sz w:val="20"/>
          <w:szCs w:val="20"/>
        </w:rPr>
        <w:tab/>
        <w:t>B. Pilasters</w:t>
      </w:r>
      <w:r w:rsidR="001C6A10">
        <w:rPr>
          <w:rFonts w:ascii="Century Gothic" w:hAnsi="Century Gothic"/>
          <w:sz w:val="20"/>
          <w:szCs w:val="20"/>
        </w:rPr>
        <w:t>:</w:t>
      </w:r>
      <w:r w:rsidR="001C6A10" w:rsidRPr="001C6A10">
        <w:rPr>
          <w:rFonts w:ascii="Century Gothic" w:hAnsi="Century Gothic"/>
          <w:sz w:val="20"/>
          <w:szCs w:val="20"/>
        </w:rPr>
        <w:t xml:space="preserve"> </w:t>
      </w:r>
      <w:r w:rsidR="001915E3" w:rsidRPr="001915E3">
        <w:rPr>
          <w:rFonts w:ascii="Century Gothic" w:hAnsi="Century Gothic"/>
          <w:sz w:val="20"/>
          <w:szCs w:val="20"/>
        </w:rPr>
        <w:t xml:space="preserve">Height designed for ceiling-hung installation, fastened to ceiling and anchored per </w:t>
      </w:r>
      <w:r w:rsidR="001915E3" w:rsidRPr="001915E3">
        <w:rPr>
          <w:rFonts w:ascii="Century Gothic" w:hAnsi="Century Gothic"/>
          <w:sz w:val="20"/>
          <w:szCs w:val="20"/>
        </w:rPr>
        <w:tab/>
      </w:r>
      <w:r w:rsidR="001915E3" w:rsidRPr="001915E3">
        <w:rPr>
          <w:rFonts w:ascii="Century Gothic" w:hAnsi="Century Gothic"/>
          <w:sz w:val="20"/>
          <w:szCs w:val="20"/>
        </w:rPr>
        <w:tab/>
      </w:r>
      <w:r w:rsidR="001915E3" w:rsidRPr="001915E3">
        <w:rPr>
          <w:rFonts w:ascii="Century Gothic" w:hAnsi="Century Gothic"/>
          <w:sz w:val="20"/>
          <w:szCs w:val="20"/>
        </w:rPr>
        <w:tab/>
        <w:t>manufacturer’s details.</w:t>
      </w:r>
      <w:r w:rsidRPr="00710A17">
        <w:rPr>
          <w:rFonts w:ascii="Century Gothic" w:hAnsi="Century Gothic"/>
          <w:sz w:val="20"/>
          <w:szCs w:val="20"/>
        </w:rPr>
        <w:tab/>
      </w:r>
      <w:r w:rsidRPr="00710A17">
        <w:rPr>
          <w:rFonts w:ascii="Century Gothic" w:hAnsi="Century Gothic"/>
          <w:sz w:val="20"/>
          <w:szCs w:val="20"/>
        </w:rPr>
        <w:tab/>
      </w:r>
    </w:p>
    <w:p w14:paraId="1C2B12D5" w14:textId="588F891F" w:rsidR="001C6A10" w:rsidRPr="001C6A10" w:rsidRDefault="00710A17" w:rsidP="001915E3">
      <w:pPr>
        <w:spacing w:after="0" w:line="360" w:lineRule="auto"/>
        <w:ind w:left="720" w:firstLine="720"/>
        <w:rPr>
          <w:rFonts w:ascii="Century Gothic" w:hAnsi="Century Gothic"/>
          <w:sz w:val="20"/>
          <w:szCs w:val="20"/>
        </w:rPr>
      </w:pPr>
      <w:r w:rsidRPr="00710A17">
        <w:rPr>
          <w:rFonts w:ascii="Century Gothic" w:hAnsi="Century Gothic"/>
          <w:sz w:val="20"/>
          <w:szCs w:val="20"/>
        </w:rPr>
        <w:t xml:space="preserve">C. </w:t>
      </w:r>
      <w:r w:rsidR="001C6A10" w:rsidRPr="001C6A10">
        <w:rPr>
          <w:rFonts w:ascii="Century Gothic" w:hAnsi="Century Gothic"/>
          <w:sz w:val="20"/>
          <w:szCs w:val="20"/>
        </w:rPr>
        <w:t>Pilaster Sleeves</w:t>
      </w:r>
    </w:p>
    <w:p w14:paraId="3B7E2615" w14:textId="515F217D" w:rsidR="001C6A10" w:rsidRPr="001C6A10" w:rsidRDefault="001C6A10" w:rsidP="001C6A10">
      <w:pPr>
        <w:spacing w:after="0" w:line="360" w:lineRule="auto"/>
        <w:ind w:left="2160"/>
        <w:rPr>
          <w:rFonts w:ascii="Century Gothic" w:hAnsi="Century Gothic"/>
          <w:sz w:val="20"/>
          <w:szCs w:val="20"/>
        </w:rPr>
      </w:pPr>
      <w:r w:rsidRPr="001C6A10">
        <w:rPr>
          <w:rFonts w:ascii="Century Gothic" w:hAnsi="Century Gothic"/>
          <w:sz w:val="20"/>
          <w:szCs w:val="20"/>
        </w:rPr>
        <w:t>1. 4" tall, stainless steel, Type 304, 20-gauge, sizes from 3"–12" (1" increments), 14"–24" (even sizes only).</w:t>
      </w:r>
    </w:p>
    <w:p w14:paraId="79493397"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PART 3 – EXECUTION</w:t>
      </w:r>
    </w:p>
    <w:p w14:paraId="084D26F0"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3.1 INSTALLATION</w:t>
      </w:r>
    </w:p>
    <w:p w14:paraId="12DB7B10" w14:textId="720BE378" w:rsidR="00710A17" w:rsidRPr="00710A17" w:rsidRDefault="00710A17" w:rsidP="00AC2128">
      <w:pPr>
        <w:spacing w:after="0" w:line="360" w:lineRule="auto"/>
        <w:ind w:left="1440"/>
        <w:rPr>
          <w:rFonts w:ascii="Century Gothic" w:hAnsi="Century Gothic"/>
          <w:sz w:val="20"/>
          <w:szCs w:val="20"/>
        </w:rPr>
      </w:pPr>
      <w:r w:rsidRPr="00710A17">
        <w:rPr>
          <w:rFonts w:ascii="Century Gothic" w:hAnsi="Century Gothic"/>
          <w:sz w:val="20"/>
          <w:szCs w:val="20"/>
        </w:rPr>
        <w:t>A. Install compartments in accordance with manufacturer’s instructions and approved shop drawings.</w:t>
      </w:r>
    </w:p>
    <w:p w14:paraId="090CDF4B" w14:textId="595C2FD2" w:rsidR="00710A17" w:rsidRPr="00710A17" w:rsidRDefault="00710A17" w:rsidP="00AC2128">
      <w:pPr>
        <w:spacing w:after="0" w:line="360" w:lineRule="auto"/>
        <w:ind w:left="720" w:firstLine="720"/>
        <w:rPr>
          <w:rFonts w:ascii="Century Gothic" w:hAnsi="Century Gothic"/>
          <w:sz w:val="20"/>
          <w:szCs w:val="20"/>
        </w:rPr>
      </w:pPr>
      <w:r w:rsidRPr="00710A17">
        <w:rPr>
          <w:rFonts w:ascii="Century Gothic" w:hAnsi="Century Gothic"/>
          <w:sz w:val="20"/>
          <w:szCs w:val="20"/>
        </w:rPr>
        <w:t>B. Install plumb, level, and rigid.</w:t>
      </w:r>
    </w:p>
    <w:p w14:paraId="4DDF08DA"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C. Bottom edges of doors and panels to be 14" above finished floor.</w:t>
      </w:r>
    </w:p>
    <w:p w14:paraId="00636D6A" w14:textId="11EB4BA5" w:rsidR="00710A17" w:rsidRPr="00710A17" w:rsidRDefault="00710A17" w:rsidP="00AC2128">
      <w:pPr>
        <w:spacing w:after="0" w:line="360" w:lineRule="auto"/>
        <w:ind w:left="720" w:firstLine="720"/>
        <w:rPr>
          <w:rFonts w:ascii="Century Gothic" w:hAnsi="Century Gothic"/>
          <w:sz w:val="20"/>
          <w:szCs w:val="20"/>
        </w:rPr>
      </w:pPr>
      <w:r w:rsidRPr="00710A17">
        <w:rPr>
          <w:rFonts w:ascii="Century Gothic" w:hAnsi="Century Gothic"/>
          <w:sz w:val="20"/>
          <w:szCs w:val="20"/>
        </w:rPr>
        <w:t>D. Provide maximum ⅜" vertical clearance at doors.</w:t>
      </w:r>
    </w:p>
    <w:p w14:paraId="0169234D"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E. No evidence of cutting, drilling, or patching is acceptable.</w:t>
      </w:r>
    </w:p>
    <w:p w14:paraId="397BDF65" w14:textId="77777777"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t>3.2 ADJUSTING</w:t>
      </w:r>
    </w:p>
    <w:p w14:paraId="65C28254" w14:textId="60360429" w:rsidR="00710A17" w:rsidRPr="00710A17" w:rsidRDefault="00710A17" w:rsidP="00AC2128">
      <w:pPr>
        <w:spacing w:after="0" w:line="360" w:lineRule="auto"/>
        <w:rPr>
          <w:rFonts w:ascii="Century Gothic" w:hAnsi="Century Gothic"/>
          <w:sz w:val="20"/>
          <w:szCs w:val="20"/>
        </w:rPr>
      </w:pPr>
      <w:r w:rsidRPr="00710A17">
        <w:rPr>
          <w:rFonts w:ascii="Century Gothic" w:hAnsi="Century Gothic"/>
          <w:sz w:val="20"/>
          <w:szCs w:val="20"/>
        </w:rPr>
        <w:tab/>
      </w:r>
      <w:r w:rsidRPr="00710A17">
        <w:rPr>
          <w:rFonts w:ascii="Century Gothic" w:hAnsi="Century Gothic"/>
          <w:sz w:val="20"/>
          <w:szCs w:val="20"/>
        </w:rPr>
        <w:tab/>
        <w:t>A. Adjust doors and latches for proper operation.</w:t>
      </w:r>
    </w:p>
    <w:p w14:paraId="257D1B60" w14:textId="2D7B0D2E" w:rsidR="00710A17" w:rsidRPr="00710A17" w:rsidRDefault="00710A17" w:rsidP="00AC2128">
      <w:pPr>
        <w:tabs>
          <w:tab w:val="left" w:pos="2685"/>
        </w:tabs>
        <w:spacing w:after="0" w:line="360" w:lineRule="auto"/>
        <w:rPr>
          <w:rFonts w:ascii="Century Gothic" w:hAnsi="Century Gothic"/>
          <w:sz w:val="20"/>
          <w:szCs w:val="20"/>
        </w:rPr>
      </w:pPr>
    </w:p>
    <w:sectPr w:rsidR="00710A17" w:rsidRPr="00710A17" w:rsidSect="00710A17">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605D" w14:textId="77777777" w:rsidR="00074822" w:rsidRDefault="00074822" w:rsidP="00710A17">
      <w:pPr>
        <w:spacing w:after="0" w:line="240" w:lineRule="auto"/>
      </w:pPr>
      <w:r>
        <w:separator/>
      </w:r>
    </w:p>
  </w:endnote>
  <w:endnote w:type="continuationSeparator" w:id="0">
    <w:p w14:paraId="132BF1A2" w14:textId="77777777" w:rsidR="00074822" w:rsidRDefault="00074822" w:rsidP="0071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D7E8" w14:textId="04211B4E" w:rsidR="00710A17" w:rsidRDefault="00710A17" w:rsidP="00710A17">
    <w:pPr>
      <w:pStyle w:val="Footer"/>
      <w:jc w:val="center"/>
    </w:pPr>
    <w:r w:rsidRPr="00710A17">
      <w:rPr>
        <w:rFonts w:ascii="Century Gothic" w:hAnsi="Century Gothic"/>
        <w:b/>
        <w:bCs/>
      </w:rPr>
      <w:t>ACCUTECMFG.COM</w:t>
    </w:r>
    <w:r>
      <w:tab/>
    </w:r>
    <w:r>
      <w:tab/>
    </w:r>
    <w:r>
      <w:object w:dxaOrig="4005" w:dyaOrig="540" w14:anchorId="2F63D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27pt">
          <v:imagedata r:id="rId1" o:title=""/>
        </v:shape>
        <o:OLEObject Type="Embed" ProgID="Visio.Drawing.15" ShapeID="_x0000_i1025" DrawAspect="Content" ObjectID="_1824975494"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494E" w14:textId="77777777" w:rsidR="00074822" w:rsidRDefault="00074822" w:rsidP="00710A17">
      <w:pPr>
        <w:spacing w:after="0" w:line="240" w:lineRule="auto"/>
      </w:pPr>
      <w:r>
        <w:separator/>
      </w:r>
    </w:p>
  </w:footnote>
  <w:footnote w:type="continuationSeparator" w:id="0">
    <w:p w14:paraId="131504FB" w14:textId="77777777" w:rsidR="00074822" w:rsidRDefault="00074822" w:rsidP="00710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470" w14:textId="5CD1BC66" w:rsidR="00710A17" w:rsidRDefault="00710A17" w:rsidP="00710A17">
    <w:pPr>
      <w:pStyle w:val="Header"/>
      <w:jc w:val="center"/>
      <w:rPr>
        <w:rFonts w:ascii="Century Gothic" w:hAnsi="Century Gothic"/>
        <w:sz w:val="36"/>
        <w:szCs w:val="36"/>
      </w:rPr>
    </w:pPr>
    <w:r w:rsidRPr="00710A17">
      <w:rPr>
        <w:rFonts w:ascii="Century Gothic" w:hAnsi="Century Gothic"/>
        <w:sz w:val="36"/>
        <w:szCs w:val="36"/>
      </w:rPr>
      <w:t>SOLID PLASTIC TOILET SPECIFICATIONS</w:t>
    </w:r>
  </w:p>
  <w:p w14:paraId="2145B481" w14:textId="5AFBF8F7" w:rsidR="00AC2128" w:rsidRPr="005708A9" w:rsidRDefault="001915E3" w:rsidP="00710A17">
    <w:pPr>
      <w:pStyle w:val="Header"/>
      <w:jc w:val="center"/>
      <w:rPr>
        <w:rFonts w:ascii="Century Gothic" w:hAnsi="Century Gothic"/>
        <w:b/>
        <w:bCs/>
        <w:sz w:val="56"/>
        <w:szCs w:val="56"/>
      </w:rPr>
    </w:pPr>
    <w:r>
      <w:rPr>
        <w:rFonts w:ascii="Century Gothic" w:hAnsi="Century Gothic"/>
        <w:b/>
        <w:bCs/>
        <w:sz w:val="56"/>
        <w:szCs w:val="56"/>
      </w:rPr>
      <w:t>CEILING HUNG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17"/>
    <w:rsid w:val="00074822"/>
    <w:rsid w:val="00082496"/>
    <w:rsid w:val="00125325"/>
    <w:rsid w:val="001915E3"/>
    <w:rsid w:val="001C6A10"/>
    <w:rsid w:val="005708A9"/>
    <w:rsid w:val="005839D4"/>
    <w:rsid w:val="0062222B"/>
    <w:rsid w:val="006D62E7"/>
    <w:rsid w:val="00710A17"/>
    <w:rsid w:val="007440BE"/>
    <w:rsid w:val="00AC2128"/>
    <w:rsid w:val="00CE22F7"/>
    <w:rsid w:val="00FB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F35E3"/>
  <w15:chartTrackingRefBased/>
  <w15:docId w15:val="{3D5F44AA-E627-4D49-AD39-1EF9140B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28"/>
  </w:style>
  <w:style w:type="paragraph" w:styleId="Heading1">
    <w:name w:val="heading 1"/>
    <w:basedOn w:val="Normal"/>
    <w:next w:val="Normal"/>
    <w:link w:val="Heading1Char"/>
    <w:uiPriority w:val="9"/>
    <w:qFormat/>
    <w:rsid w:val="00710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A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A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A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A17"/>
    <w:rPr>
      <w:rFonts w:eastAsiaTheme="majorEastAsia" w:cstheme="majorBidi"/>
      <w:color w:val="272727" w:themeColor="text1" w:themeTint="D8"/>
    </w:rPr>
  </w:style>
  <w:style w:type="paragraph" w:styleId="Title">
    <w:name w:val="Title"/>
    <w:basedOn w:val="Normal"/>
    <w:next w:val="Normal"/>
    <w:link w:val="TitleChar"/>
    <w:uiPriority w:val="10"/>
    <w:qFormat/>
    <w:rsid w:val="00710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A17"/>
    <w:pPr>
      <w:spacing w:before="160"/>
      <w:jc w:val="center"/>
    </w:pPr>
    <w:rPr>
      <w:i/>
      <w:iCs/>
      <w:color w:val="404040" w:themeColor="text1" w:themeTint="BF"/>
    </w:rPr>
  </w:style>
  <w:style w:type="character" w:customStyle="1" w:styleId="QuoteChar">
    <w:name w:val="Quote Char"/>
    <w:basedOn w:val="DefaultParagraphFont"/>
    <w:link w:val="Quote"/>
    <w:uiPriority w:val="29"/>
    <w:rsid w:val="00710A17"/>
    <w:rPr>
      <w:i/>
      <w:iCs/>
      <w:color w:val="404040" w:themeColor="text1" w:themeTint="BF"/>
    </w:rPr>
  </w:style>
  <w:style w:type="paragraph" w:styleId="ListParagraph">
    <w:name w:val="List Paragraph"/>
    <w:basedOn w:val="Normal"/>
    <w:uiPriority w:val="34"/>
    <w:qFormat/>
    <w:rsid w:val="00710A17"/>
    <w:pPr>
      <w:ind w:left="720"/>
      <w:contextualSpacing/>
    </w:pPr>
  </w:style>
  <w:style w:type="character" w:styleId="IntenseEmphasis">
    <w:name w:val="Intense Emphasis"/>
    <w:basedOn w:val="DefaultParagraphFont"/>
    <w:uiPriority w:val="21"/>
    <w:qFormat/>
    <w:rsid w:val="00710A17"/>
    <w:rPr>
      <w:i/>
      <w:iCs/>
      <w:color w:val="0F4761" w:themeColor="accent1" w:themeShade="BF"/>
    </w:rPr>
  </w:style>
  <w:style w:type="paragraph" w:styleId="IntenseQuote">
    <w:name w:val="Intense Quote"/>
    <w:basedOn w:val="Normal"/>
    <w:next w:val="Normal"/>
    <w:link w:val="IntenseQuoteChar"/>
    <w:uiPriority w:val="30"/>
    <w:qFormat/>
    <w:rsid w:val="00710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A17"/>
    <w:rPr>
      <w:i/>
      <w:iCs/>
      <w:color w:val="0F4761" w:themeColor="accent1" w:themeShade="BF"/>
    </w:rPr>
  </w:style>
  <w:style w:type="character" w:styleId="IntenseReference">
    <w:name w:val="Intense Reference"/>
    <w:basedOn w:val="DefaultParagraphFont"/>
    <w:uiPriority w:val="32"/>
    <w:qFormat/>
    <w:rsid w:val="00710A17"/>
    <w:rPr>
      <w:b/>
      <w:bCs/>
      <w:smallCaps/>
      <w:color w:val="0F4761" w:themeColor="accent1" w:themeShade="BF"/>
      <w:spacing w:val="5"/>
    </w:rPr>
  </w:style>
  <w:style w:type="paragraph" w:styleId="Header">
    <w:name w:val="header"/>
    <w:basedOn w:val="Normal"/>
    <w:link w:val="HeaderChar"/>
    <w:uiPriority w:val="99"/>
    <w:unhideWhenUsed/>
    <w:rsid w:val="00710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A17"/>
  </w:style>
  <w:style w:type="paragraph" w:styleId="Footer">
    <w:name w:val="footer"/>
    <w:basedOn w:val="Normal"/>
    <w:link w:val="FooterChar"/>
    <w:uiPriority w:val="99"/>
    <w:unhideWhenUsed/>
    <w:rsid w:val="00710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dc:creator>
  <cp:keywords/>
  <dc:description/>
  <cp:lastModifiedBy>Carlos Martinez</cp:lastModifiedBy>
  <cp:revision>3</cp:revision>
  <dcterms:created xsi:type="dcterms:W3CDTF">2025-11-18T20:50:00Z</dcterms:created>
  <dcterms:modified xsi:type="dcterms:W3CDTF">2025-11-18T20:52:00Z</dcterms:modified>
</cp:coreProperties>
</file>