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C95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1 – GENERAL</w:t>
      </w:r>
    </w:p>
    <w:p w14:paraId="1A15E4F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1.1. SUMMARY</w:t>
      </w:r>
    </w:p>
    <w:p w14:paraId="54FD3B4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Selection Includes: </w:t>
      </w:r>
    </w:p>
    <w:p w14:paraId="11D72BE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plastic [toilet compartments] [urinal screens] [privacy screens].</w:t>
      </w:r>
    </w:p>
    <w:p w14:paraId="06BCA12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1.2. REFERENCES</w:t>
      </w:r>
    </w:p>
    <w:p w14:paraId="0D7F134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Advancing Standards Transforming Markets (ASTM International)</w:t>
      </w:r>
    </w:p>
    <w:p w14:paraId="5F13A13F" w14:textId="4C65E049"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1. ASTM E84 - Standard Test Method for Surface Burning Characteristics of </w:t>
      </w:r>
      <w:r w:rsidRPr="00710A17">
        <w:rPr>
          <w:rFonts w:ascii="Century Gothic" w:hAnsi="Century Gothic"/>
          <w:sz w:val="20"/>
          <w:szCs w:val="20"/>
        </w:rPr>
        <w:tab/>
        <w:t>Building Materials.</w:t>
      </w:r>
    </w:p>
    <w:p w14:paraId="0F1DE3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National Fire Protection Association (NFPA):</w:t>
      </w:r>
    </w:p>
    <w:p w14:paraId="08BCCB9F" w14:textId="04B6502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NFPA 286 – Standard Methods of Fire Tests for Evaluating Contribution of Wall and Ceiling Interior Finish to Room Fire Growth.</w:t>
      </w:r>
    </w:p>
    <w:p w14:paraId="4DDC36C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1.3. SYSTEM DESCRIPTION</w:t>
      </w:r>
    </w:p>
    <w:p w14:paraId="142F3E7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Compartment Configurations:</w:t>
      </w:r>
    </w:p>
    <w:p w14:paraId="737C864A" w14:textId="10F205E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Floor mounted</w:t>
      </w:r>
      <w:r w:rsidR="005708A9">
        <w:rPr>
          <w:rFonts w:ascii="Century Gothic" w:hAnsi="Century Gothic"/>
          <w:sz w:val="20"/>
          <w:szCs w:val="20"/>
        </w:rPr>
        <w:t xml:space="preserve"> overhead braced</w:t>
      </w:r>
      <w:r w:rsidRPr="00710A17">
        <w:rPr>
          <w:rFonts w:ascii="Century Gothic" w:hAnsi="Century Gothic"/>
          <w:sz w:val="20"/>
          <w:szCs w:val="20"/>
        </w:rPr>
        <w:t xml:space="preserve"> toilet partitions, privacy screens, and entry partitions.</w:t>
      </w:r>
    </w:p>
    <w:p w14:paraId="0B38B90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Urinal screens: wall or floor mounted.</w:t>
      </w:r>
    </w:p>
    <w:p w14:paraId="1A1EE3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1.4 SUBMITTALS</w:t>
      </w:r>
    </w:p>
    <w:p w14:paraId="2E0FB07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Submittals for Review: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p>
    <w:p w14:paraId="2AF2A82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Shop Drawings: Dimensioned layout and elevations.</w:t>
      </w:r>
    </w:p>
    <w:p w14:paraId="3A2A3DA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Product Data: Manufacturer’s descriptive data for panels and hardware.</w:t>
      </w:r>
    </w:p>
    <w:p w14:paraId="018C2D2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Samples: 2"x3" samples available upon request.</w:t>
      </w:r>
    </w:p>
    <w:p w14:paraId="79ADD45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Sustainable Design Submittals:</w:t>
      </w:r>
    </w:p>
    <w:p w14:paraId="1CB7E1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Recycled Content: Certify post-consumer and pre-consumer recycled content.</w:t>
      </w:r>
    </w:p>
    <w:p w14:paraId="55622745" w14:textId="7E8485A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Regional Materials: Certify distances from manufacturing and raw material sources.</w:t>
      </w:r>
    </w:p>
    <w:p w14:paraId="31895F6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1.5 QUALITY ASSURANCE:</w:t>
      </w:r>
    </w:p>
    <w:p w14:paraId="7E1EBEDF" w14:textId="59E1F44C"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A. Manufacturer Qualifications: Over 15 </w:t>
      </w:r>
      <w:proofErr w:type="spellStart"/>
      <w:proofErr w:type="gramStart"/>
      <w:r w:rsidRPr="00710A17">
        <w:rPr>
          <w:rFonts w:ascii="Century Gothic" w:hAnsi="Century Gothic"/>
          <w:sz w:val="20"/>
          <w:szCs w:val="20"/>
        </w:rPr>
        <w:t>years</w:t>
      </w:r>
      <w:proofErr w:type="gramEnd"/>
      <w:r w:rsidRPr="00710A17">
        <w:rPr>
          <w:rFonts w:ascii="Century Gothic" w:hAnsi="Century Gothic"/>
          <w:sz w:val="20"/>
          <w:szCs w:val="20"/>
        </w:rPr>
        <w:t xml:space="preserve"> experience</w:t>
      </w:r>
      <w:proofErr w:type="spellEnd"/>
      <w:r w:rsidRPr="00710A17">
        <w:rPr>
          <w:rFonts w:ascii="Century Gothic" w:hAnsi="Century Gothic"/>
          <w:sz w:val="20"/>
          <w:szCs w:val="20"/>
        </w:rPr>
        <w:t xml:space="preserve"> of outstanding manufacturing experience in solid plastic toilet compartments.</w:t>
      </w:r>
    </w:p>
    <w:p w14:paraId="7C8D6EE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1.6 WARRANTIES:</w:t>
      </w:r>
    </w:p>
    <w:p w14:paraId="58E400A9" w14:textId="109E8252"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Provide manufacturer’s 25-year warranty against breakage, corrosion, and delamination under normal conditions.</w:t>
      </w:r>
    </w:p>
    <w:p w14:paraId="3DFA3986" w14:textId="602F6780"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B.  Warranty </w:t>
      </w:r>
      <w:proofErr w:type="gramStart"/>
      <w:r w:rsidRPr="00710A17">
        <w:rPr>
          <w:rFonts w:ascii="Century Gothic" w:hAnsi="Century Gothic"/>
          <w:sz w:val="20"/>
          <w:szCs w:val="20"/>
        </w:rPr>
        <w:t>void</w:t>
      </w:r>
      <w:proofErr w:type="gramEnd"/>
      <w:r w:rsidRPr="00710A17">
        <w:rPr>
          <w:rFonts w:ascii="Century Gothic" w:hAnsi="Century Gothic"/>
          <w:sz w:val="20"/>
          <w:szCs w:val="20"/>
        </w:rPr>
        <w:t xml:space="preserve"> if material is exposed to direct sunlight (causing warping), stored leaning against a wall, or stored outside recommended room temperature. Material must be stored flat, indoors, at room temperature.</w:t>
      </w:r>
    </w:p>
    <w:p w14:paraId="034B7776" w14:textId="77777777" w:rsidR="00AC2128" w:rsidRDefault="00AC2128" w:rsidP="00AC2128">
      <w:pPr>
        <w:spacing w:after="0" w:line="360" w:lineRule="auto"/>
        <w:jc w:val="center"/>
        <w:rPr>
          <w:rFonts w:ascii="Century Gothic" w:hAnsi="Century Gothic"/>
          <w:b/>
          <w:bCs/>
          <w:sz w:val="60"/>
          <w:szCs w:val="60"/>
        </w:rPr>
      </w:pPr>
    </w:p>
    <w:p w14:paraId="30FEA8F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lastRenderedPageBreak/>
        <w:t>PART 2 – PRODUCTS</w:t>
      </w:r>
    </w:p>
    <w:p w14:paraId="34A48896"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t>2.1 MANUFACTURERS</w:t>
      </w:r>
    </w:p>
    <w:p w14:paraId="2718A43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t>A. Accu Tec Manufacturing, Inc.</w:t>
      </w:r>
    </w:p>
    <w:p w14:paraId="77604431" w14:textId="26BC668F" w:rsidR="00AC2128" w:rsidRPr="00AC2128" w:rsidRDefault="00AC2128" w:rsidP="00AC2128">
      <w:pPr>
        <w:spacing w:after="0" w:line="360" w:lineRule="auto"/>
        <w:ind w:left="1440"/>
        <w:rPr>
          <w:rFonts w:ascii="Century Gothic" w:hAnsi="Century Gothic"/>
          <w:sz w:val="20"/>
          <w:szCs w:val="20"/>
        </w:rPr>
      </w:pPr>
      <w:r w:rsidRPr="00AC2128">
        <w:rPr>
          <w:rFonts w:ascii="Century Gothic" w:hAnsi="Century Gothic"/>
          <w:sz w:val="20"/>
          <w:szCs w:val="20"/>
        </w:rPr>
        <w:t>B. Substitutions: Requests for substitutions shall be considered only if the proposed product meets or exceeds the established design intent, performance criteria, material requirements, and dimensions outlined in this specification.</w:t>
      </w:r>
    </w:p>
    <w:p w14:paraId="4324FBD2" w14:textId="4804F6B9" w:rsidR="00AC2128" w:rsidRP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1. Manufacturers seeking to have a product approved as “equal” must submit complete product data, technical specifications, fire performance data (NFPA 286 or ASTM E84, as applicable), maintenance information, and samples at least 10 days prior to bid date unless otherwise permitted by the architect.</w:t>
      </w:r>
    </w:p>
    <w:p w14:paraId="7CDD700B"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 xml:space="preserve">2. Substitutions will be accepted only when the architect determines that the proposed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product:</w:t>
      </w:r>
    </w:p>
    <w:p w14:paraId="56203E25" w14:textId="37CDB790" w:rsidR="00AC2128" w:rsidRPr="00AC2128" w:rsidRDefault="00AC2128" w:rsidP="00AC2128">
      <w:pPr>
        <w:spacing w:after="0" w:line="360" w:lineRule="auto"/>
        <w:ind w:left="2880"/>
        <w:rPr>
          <w:rFonts w:ascii="Century Gothic" w:hAnsi="Century Gothic"/>
          <w:sz w:val="20"/>
          <w:szCs w:val="20"/>
        </w:rPr>
      </w:pPr>
      <w:r>
        <w:rPr>
          <w:rFonts w:ascii="Century Gothic" w:hAnsi="Century Gothic"/>
          <w:sz w:val="20"/>
          <w:szCs w:val="20"/>
        </w:rPr>
        <w:t>I</w:t>
      </w:r>
      <w:r w:rsidRPr="00AC2128">
        <w:rPr>
          <w:rFonts w:ascii="Century Gothic" w:hAnsi="Century Gothic"/>
          <w:sz w:val="20"/>
          <w:szCs w:val="20"/>
        </w:rPr>
        <w:t>. Maintains equal or superior material quality, durability, and fire/safety compliance.</w:t>
      </w:r>
    </w:p>
    <w:p w14:paraId="2DFCFDDD" w14:textId="6F18A52A"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w:t>
      </w:r>
      <w:r w:rsidRPr="00AC2128">
        <w:rPr>
          <w:rFonts w:ascii="Century Gothic" w:hAnsi="Century Gothic"/>
          <w:sz w:val="20"/>
          <w:szCs w:val="20"/>
        </w:rPr>
        <w:t xml:space="preserve">. Fully matches the design intent, configuration, appearance, and functionality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described in the contract documents.</w:t>
      </w:r>
    </w:p>
    <w:p w14:paraId="5DA3DAC1" w14:textId="08D02769"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III</w:t>
      </w:r>
      <w:r w:rsidRPr="00AC2128">
        <w:rPr>
          <w:rFonts w:ascii="Century Gothic" w:hAnsi="Century Gothic"/>
          <w:sz w:val="20"/>
          <w:szCs w:val="20"/>
        </w:rPr>
        <w:t>. Does not require architectural or structural redesign.</w:t>
      </w:r>
    </w:p>
    <w:p w14:paraId="720C0549" w14:textId="6B50FD0D"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IV</w:t>
      </w:r>
      <w:r w:rsidRPr="00AC2128">
        <w:rPr>
          <w:rFonts w:ascii="Century Gothic" w:hAnsi="Century Gothic"/>
          <w:sz w:val="20"/>
          <w:szCs w:val="20"/>
        </w:rPr>
        <w:t>. Does not affect other trades or installed work.</w:t>
      </w:r>
    </w:p>
    <w:p w14:paraId="23CB607C" w14:textId="3E46895A" w:rsid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3. Submittals submitted without supporting documentation may be rejected without review.</w:t>
      </w:r>
      <w:r w:rsidR="00710A17" w:rsidRPr="00710A17">
        <w:rPr>
          <w:rFonts w:ascii="Century Gothic" w:hAnsi="Century Gothic"/>
          <w:sz w:val="20"/>
          <w:szCs w:val="20"/>
        </w:rPr>
        <w:tab/>
      </w:r>
    </w:p>
    <w:p w14:paraId="1ECB85F1" w14:textId="0072047D" w:rsidR="00AC2128" w:rsidRDefault="00710A17" w:rsidP="00AC2128">
      <w:pPr>
        <w:spacing w:after="0" w:line="360" w:lineRule="auto"/>
        <w:ind w:firstLine="720"/>
        <w:rPr>
          <w:rFonts w:ascii="Century Gothic" w:hAnsi="Century Gothic"/>
          <w:sz w:val="20"/>
          <w:szCs w:val="20"/>
        </w:rPr>
      </w:pPr>
      <w:r w:rsidRPr="00710A17">
        <w:rPr>
          <w:rFonts w:ascii="Century Gothic" w:hAnsi="Century Gothic"/>
          <w:sz w:val="20"/>
          <w:szCs w:val="20"/>
        </w:rPr>
        <w:t>2.2. MATERIALS</w:t>
      </w:r>
    </w:p>
    <w:p w14:paraId="090167B3" w14:textId="6C79FC28"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A. MATERIALS</w:t>
      </w:r>
    </w:p>
    <w:p w14:paraId="15F3E5F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HDPE polymer resins, single thickness, 1" thick, edges rounded to ¼" radius.</w:t>
      </w:r>
    </w:p>
    <w:p w14:paraId="48CA077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2. Waterproof, </w:t>
      </w:r>
      <w:proofErr w:type="gramStart"/>
      <w:r w:rsidRPr="00710A17">
        <w:rPr>
          <w:rFonts w:ascii="Century Gothic" w:hAnsi="Century Gothic"/>
          <w:sz w:val="20"/>
          <w:szCs w:val="20"/>
        </w:rPr>
        <w:t>nonabsorbent</w:t>
      </w:r>
      <w:proofErr w:type="gramEnd"/>
      <w:r w:rsidRPr="00710A17">
        <w:rPr>
          <w:rFonts w:ascii="Century Gothic" w:hAnsi="Century Gothic"/>
          <w:sz w:val="20"/>
          <w:szCs w:val="20"/>
        </w:rPr>
        <w:t xml:space="preserve">, </w:t>
      </w:r>
      <w:proofErr w:type="gramStart"/>
      <w:r w:rsidRPr="00710A17">
        <w:rPr>
          <w:rFonts w:ascii="Century Gothic" w:hAnsi="Century Gothic"/>
          <w:sz w:val="20"/>
          <w:szCs w:val="20"/>
        </w:rPr>
        <w:t>graffiti-resistant</w:t>
      </w:r>
      <w:proofErr w:type="gramEnd"/>
      <w:r w:rsidRPr="00710A17">
        <w:rPr>
          <w:rFonts w:ascii="Century Gothic" w:hAnsi="Century Gothic"/>
          <w:sz w:val="20"/>
          <w:szCs w:val="20"/>
        </w:rPr>
        <w:t>.</w:t>
      </w:r>
    </w:p>
    <w:p w14:paraId="098CB500" w14:textId="612D11C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Fire hazard classification: Not required OR Class A/B per ASTM E84 OR pass NFPA 286</w:t>
      </w:r>
      <w:r w:rsidR="00AC2128">
        <w:rPr>
          <w:rFonts w:ascii="Century Gothic" w:hAnsi="Century Gothic"/>
          <w:sz w:val="20"/>
          <w:szCs w:val="20"/>
        </w:rPr>
        <w:t>.</w:t>
      </w:r>
    </w:p>
    <w:p w14:paraId="76087BE4"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4. Recycled content: Minimum 25% (if applicable).</w:t>
      </w:r>
    </w:p>
    <w:p w14:paraId="3E85D13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5. Color: To be selected from manufacturer’s full color range.</w:t>
      </w:r>
    </w:p>
    <w:p w14:paraId="2EB705E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Aluminum Extrusions: ASTM B221, 6463-T5 alloy, clear anodized finish.</w:t>
      </w:r>
    </w:p>
    <w:p w14:paraId="3E6AB5E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Stainless Steel: ASTM A167, Type 304, satin finish.</w:t>
      </w:r>
    </w:p>
    <w:p w14:paraId="1ED22FB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2.3 HARDWARE</w:t>
      </w:r>
    </w:p>
    <w:p w14:paraId="007D91E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i/>
          <w:iCs/>
          <w:sz w:val="18"/>
          <w:szCs w:val="18"/>
        </w:rPr>
        <w:t xml:space="preserve">(All aluminum hardware shall have a clear anodized finish; all </w:t>
      </w:r>
      <w:proofErr w:type="gramStart"/>
      <w:r w:rsidRPr="00710A17">
        <w:rPr>
          <w:rFonts w:ascii="Century Gothic" w:hAnsi="Century Gothic"/>
          <w:i/>
          <w:iCs/>
          <w:sz w:val="18"/>
          <w:szCs w:val="18"/>
        </w:rPr>
        <w:t>stainless steel</w:t>
      </w:r>
      <w:proofErr w:type="gramEnd"/>
      <w:r w:rsidRPr="00710A17">
        <w:rPr>
          <w:rFonts w:ascii="Century Gothic" w:hAnsi="Century Gothic"/>
          <w:i/>
          <w:iCs/>
          <w:sz w:val="18"/>
          <w:szCs w:val="18"/>
        </w:rPr>
        <w:t xml:space="preserve"> hardware shall have a satin finish.)</w:t>
      </w:r>
      <w:r w:rsidRPr="00710A17">
        <w:rPr>
          <w:rFonts w:ascii="Century Gothic" w:hAnsi="Century Gothic"/>
          <w:sz w:val="18"/>
          <w:szCs w:val="18"/>
        </w:rPr>
        <w:t xml:space="preserve"> </w:t>
      </w:r>
    </w:p>
    <w:p w14:paraId="6C52AED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HINGES:</w:t>
      </w:r>
    </w:p>
    <w:p w14:paraId="3B0983B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8" heavy-duty extruded aluminum, wrap-around flanges, field-adjustable nylon cams.</w:t>
      </w:r>
    </w:p>
    <w:p w14:paraId="770E9ED4" w14:textId="36890CC1"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lastRenderedPageBreak/>
        <w:t>2. Continuous Aluminum Hinge available in 54" or 71" lengths; spring-loaded for self-closing action; universal non-handed profile; fixed closing action.</w:t>
      </w:r>
    </w:p>
    <w:p w14:paraId="2E28B8BC" w14:textId="2FD9179B" w:rsidR="00AC2128" w:rsidRDefault="00710A17" w:rsidP="005708A9">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Hinge available in 54" or 71" lengths; Type 304 stainless steel,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spring-loaded for self-closing action; universal non-handed profile; fixed closing action.</w:t>
      </w:r>
    </w:p>
    <w:p w14:paraId="42AEE372" w14:textId="366B60FD" w:rsid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4. Helix Stainless Steel Hinge available in 54" or 71" LENGTHS; 14-gauge Type 304 stainless steel with welded and ground ¼" stainless pin; in-swing set to 15° open, out-swing set in closed</w:t>
      </w:r>
      <w:r>
        <w:rPr>
          <w:rFonts w:ascii="Century Gothic" w:hAnsi="Century Gothic"/>
          <w:sz w:val="20"/>
          <w:szCs w:val="20"/>
        </w:rPr>
        <w:t xml:space="preserve"> </w:t>
      </w:r>
      <w:r w:rsidRPr="00710A17">
        <w:rPr>
          <w:rFonts w:ascii="Century Gothic" w:hAnsi="Century Gothic"/>
          <w:sz w:val="20"/>
          <w:szCs w:val="20"/>
        </w:rPr>
        <w:t>position.</w:t>
      </w:r>
      <w:r w:rsidR="005708A9">
        <w:rPr>
          <w:rFonts w:ascii="Century Gothic" w:hAnsi="Century Gothic"/>
          <w:sz w:val="20"/>
          <w:szCs w:val="20"/>
        </w:rPr>
        <w:t xml:space="preserve"> </w:t>
      </w:r>
    </w:p>
    <w:p w14:paraId="3993800D" w14:textId="6AD2A552" w:rsidR="005708A9" w:rsidRPr="005708A9" w:rsidRDefault="005708A9" w:rsidP="005708A9">
      <w:pPr>
        <w:spacing w:after="0" w:line="360" w:lineRule="auto"/>
        <w:ind w:left="2160"/>
        <w:rPr>
          <w:rFonts w:ascii="Century Gothic" w:hAnsi="Century Gothic"/>
          <w:sz w:val="20"/>
          <w:szCs w:val="20"/>
        </w:rPr>
      </w:pPr>
      <w:r w:rsidRPr="005708A9">
        <w:rPr>
          <w:rFonts w:ascii="Century Gothic" w:hAnsi="Century Gothic"/>
          <w:sz w:val="20"/>
          <w:szCs w:val="20"/>
        </w:rPr>
        <w:t>5. Vault Stainless Stee, type 304 stainless steel, gravity-close pivot hinge.</w:t>
      </w:r>
    </w:p>
    <w:p w14:paraId="229BB260" w14:textId="1D0DE045" w:rsidR="005708A9" w:rsidRPr="00710A17" w:rsidRDefault="005708A9" w:rsidP="005708A9">
      <w:pPr>
        <w:spacing w:after="0" w:line="360" w:lineRule="auto"/>
        <w:ind w:left="2160"/>
        <w:rPr>
          <w:rFonts w:ascii="Century Gothic" w:hAnsi="Century Gothic"/>
          <w:sz w:val="20"/>
          <w:szCs w:val="20"/>
        </w:rPr>
      </w:pPr>
      <w:r w:rsidRPr="005708A9">
        <w:rPr>
          <w:rFonts w:ascii="Century Gothic" w:hAnsi="Century Gothic"/>
          <w:sz w:val="20"/>
          <w:szCs w:val="20"/>
        </w:rPr>
        <w:t>6. Integral Hinges with integrated nylon hinge system. Pilaster and door precision-manufactured to accept hinge; concealed design with no exposed metal.</w:t>
      </w:r>
    </w:p>
    <w:p w14:paraId="4A58551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BRACKETS:</w:t>
      </w:r>
    </w:p>
    <w:p w14:paraId="39C55A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Aluminum Stirrup Bracket extruded 6463-T5 aluminum</w:t>
      </w:r>
    </w:p>
    <w:p w14:paraId="633D19F2" w14:textId="75A16D12"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Continuous Aluminum Bracket available in 54" or 71" lengths, extruded 6463-T5 aluminum.</w:t>
      </w:r>
    </w:p>
    <w:p w14:paraId="3A194470" w14:textId="4CE23590"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Bracket available in 54" or 71" lengths, Type 304 stainless steel.</w:t>
      </w:r>
    </w:p>
    <w:p w14:paraId="7663494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4. Continuous PVC Single-Ear Bracket available in 54" or 71" lengths, extruded PVC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construction, available in Black, Blueberry, Beige, Linen, Mocha, and </w:t>
      </w:r>
      <w:proofErr w:type="gramStart"/>
      <w:r w:rsidRPr="00710A17">
        <w:rPr>
          <w:rFonts w:ascii="Century Gothic" w:hAnsi="Century Gothic"/>
          <w:sz w:val="20"/>
          <w:szCs w:val="20"/>
        </w:rPr>
        <w:t>Grey</w:t>
      </w:r>
      <w:proofErr w:type="gramEnd"/>
      <w:r w:rsidRPr="00710A17">
        <w:rPr>
          <w:rFonts w:ascii="Century Gothic" w:hAnsi="Century Gothic"/>
          <w:sz w:val="20"/>
          <w:szCs w:val="20"/>
        </w:rPr>
        <w:t xml:space="preserve"> colors only.</w:t>
      </w:r>
    </w:p>
    <w:p w14:paraId="59FE819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sz w:val="20"/>
          <w:szCs w:val="20"/>
        </w:rPr>
        <w:tab/>
        <w:t>C.  DOOR STRIKE AND KEEPERS:</w:t>
      </w:r>
    </w:p>
    <w:p w14:paraId="13BEF14D" w14:textId="71A0E1DE"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Strike/Keeper 6" heavy-duty extruded 6463-T5 aluminum, factory-installed hard rubber bumper.</w:t>
      </w:r>
    </w:p>
    <w:p w14:paraId="09DF194F" w14:textId="4405F6D6"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Stainless Steel Strike/Keeper Type 304 stainless steel, factory-installed hard rubber bumper.</w:t>
      </w:r>
    </w:p>
    <w:p w14:paraId="1385AEE0" w14:textId="77777777"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SLIDE LATCH</w:t>
      </w:r>
    </w:p>
    <w:p w14:paraId="0A92814C" w14:textId="4A53205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Slide Latch Heavy-duty extruded 6463-T5 aluminum latch housing, black anodized slide bar and button.</w:t>
      </w:r>
    </w:p>
    <w:p w14:paraId="317703BF"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Slide Latch, type 304 stainless steel.</w:t>
      </w:r>
    </w:p>
    <w:p w14:paraId="3DD786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F. COAT HOOK AND BUMPER </w:t>
      </w:r>
    </w:p>
    <w:p w14:paraId="1054E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Combination coat hook and door stop,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23A0AA6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Combination coat hook and door stop, cast stainless steel.</w:t>
      </w:r>
    </w:p>
    <w:p w14:paraId="65B642C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G. DOOR PULLS </w:t>
      </w:r>
    </w:p>
    <w:p w14:paraId="1C2CB4D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7A219EAC"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(satin finish).</w:t>
      </w:r>
    </w:p>
    <w:p w14:paraId="76D12A2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I. ADA outswing doors include a second pull.</w:t>
      </w:r>
    </w:p>
    <w:p w14:paraId="514A721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lastRenderedPageBreak/>
        <w:tab/>
        <w:t>2.4 COMPONENTS</w:t>
      </w:r>
    </w:p>
    <w:p w14:paraId="300762B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Doors/Panels: 55" high, mounted 14" above finished floor.</w:t>
      </w:r>
    </w:p>
    <w:p w14:paraId="5866EE97" w14:textId="77777777" w:rsidR="001C6A10"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Pilasters</w:t>
      </w:r>
      <w:r w:rsidR="001C6A10">
        <w:rPr>
          <w:rFonts w:ascii="Century Gothic" w:hAnsi="Century Gothic"/>
          <w:sz w:val="20"/>
          <w:szCs w:val="20"/>
        </w:rPr>
        <w:t>:</w:t>
      </w:r>
      <w:r w:rsidR="001C6A10" w:rsidRPr="001C6A10">
        <w:rPr>
          <w:rFonts w:ascii="Century Gothic" w:hAnsi="Century Gothic"/>
          <w:sz w:val="20"/>
          <w:szCs w:val="20"/>
        </w:rPr>
        <w:t xml:space="preserve"> Height equal to floor-to-ceiling dimension.</w:t>
      </w:r>
      <w:r w:rsidRPr="00710A17">
        <w:rPr>
          <w:rFonts w:ascii="Century Gothic" w:hAnsi="Century Gothic"/>
          <w:sz w:val="20"/>
          <w:szCs w:val="20"/>
        </w:rPr>
        <w:tab/>
      </w:r>
      <w:r w:rsidRPr="00710A17">
        <w:rPr>
          <w:rFonts w:ascii="Century Gothic" w:hAnsi="Century Gothic"/>
          <w:sz w:val="20"/>
          <w:szCs w:val="20"/>
        </w:rPr>
        <w:tab/>
      </w:r>
    </w:p>
    <w:p w14:paraId="484AB9EF" w14:textId="09C4A7D3" w:rsidR="00710A17" w:rsidRPr="00710A17" w:rsidRDefault="00710A17" w:rsidP="001C6A10">
      <w:pPr>
        <w:spacing w:after="0" w:line="360" w:lineRule="auto"/>
        <w:ind w:left="720" w:firstLine="720"/>
        <w:rPr>
          <w:rFonts w:ascii="Century Gothic" w:hAnsi="Century Gothic"/>
          <w:sz w:val="20"/>
          <w:szCs w:val="20"/>
        </w:rPr>
      </w:pPr>
      <w:r w:rsidRPr="00710A17">
        <w:rPr>
          <w:rFonts w:ascii="Century Gothic" w:hAnsi="Century Gothic"/>
          <w:sz w:val="20"/>
          <w:szCs w:val="20"/>
        </w:rPr>
        <w:t>C. Pilaster Shoes:</w:t>
      </w:r>
    </w:p>
    <w:p w14:paraId="75CBD8B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HDPE, injection molded, sizes from 3"–12" (1" increments), 14"–24" (even sizes only).</w:t>
      </w:r>
    </w:p>
    <w:p w14:paraId="2844FA75" w14:textId="77777777" w:rsid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Stainless steel, Type 304, 20-gauge, same size range.</w:t>
      </w:r>
    </w:p>
    <w:p w14:paraId="1C2B12D5" w14:textId="77777777" w:rsidR="001C6A10" w:rsidRPr="001C6A10" w:rsidRDefault="001C6A10" w:rsidP="001C6A10">
      <w:pPr>
        <w:spacing w:after="0" w:line="360" w:lineRule="auto"/>
        <w:rPr>
          <w:rFonts w:ascii="Century Gothic" w:hAnsi="Century Gothic"/>
          <w:sz w:val="20"/>
          <w:szCs w:val="20"/>
        </w:rPr>
      </w:pPr>
      <w:r w:rsidRPr="001C6A10">
        <w:rPr>
          <w:rFonts w:ascii="Century Gothic" w:hAnsi="Century Gothic"/>
          <w:sz w:val="20"/>
          <w:szCs w:val="20"/>
        </w:rPr>
        <w:tab/>
      </w:r>
      <w:r w:rsidRPr="001C6A10">
        <w:rPr>
          <w:rFonts w:ascii="Century Gothic" w:hAnsi="Century Gothic"/>
          <w:sz w:val="20"/>
          <w:szCs w:val="20"/>
        </w:rPr>
        <w:tab/>
        <w:t>D. Pilaster Sleeves</w:t>
      </w:r>
    </w:p>
    <w:p w14:paraId="3B7E2615" w14:textId="515F217D" w:rsidR="001C6A10" w:rsidRPr="001C6A10" w:rsidRDefault="001C6A10" w:rsidP="001C6A10">
      <w:pPr>
        <w:spacing w:after="0" w:line="360" w:lineRule="auto"/>
        <w:ind w:left="2160"/>
        <w:rPr>
          <w:rFonts w:ascii="Century Gothic" w:hAnsi="Century Gothic"/>
          <w:sz w:val="20"/>
          <w:szCs w:val="20"/>
        </w:rPr>
      </w:pPr>
      <w:r w:rsidRPr="001C6A10">
        <w:rPr>
          <w:rFonts w:ascii="Century Gothic" w:hAnsi="Century Gothic"/>
          <w:sz w:val="20"/>
          <w:szCs w:val="20"/>
        </w:rPr>
        <w:t>1. 4" tall, stainless steel, Type 304, 20-gauge, sizes from 3"–12" (1" increments), 14"–24" (even sizes only).</w:t>
      </w:r>
    </w:p>
    <w:p w14:paraId="7187D003" w14:textId="77777777" w:rsidR="001C6A10" w:rsidRPr="001C6A10" w:rsidRDefault="001C6A10" w:rsidP="001C6A10">
      <w:pPr>
        <w:spacing w:after="0" w:line="360" w:lineRule="auto"/>
        <w:rPr>
          <w:rFonts w:ascii="Century Gothic" w:hAnsi="Century Gothic"/>
          <w:sz w:val="20"/>
          <w:szCs w:val="20"/>
        </w:rPr>
      </w:pPr>
      <w:r w:rsidRPr="001C6A10">
        <w:rPr>
          <w:rFonts w:ascii="Century Gothic" w:hAnsi="Century Gothic"/>
          <w:sz w:val="20"/>
          <w:szCs w:val="20"/>
        </w:rPr>
        <w:tab/>
      </w:r>
      <w:r w:rsidRPr="001C6A10">
        <w:rPr>
          <w:rFonts w:ascii="Century Gothic" w:hAnsi="Century Gothic"/>
          <w:sz w:val="20"/>
          <w:szCs w:val="20"/>
        </w:rPr>
        <w:tab/>
        <w:t>E. Anchors:</w:t>
      </w:r>
    </w:p>
    <w:p w14:paraId="4C500D96" w14:textId="3C3C69E4" w:rsidR="001C6A10" w:rsidRPr="00710A17" w:rsidRDefault="001C6A10" w:rsidP="001C6A10">
      <w:pPr>
        <w:spacing w:after="0" w:line="360" w:lineRule="auto"/>
        <w:ind w:left="2160"/>
        <w:rPr>
          <w:rFonts w:ascii="Century Gothic" w:hAnsi="Century Gothic"/>
          <w:sz w:val="20"/>
          <w:szCs w:val="20"/>
        </w:rPr>
      </w:pPr>
      <w:r w:rsidRPr="001C6A10">
        <w:rPr>
          <w:rFonts w:ascii="Century Gothic" w:hAnsi="Century Gothic"/>
          <w:sz w:val="20"/>
          <w:szCs w:val="20"/>
        </w:rPr>
        <w:t xml:space="preserve">1. Anchored to floor and ceiling with type 304, </w:t>
      </w:r>
      <w:r w:rsidRPr="001C6A10">
        <w:rPr>
          <w:rFonts w:ascii="Century Gothic" w:hAnsi="Century Gothic"/>
          <w:sz w:val="20"/>
          <w:szCs w:val="20"/>
        </w:rPr>
        <w:t>14-gauge</w:t>
      </w:r>
      <w:r w:rsidRPr="001C6A10">
        <w:rPr>
          <w:rFonts w:ascii="Century Gothic" w:hAnsi="Century Gothic"/>
          <w:sz w:val="20"/>
          <w:szCs w:val="20"/>
        </w:rPr>
        <w:t xml:space="preserve"> stainless steel L-plates and tamper-resistant fasteners.</w:t>
      </w:r>
    </w:p>
    <w:p w14:paraId="7949339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3 – EXECUTION</w:t>
      </w:r>
    </w:p>
    <w:p w14:paraId="084D26F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3.1 INSTALLATION</w:t>
      </w:r>
    </w:p>
    <w:p w14:paraId="12DB7B10" w14:textId="720BE378"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Install compartments in accordance with manufacturer’s instructions and approved shop drawings.</w:t>
      </w:r>
    </w:p>
    <w:p w14:paraId="090CDF4B" w14:textId="595C2FD2"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B. Install plumb, level, and rigid.</w:t>
      </w:r>
    </w:p>
    <w:p w14:paraId="4DDF08D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Bottom edges of doors and panels to be 14" above finished floor.</w:t>
      </w:r>
    </w:p>
    <w:p w14:paraId="00636D6A" w14:textId="11EB4BA5"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Provide maximum ⅜" vertical clearance at doors.</w:t>
      </w:r>
    </w:p>
    <w:p w14:paraId="01692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E. No evidence of cutting, drilling, or patching is acceptable.</w:t>
      </w:r>
    </w:p>
    <w:p w14:paraId="397BDF6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3.2 ADJUSTING</w:t>
      </w:r>
    </w:p>
    <w:p w14:paraId="65C28254" w14:textId="60360429"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Adjust doors and latches for proper operation.</w:t>
      </w:r>
    </w:p>
    <w:p w14:paraId="257D1B60" w14:textId="2D7B0D2E" w:rsidR="00710A17" w:rsidRPr="00710A17" w:rsidRDefault="00710A17" w:rsidP="00AC2128">
      <w:pPr>
        <w:tabs>
          <w:tab w:val="left" w:pos="2685"/>
        </w:tabs>
        <w:spacing w:after="0" w:line="360" w:lineRule="auto"/>
        <w:rPr>
          <w:rFonts w:ascii="Century Gothic" w:hAnsi="Century Gothic"/>
          <w:sz w:val="20"/>
          <w:szCs w:val="20"/>
        </w:rPr>
      </w:pPr>
    </w:p>
    <w:sectPr w:rsidR="00710A17" w:rsidRPr="00710A17" w:rsidSect="00710A1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B2AE" w14:textId="77777777" w:rsidR="00BF414E" w:rsidRDefault="00BF414E" w:rsidP="00710A17">
      <w:pPr>
        <w:spacing w:after="0" w:line="240" w:lineRule="auto"/>
      </w:pPr>
      <w:r>
        <w:separator/>
      </w:r>
    </w:p>
  </w:endnote>
  <w:endnote w:type="continuationSeparator" w:id="0">
    <w:p w14:paraId="68B49E5C" w14:textId="77777777" w:rsidR="00BF414E" w:rsidRDefault="00BF414E" w:rsidP="0071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D7E8" w14:textId="04211B4E" w:rsidR="00710A17" w:rsidRDefault="00710A17" w:rsidP="00710A17">
    <w:pPr>
      <w:pStyle w:val="Footer"/>
      <w:jc w:val="center"/>
    </w:pPr>
    <w:r w:rsidRPr="00710A17">
      <w:rPr>
        <w:rFonts w:ascii="Century Gothic" w:hAnsi="Century Gothic"/>
        <w:b/>
        <w:bCs/>
      </w:rPr>
      <w:t>ACCUTECMFG.COM</w:t>
    </w:r>
    <w:r>
      <w:tab/>
    </w:r>
    <w:r>
      <w:tab/>
    </w:r>
    <w:r>
      <w:object w:dxaOrig="4005" w:dyaOrig="540" w14:anchorId="2F63D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27pt">
          <v:imagedata r:id="rId1" o:title=""/>
        </v:shape>
        <o:OLEObject Type="Embed" ProgID="Visio.Drawing.15" ShapeID="_x0000_i1025" DrawAspect="Content" ObjectID="_182497533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4E26" w14:textId="77777777" w:rsidR="00BF414E" w:rsidRDefault="00BF414E" w:rsidP="00710A17">
      <w:pPr>
        <w:spacing w:after="0" w:line="240" w:lineRule="auto"/>
      </w:pPr>
      <w:r>
        <w:separator/>
      </w:r>
    </w:p>
  </w:footnote>
  <w:footnote w:type="continuationSeparator" w:id="0">
    <w:p w14:paraId="4D9DD8A6" w14:textId="77777777" w:rsidR="00BF414E" w:rsidRDefault="00BF414E" w:rsidP="0071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470" w14:textId="5CD1BC66" w:rsidR="00710A17" w:rsidRDefault="00710A17" w:rsidP="00710A17">
    <w:pPr>
      <w:pStyle w:val="Header"/>
      <w:jc w:val="center"/>
      <w:rPr>
        <w:rFonts w:ascii="Century Gothic" w:hAnsi="Century Gothic"/>
        <w:sz w:val="36"/>
        <w:szCs w:val="36"/>
      </w:rPr>
    </w:pPr>
    <w:r w:rsidRPr="00710A17">
      <w:rPr>
        <w:rFonts w:ascii="Century Gothic" w:hAnsi="Century Gothic"/>
        <w:sz w:val="36"/>
        <w:szCs w:val="36"/>
      </w:rPr>
      <w:t>SOLID PLASTIC TOILET SPECIFICATIONS</w:t>
    </w:r>
  </w:p>
  <w:p w14:paraId="2145B481" w14:textId="49B943F4" w:rsidR="00AC2128" w:rsidRPr="005708A9" w:rsidRDefault="00AC2128" w:rsidP="00710A17">
    <w:pPr>
      <w:pStyle w:val="Header"/>
      <w:jc w:val="center"/>
      <w:rPr>
        <w:rFonts w:ascii="Century Gothic" w:hAnsi="Century Gothic"/>
        <w:b/>
        <w:bCs/>
        <w:sz w:val="56"/>
        <w:szCs w:val="56"/>
      </w:rPr>
    </w:pPr>
    <w:r w:rsidRPr="005708A9">
      <w:rPr>
        <w:rFonts w:ascii="Century Gothic" w:hAnsi="Century Gothic"/>
        <w:b/>
        <w:bCs/>
        <w:sz w:val="56"/>
        <w:szCs w:val="56"/>
      </w:rPr>
      <w:t>FLOOR</w:t>
    </w:r>
    <w:r w:rsidR="001C6A10">
      <w:rPr>
        <w:rFonts w:ascii="Century Gothic" w:hAnsi="Century Gothic"/>
        <w:b/>
        <w:bCs/>
        <w:sz w:val="56"/>
        <w:szCs w:val="56"/>
      </w:rPr>
      <w:t xml:space="preserve"> TO CELING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7"/>
    <w:rsid w:val="00082496"/>
    <w:rsid w:val="00125325"/>
    <w:rsid w:val="001C6A10"/>
    <w:rsid w:val="005708A9"/>
    <w:rsid w:val="006D62E7"/>
    <w:rsid w:val="00710A17"/>
    <w:rsid w:val="007440BE"/>
    <w:rsid w:val="00AC2128"/>
    <w:rsid w:val="00BF414E"/>
    <w:rsid w:val="00CE22F7"/>
    <w:rsid w:val="00FB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35E3"/>
  <w15:chartTrackingRefBased/>
  <w15:docId w15:val="{3D5F44AA-E627-4D49-AD39-1EF9140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28"/>
  </w:style>
  <w:style w:type="paragraph" w:styleId="Heading1">
    <w:name w:val="heading 1"/>
    <w:basedOn w:val="Normal"/>
    <w:next w:val="Normal"/>
    <w:link w:val="Heading1Char"/>
    <w:uiPriority w:val="9"/>
    <w:qFormat/>
    <w:rsid w:val="0071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17"/>
    <w:rPr>
      <w:rFonts w:eastAsiaTheme="majorEastAsia" w:cstheme="majorBidi"/>
      <w:color w:val="272727" w:themeColor="text1" w:themeTint="D8"/>
    </w:rPr>
  </w:style>
  <w:style w:type="paragraph" w:styleId="Title">
    <w:name w:val="Title"/>
    <w:basedOn w:val="Normal"/>
    <w:next w:val="Normal"/>
    <w:link w:val="TitleChar"/>
    <w:uiPriority w:val="10"/>
    <w:qFormat/>
    <w:rsid w:val="0071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17"/>
    <w:pPr>
      <w:spacing w:before="160"/>
      <w:jc w:val="center"/>
    </w:pPr>
    <w:rPr>
      <w:i/>
      <w:iCs/>
      <w:color w:val="404040" w:themeColor="text1" w:themeTint="BF"/>
    </w:rPr>
  </w:style>
  <w:style w:type="character" w:customStyle="1" w:styleId="QuoteChar">
    <w:name w:val="Quote Char"/>
    <w:basedOn w:val="DefaultParagraphFont"/>
    <w:link w:val="Quote"/>
    <w:uiPriority w:val="29"/>
    <w:rsid w:val="00710A17"/>
    <w:rPr>
      <w:i/>
      <w:iCs/>
      <w:color w:val="404040" w:themeColor="text1" w:themeTint="BF"/>
    </w:rPr>
  </w:style>
  <w:style w:type="paragraph" w:styleId="ListParagraph">
    <w:name w:val="List Paragraph"/>
    <w:basedOn w:val="Normal"/>
    <w:uiPriority w:val="34"/>
    <w:qFormat/>
    <w:rsid w:val="00710A17"/>
    <w:pPr>
      <w:ind w:left="720"/>
      <w:contextualSpacing/>
    </w:pPr>
  </w:style>
  <w:style w:type="character" w:styleId="IntenseEmphasis">
    <w:name w:val="Intense Emphasis"/>
    <w:basedOn w:val="DefaultParagraphFont"/>
    <w:uiPriority w:val="21"/>
    <w:qFormat/>
    <w:rsid w:val="00710A17"/>
    <w:rPr>
      <w:i/>
      <w:iCs/>
      <w:color w:val="0F4761" w:themeColor="accent1" w:themeShade="BF"/>
    </w:rPr>
  </w:style>
  <w:style w:type="paragraph" w:styleId="IntenseQuote">
    <w:name w:val="Intense Quote"/>
    <w:basedOn w:val="Normal"/>
    <w:next w:val="Normal"/>
    <w:link w:val="IntenseQuoteChar"/>
    <w:uiPriority w:val="30"/>
    <w:qFormat/>
    <w:rsid w:val="0071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A17"/>
    <w:rPr>
      <w:i/>
      <w:iCs/>
      <w:color w:val="0F4761" w:themeColor="accent1" w:themeShade="BF"/>
    </w:rPr>
  </w:style>
  <w:style w:type="character" w:styleId="IntenseReference">
    <w:name w:val="Intense Reference"/>
    <w:basedOn w:val="DefaultParagraphFont"/>
    <w:uiPriority w:val="32"/>
    <w:qFormat/>
    <w:rsid w:val="00710A17"/>
    <w:rPr>
      <w:b/>
      <w:bCs/>
      <w:smallCaps/>
      <w:color w:val="0F4761" w:themeColor="accent1" w:themeShade="BF"/>
      <w:spacing w:val="5"/>
    </w:rPr>
  </w:style>
  <w:style w:type="paragraph" w:styleId="Header">
    <w:name w:val="header"/>
    <w:basedOn w:val="Normal"/>
    <w:link w:val="HeaderChar"/>
    <w:uiPriority w:val="99"/>
    <w:unhideWhenUsed/>
    <w:rsid w:val="0071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17"/>
  </w:style>
  <w:style w:type="paragraph" w:styleId="Footer">
    <w:name w:val="footer"/>
    <w:basedOn w:val="Normal"/>
    <w:link w:val="FooterChar"/>
    <w:uiPriority w:val="99"/>
    <w:unhideWhenUsed/>
    <w:rsid w:val="0071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Carlos Martinez</cp:lastModifiedBy>
  <cp:revision>3</cp:revision>
  <dcterms:created xsi:type="dcterms:W3CDTF">2025-11-18T20:44:00Z</dcterms:created>
  <dcterms:modified xsi:type="dcterms:W3CDTF">2025-11-18T20:49:00Z</dcterms:modified>
</cp:coreProperties>
</file>