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4FED" w14:textId="77777777" w:rsidR="00543A96" w:rsidRPr="00543A96" w:rsidRDefault="00543A96" w:rsidP="00543A96">
      <w:r w:rsidRPr="00543A96">
        <w:rPr>
          <w:b/>
          <w:bCs/>
        </w:rPr>
        <w:t>Court File No.: _______</w:t>
      </w:r>
    </w:p>
    <w:p w14:paraId="118330B6" w14:textId="77777777" w:rsidR="00543A96" w:rsidRPr="00543A96" w:rsidRDefault="00543A96" w:rsidP="00543A96">
      <w:r w:rsidRPr="00543A96">
        <w:rPr>
          <w:b/>
          <w:bCs/>
        </w:rPr>
        <w:t>ONTARIO COURT OF JUSTICE</w:t>
      </w:r>
      <w:r w:rsidRPr="00543A96">
        <w:br/>
      </w:r>
      <w:r w:rsidRPr="00543A96">
        <w:rPr>
          <w:b/>
          <w:bCs/>
        </w:rPr>
        <w:t>B E T W E E N:</w:t>
      </w:r>
    </w:p>
    <w:p w14:paraId="70F06219" w14:textId="77777777" w:rsidR="00543A96" w:rsidRPr="00543A96" w:rsidRDefault="00543A96" w:rsidP="00543A96">
      <w:r w:rsidRPr="00543A96">
        <w:rPr>
          <w:b/>
          <w:bCs/>
        </w:rPr>
        <w:t>WEIZHEN TANG</w:t>
      </w:r>
      <w:r w:rsidRPr="00543A96">
        <w:t xml:space="preserve"> – Applicant</w:t>
      </w:r>
    </w:p>
    <w:p w14:paraId="50F04AD3" w14:textId="77777777" w:rsidR="00543A96" w:rsidRPr="00543A96" w:rsidRDefault="00543A96" w:rsidP="00543A96">
      <w:r w:rsidRPr="00543A96">
        <w:t>– and –</w:t>
      </w:r>
    </w:p>
    <w:p w14:paraId="2D73504D" w14:textId="77777777" w:rsidR="00543A96" w:rsidRPr="00543A96" w:rsidRDefault="00543A96" w:rsidP="00543A96">
      <w:r w:rsidRPr="00543A96">
        <w:rPr>
          <w:b/>
          <w:bCs/>
        </w:rPr>
        <w:t>ONTARIO SECURITIES COMMISSION</w:t>
      </w:r>
      <w:r w:rsidRPr="00543A96">
        <w:t xml:space="preserve"> – Respondent</w:t>
      </w:r>
    </w:p>
    <w:p w14:paraId="3BDC7709" w14:textId="77777777" w:rsidR="00543A96" w:rsidRPr="00543A96" w:rsidRDefault="00543A96" w:rsidP="00543A96">
      <w:r w:rsidRPr="00543A96">
        <w:pict w14:anchorId="27401252">
          <v:rect id="_x0000_i1109" style="width:0;height:1.5pt" o:hralign="center" o:hrstd="t" o:hr="t" fillcolor="#a0a0a0" stroked="f"/>
        </w:pict>
      </w:r>
    </w:p>
    <w:p w14:paraId="13CF5EAD" w14:textId="77777777" w:rsidR="00543A96" w:rsidRPr="00543A96" w:rsidRDefault="00543A96" w:rsidP="00543A96">
      <w:pPr>
        <w:rPr>
          <w:b/>
          <w:bCs/>
        </w:rPr>
      </w:pPr>
      <w:r w:rsidRPr="00543A96">
        <w:rPr>
          <w:b/>
          <w:bCs/>
        </w:rPr>
        <w:t>FACTUM OF THE APPLICANT</w:t>
      </w:r>
    </w:p>
    <w:p w14:paraId="156FD47D" w14:textId="77777777" w:rsidR="00543A96" w:rsidRPr="00543A96" w:rsidRDefault="00543A96" w:rsidP="00543A96">
      <w:r w:rsidRPr="00543A96">
        <w:t xml:space="preserve">(Section 24(1) of the </w:t>
      </w:r>
      <w:r w:rsidRPr="00543A96">
        <w:rPr>
          <w:i/>
          <w:iCs/>
        </w:rPr>
        <w:t>Canadian Charter of Rights and Freedoms</w:t>
      </w:r>
      <w:r w:rsidRPr="00543A96">
        <w:t>)</w:t>
      </w:r>
    </w:p>
    <w:p w14:paraId="7E377761" w14:textId="77777777" w:rsidR="00543A96" w:rsidRPr="00543A96" w:rsidRDefault="00543A96" w:rsidP="00543A96">
      <w:r w:rsidRPr="00543A96">
        <w:pict w14:anchorId="600BA1DD">
          <v:rect id="_x0000_i1110" style="width:0;height:1.5pt" o:hralign="center" o:hrstd="t" o:hr="t" fillcolor="#a0a0a0" stroked="f"/>
        </w:pict>
      </w:r>
    </w:p>
    <w:p w14:paraId="30EBB861" w14:textId="77777777" w:rsidR="00543A96" w:rsidRPr="00543A96" w:rsidRDefault="00543A96" w:rsidP="00543A96">
      <w:pPr>
        <w:rPr>
          <w:b/>
          <w:bCs/>
        </w:rPr>
      </w:pPr>
      <w:r w:rsidRPr="00543A96">
        <w:rPr>
          <w:b/>
          <w:bCs/>
        </w:rPr>
        <w:t>PART I – OVERVIEW</w:t>
      </w:r>
    </w:p>
    <w:p w14:paraId="5E0D29B1" w14:textId="77777777" w:rsidR="00543A96" w:rsidRPr="00543A96" w:rsidRDefault="00543A96" w:rsidP="00543A96">
      <w:pPr>
        <w:numPr>
          <w:ilvl w:val="0"/>
          <w:numId w:val="1"/>
        </w:numPr>
      </w:pPr>
      <w:r w:rsidRPr="00543A96">
        <w:t xml:space="preserve">This is a constitutional application under </w:t>
      </w:r>
      <w:r w:rsidRPr="00543A96">
        <w:rPr>
          <w:b/>
          <w:bCs/>
        </w:rPr>
        <w:t>section 24(1)</w:t>
      </w:r>
      <w:r w:rsidRPr="00543A96">
        <w:t xml:space="preserve"> of the </w:t>
      </w:r>
      <w:r w:rsidRPr="00543A96">
        <w:rPr>
          <w:i/>
          <w:iCs/>
        </w:rPr>
        <w:t>Canadian Charter of Rights and Freedoms</w:t>
      </w:r>
      <w:r w:rsidRPr="00543A96">
        <w:t xml:space="preserve"> (the “Charter”). The Applicant, </w:t>
      </w:r>
      <w:r w:rsidRPr="00543A96">
        <w:rPr>
          <w:b/>
          <w:bCs/>
        </w:rPr>
        <w:t>Weizhen Tang</w:t>
      </w:r>
      <w:r w:rsidRPr="00543A96">
        <w:t xml:space="preserve">, seeks remedies for </w:t>
      </w:r>
      <w:r w:rsidRPr="00543A96">
        <w:rPr>
          <w:b/>
          <w:bCs/>
        </w:rPr>
        <w:t>serious and ongoing violations</w:t>
      </w:r>
      <w:r w:rsidRPr="00543A96">
        <w:t xml:space="preserve"> of his Charter rights by the Ontario Securities Commission (“OSC”).</w:t>
      </w:r>
    </w:p>
    <w:p w14:paraId="3A055DF1" w14:textId="77777777" w:rsidR="00543A96" w:rsidRPr="00543A96" w:rsidRDefault="00543A96" w:rsidP="00543A96">
      <w:pPr>
        <w:numPr>
          <w:ilvl w:val="0"/>
          <w:numId w:val="1"/>
        </w:numPr>
      </w:pPr>
      <w:r w:rsidRPr="00543A96">
        <w:t>Over the past 15 years, the OSC has engaged in a pattern of conduct that has:</w:t>
      </w:r>
    </w:p>
    <w:p w14:paraId="7AF1BCF1" w14:textId="77777777" w:rsidR="00543A96" w:rsidRPr="00543A96" w:rsidRDefault="00543A96" w:rsidP="00543A96">
      <w:pPr>
        <w:numPr>
          <w:ilvl w:val="1"/>
          <w:numId w:val="1"/>
        </w:numPr>
      </w:pPr>
      <w:r w:rsidRPr="00543A96">
        <w:t>destroyed the Applicant’s livelihood and ability to work;</w:t>
      </w:r>
    </w:p>
    <w:p w14:paraId="26EA53F3" w14:textId="77777777" w:rsidR="00543A96" w:rsidRPr="00543A96" w:rsidRDefault="00543A96" w:rsidP="00543A96">
      <w:pPr>
        <w:numPr>
          <w:ilvl w:val="1"/>
          <w:numId w:val="1"/>
        </w:numPr>
      </w:pPr>
      <w:r w:rsidRPr="00543A96">
        <w:t>deprived him of access to his own funds to retain counsel and experts;</w:t>
      </w:r>
    </w:p>
    <w:p w14:paraId="06A3686C" w14:textId="77777777" w:rsidR="00543A96" w:rsidRPr="00543A96" w:rsidRDefault="00543A96" w:rsidP="00543A96">
      <w:pPr>
        <w:numPr>
          <w:ilvl w:val="1"/>
          <w:numId w:val="1"/>
        </w:numPr>
      </w:pPr>
      <w:r w:rsidRPr="00543A96">
        <w:t>relied on unqualified “experts” who misinterpreted key financial evidence;</w:t>
      </w:r>
    </w:p>
    <w:p w14:paraId="45E9B43A" w14:textId="77777777" w:rsidR="00543A96" w:rsidRPr="00543A96" w:rsidRDefault="00543A96" w:rsidP="00543A96">
      <w:pPr>
        <w:numPr>
          <w:ilvl w:val="1"/>
          <w:numId w:val="1"/>
        </w:numPr>
      </w:pPr>
      <w:r w:rsidRPr="00543A96">
        <w:t xml:space="preserve">issued a </w:t>
      </w:r>
      <w:r w:rsidRPr="00543A96">
        <w:rPr>
          <w:b/>
          <w:bCs/>
        </w:rPr>
        <w:t>lifetime trading ban</w:t>
      </w:r>
      <w:r w:rsidRPr="00543A96">
        <w:t xml:space="preserve"> in April 2016 while the Applicant was effectively unable to defend himself;</w:t>
      </w:r>
    </w:p>
    <w:p w14:paraId="31B3E95E" w14:textId="77777777" w:rsidR="00543A96" w:rsidRPr="00543A96" w:rsidRDefault="00543A96" w:rsidP="00543A96">
      <w:pPr>
        <w:numPr>
          <w:ilvl w:val="1"/>
          <w:numId w:val="1"/>
        </w:numPr>
      </w:pPr>
      <w:r w:rsidRPr="00543A96">
        <w:t>and contributed to severe harm suffered by hundreds of investors.</w:t>
      </w:r>
    </w:p>
    <w:p w14:paraId="5E0C7BE3" w14:textId="77777777" w:rsidR="00543A96" w:rsidRPr="00543A96" w:rsidRDefault="00543A96" w:rsidP="00543A96">
      <w:pPr>
        <w:numPr>
          <w:ilvl w:val="0"/>
          <w:numId w:val="1"/>
        </w:numPr>
      </w:pPr>
      <w:r w:rsidRPr="00543A96">
        <w:t xml:space="preserve">The Applicant alleges breaches of </w:t>
      </w:r>
      <w:r w:rsidRPr="00543A96">
        <w:rPr>
          <w:b/>
          <w:bCs/>
        </w:rPr>
        <w:t>sections 7, 11(d), and 15(1)</w:t>
      </w:r>
      <w:r w:rsidRPr="00543A96">
        <w:t xml:space="preserve"> of the Charter and seeks:</w:t>
      </w:r>
    </w:p>
    <w:p w14:paraId="1FF98AE9" w14:textId="77777777" w:rsidR="00543A96" w:rsidRPr="00543A96" w:rsidRDefault="00543A96" w:rsidP="00543A96">
      <w:pPr>
        <w:numPr>
          <w:ilvl w:val="1"/>
          <w:numId w:val="1"/>
        </w:numPr>
      </w:pPr>
      <w:r w:rsidRPr="00543A96">
        <w:t>a stay of the OSC proceeding;</w:t>
      </w:r>
    </w:p>
    <w:p w14:paraId="4352BF25" w14:textId="77777777" w:rsidR="00543A96" w:rsidRPr="00543A96" w:rsidRDefault="00543A96" w:rsidP="00543A96">
      <w:pPr>
        <w:numPr>
          <w:ilvl w:val="1"/>
          <w:numId w:val="1"/>
        </w:numPr>
      </w:pPr>
      <w:r w:rsidRPr="00543A96">
        <w:t>exclusion of constitutionally tainted “expert” evidence;</w:t>
      </w:r>
    </w:p>
    <w:p w14:paraId="587BD89D" w14:textId="77777777" w:rsidR="00543A96" w:rsidRPr="00543A96" w:rsidRDefault="00543A96" w:rsidP="00543A96">
      <w:pPr>
        <w:numPr>
          <w:ilvl w:val="1"/>
          <w:numId w:val="1"/>
        </w:numPr>
      </w:pPr>
      <w:r w:rsidRPr="00543A96">
        <w:t>full financial and internal disclosure;</w:t>
      </w:r>
    </w:p>
    <w:p w14:paraId="2231E7A3" w14:textId="77777777" w:rsidR="00543A96" w:rsidRPr="00543A96" w:rsidRDefault="00543A96" w:rsidP="00543A96">
      <w:pPr>
        <w:numPr>
          <w:ilvl w:val="1"/>
          <w:numId w:val="1"/>
        </w:numPr>
      </w:pPr>
      <w:r w:rsidRPr="00543A96">
        <w:t>and lifting or suspension of the April 2016 lifetime ban.</w:t>
      </w:r>
    </w:p>
    <w:p w14:paraId="6F902191" w14:textId="77777777" w:rsidR="00543A96" w:rsidRPr="00543A96" w:rsidRDefault="00543A96" w:rsidP="00543A96">
      <w:pPr>
        <w:numPr>
          <w:ilvl w:val="0"/>
          <w:numId w:val="1"/>
        </w:numPr>
      </w:pPr>
      <w:r w:rsidRPr="00543A96">
        <w:lastRenderedPageBreak/>
        <w:t xml:space="preserve">This case is not only about the Applicant personally. It raises </w:t>
      </w:r>
      <w:r w:rsidRPr="00543A96">
        <w:rPr>
          <w:b/>
          <w:bCs/>
        </w:rPr>
        <w:t>systemic questions</w:t>
      </w:r>
      <w:r w:rsidRPr="00543A96">
        <w:t xml:space="preserve"> about:</w:t>
      </w:r>
    </w:p>
    <w:p w14:paraId="0764B137" w14:textId="77777777" w:rsidR="00543A96" w:rsidRPr="00543A96" w:rsidRDefault="00543A96" w:rsidP="00543A96">
      <w:pPr>
        <w:numPr>
          <w:ilvl w:val="1"/>
          <w:numId w:val="1"/>
        </w:numPr>
      </w:pPr>
      <w:r w:rsidRPr="00543A96">
        <w:t xml:space="preserve">the misuse of </w:t>
      </w:r>
      <w:r w:rsidRPr="00543A96">
        <w:rPr>
          <w:b/>
          <w:bCs/>
        </w:rPr>
        <w:t>cease-trade orders</w:t>
      </w:r>
      <w:r w:rsidRPr="00543A96">
        <w:t xml:space="preserve"> as a form of economic punishment;</w:t>
      </w:r>
    </w:p>
    <w:p w14:paraId="3CEF3012" w14:textId="77777777" w:rsidR="00543A96" w:rsidRPr="00543A96" w:rsidRDefault="00543A96" w:rsidP="00543A96">
      <w:pPr>
        <w:numPr>
          <w:ilvl w:val="1"/>
          <w:numId w:val="1"/>
        </w:numPr>
      </w:pPr>
      <w:r w:rsidRPr="00543A96">
        <w:t>the ability of a provincial regulator to effectively destroy an individual’s life without federal oversight;</w:t>
      </w:r>
    </w:p>
    <w:p w14:paraId="3F13F902" w14:textId="77777777" w:rsidR="00543A96" w:rsidRPr="00543A96" w:rsidRDefault="00543A96" w:rsidP="00543A96">
      <w:pPr>
        <w:numPr>
          <w:ilvl w:val="1"/>
          <w:numId w:val="1"/>
        </w:numPr>
      </w:pPr>
      <w:r w:rsidRPr="00543A96">
        <w:t>the lack of independent expertise in complex financial cases;</w:t>
      </w:r>
    </w:p>
    <w:p w14:paraId="7C448CBA" w14:textId="77777777" w:rsidR="00543A96" w:rsidRPr="00543A96" w:rsidRDefault="00543A96" w:rsidP="00543A96">
      <w:pPr>
        <w:numPr>
          <w:ilvl w:val="1"/>
          <w:numId w:val="1"/>
        </w:numPr>
      </w:pPr>
      <w:r w:rsidRPr="00543A96">
        <w:t xml:space="preserve">and potential </w:t>
      </w:r>
      <w:r w:rsidRPr="00543A96">
        <w:rPr>
          <w:b/>
          <w:bCs/>
        </w:rPr>
        <w:t>racialized enforcement</w:t>
      </w:r>
      <w:r w:rsidRPr="00543A96">
        <w:t xml:space="preserve"> against Chinese-Canadian financial professionals.</w:t>
      </w:r>
    </w:p>
    <w:p w14:paraId="6CD7B4F4" w14:textId="77777777" w:rsidR="00543A96" w:rsidRPr="00543A96" w:rsidRDefault="00543A96" w:rsidP="00543A96">
      <w:r w:rsidRPr="00543A96">
        <w:pict w14:anchorId="394D7F77">
          <v:rect id="_x0000_i1111" style="width:0;height:1.5pt" o:hralign="center" o:hrstd="t" o:hr="t" fillcolor="#a0a0a0" stroked="f"/>
        </w:pict>
      </w:r>
    </w:p>
    <w:p w14:paraId="2A45D85F" w14:textId="77777777" w:rsidR="00543A96" w:rsidRPr="00543A96" w:rsidRDefault="00543A96" w:rsidP="00543A96">
      <w:pPr>
        <w:rPr>
          <w:b/>
          <w:bCs/>
        </w:rPr>
      </w:pPr>
      <w:r w:rsidRPr="00543A96">
        <w:rPr>
          <w:b/>
          <w:bCs/>
        </w:rPr>
        <w:t>PART II – ORDER SOUGHT</w:t>
      </w:r>
    </w:p>
    <w:p w14:paraId="548A855C" w14:textId="77777777" w:rsidR="00543A96" w:rsidRPr="00543A96" w:rsidRDefault="00543A96" w:rsidP="00543A96">
      <w:pPr>
        <w:numPr>
          <w:ilvl w:val="0"/>
          <w:numId w:val="2"/>
        </w:numPr>
      </w:pPr>
      <w:r w:rsidRPr="00543A96">
        <w:t>The Applicant seeks an order:</w:t>
      </w:r>
    </w:p>
    <w:p w14:paraId="612AF3E2" w14:textId="77777777" w:rsidR="00543A96" w:rsidRPr="00543A96" w:rsidRDefault="00543A96" w:rsidP="00543A96">
      <w:r w:rsidRPr="00543A96">
        <w:t xml:space="preserve">(a) </w:t>
      </w:r>
      <w:r w:rsidRPr="00543A96">
        <w:rPr>
          <w:b/>
          <w:bCs/>
        </w:rPr>
        <w:t>declaring</w:t>
      </w:r>
      <w:r w:rsidRPr="00543A96">
        <w:t xml:space="preserve"> that his rights under sections 7, 11(d), and 15(1) of the Charter were infringed;</w:t>
      </w:r>
    </w:p>
    <w:p w14:paraId="47DB20A8" w14:textId="77777777" w:rsidR="00543A96" w:rsidRPr="00543A96" w:rsidRDefault="00543A96" w:rsidP="00543A96">
      <w:r w:rsidRPr="00543A96">
        <w:t xml:space="preserve">(b) </w:t>
      </w:r>
      <w:r w:rsidRPr="00543A96">
        <w:rPr>
          <w:b/>
          <w:bCs/>
        </w:rPr>
        <w:t>staying</w:t>
      </w:r>
      <w:r w:rsidRPr="00543A96">
        <w:t xml:space="preserve"> the OSC proceeding as an abuse of process and as a remedy under section 24(1);</w:t>
      </w:r>
    </w:p>
    <w:p w14:paraId="3C80BB07" w14:textId="77777777" w:rsidR="00543A96" w:rsidRPr="00543A96" w:rsidRDefault="00543A96" w:rsidP="00543A96">
      <w:r w:rsidRPr="00543A96">
        <w:t xml:space="preserve">(c) </w:t>
      </w:r>
      <w:r w:rsidRPr="00543A96">
        <w:rPr>
          <w:b/>
          <w:bCs/>
        </w:rPr>
        <w:t>striking and excluding</w:t>
      </w:r>
      <w:r w:rsidRPr="00543A96">
        <w:t xml:space="preserve"> all “expert” evidence called or relied upon by the OSC, including the evidence of forensic accountants who were not properly qualified in securities, investments, or hedge fund management;</w:t>
      </w:r>
    </w:p>
    <w:p w14:paraId="3193C7E5" w14:textId="77777777" w:rsidR="00543A96" w:rsidRPr="00543A96" w:rsidRDefault="00543A96" w:rsidP="00543A96">
      <w:r w:rsidRPr="00543A96">
        <w:t xml:space="preserve">(d) </w:t>
      </w:r>
      <w:r w:rsidRPr="00543A96">
        <w:rPr>
          <w:b/>
          <w:bCs/>
        </w:rPr>
        <w:t>compelling full disclosure</w:t>
      </w:r>
      <w:r w:rsidRPr="00543A96">
        <w:t xml:space="preserve"> from the OSC and its agents, including all accounting records, Receiver records (Canada and U.S.), seized-funds trace documents, and internal memoranda related to the Applicant’s case;</w:t>
      </w:r>
    </w:p>
    <w:p w14:paraId="0D68798E" w14:textId="77777777" w:rsidR="00543A96" w:rsidRPr="00543A96" w:rsidRDefault="00543A96" w:rsidP="00543A96">
      <w:r w:rsidRPr="00543A96">
        <w:t xml:space="preserve">(e) </w:t>
      </w:r>
      <w:r w:rsidRPr="00543A96">
        <w:rPr>
          <w:b/>
          <w:bCs/>
        </w:rPr>
        <w:t>lifting or suspending</w:t>
      </w:r>
      <w:r w:rsidRPr="00543A96">
        <w:t xml:space="preserve"> the April 2016 lifetime trading ban; and</w:t>
      </w:r>
    </w:p>
    <w:p w14:paraId="7C0BFC7F" w14:textId="77777777" w:rsidR="00543A96" w:rsidRPr="00543A96" w:rsidRDefault="00543A96" w:rsidP="00543A96">
      <w:r w:rsidRPr="00543A96">
        <w:t>(f) granting such further relief as this Honourable Court considers just.</w:t>
      </w:r>
    </w:p>
    <w:p w14:paraId="72E29203" w14:textId="77777777" w:rsidR="00543A96" w:rsidRPr="00543A96" w:rsidRDefault="00543A96" w:rsidP="00543A96">
      <w:r w:rsidRPr="00543A96">
        <w:pict w14:anchorId="6D1FCC73">
          <v:rect id="_x0000_i1112" style="width:0;height:1.5pt" o:hralign="center" o:hrstd="t" o:hr="t" fillcolor="#a0a0a0" stroked="f"/>
        </w:pict>
      </w:r>
    </w:p>
    <w:p w14:paraId="79088349" w14:textId="77777777" w:rsidR="00543A96" w:rsidRPr="00543A96" w:rsidRDefault="00543A96" w:rsidP="00543A96">
      <w:pPr>
        <w:rPr>
          <w:b/>
          <w:bCs/>
        </w:rPr>
      </w:pPr>
      <w:r w:rsidRPr="00543A96">
        <w:rPr>
          <w:b/>
          <w:bCs/>
        </w:rPr>
        <w:t>PART III – FACTS (CONDENSED)</w:t>
      </w:r>
    </w:p>
    <w:p w14:paraId="56A16DA5" w14:textId="77777777" w:rsidR="00543A96" w:rsidRPr="00543A96" w:rsidRDefault="00543A96" w:rsidP="00543A96">
      <w:pPr>
        <w:numPr>
          <w:ilvl w:val="0"/>
          <w:numId w:val="3"/>
        </w:numPr>
      </w:pPr>
      <w:r w:rsidRPr="00543A96">
        <w:t>The detailed facts are set out in the Applicant’s Affidavit and Motion Record. The Applicant summarizes the key points.</w:t>
      </w:r>
    </w:p>
    <w:p w14:paraId="09F842F6" w14:textId="77777777" w:rsidR="00543A96" w:rsidRPr="00543A96" w:rsidRDefault="00543A96" w:rsidP="00543A96">
      <w:pPr>
        <w:numPr>
          <w:ilvl w:val="0"/>
          <w:numId w:val="3"/>
        </w:numPr>
      </w:pPr>
      <w:r w:rsidRPr="00543A96">
        <w:t xml:space="preserve">The Applicant is a Chinese-Canadian entrepreneur, fund manager, and investor, historically referred to by media and investors as </w:t>
      </w:r>
      <w:r w:rsidRPr="00543A96">
        <w:rPr>
          <w:b/>
          <w:bCs/>
        </w:rPr>
        <w:t>“The Chinese Warren Buffett”</w:t>
      </w:r>
      <w:r w:rsidRPr="00543A96">
        <w:t xml:space="preserve"> for his long-term performance and innovative “1% per week” investment philosophy.</w:t>
      </w:r>
    </w:p>
    <w:p w14:paraId="142DA00D" w14:textId="77777777" w:rsidR="00543A96" w:rsidRPr="00543A96" w:rsidRDefault="00543A96" w:rsidP="00543A96">
      <w:pPr>
        <w:numPr>
          <w:ilvl w:val="0"/>
          <w:numId w:val="3"/>
        </w:numPr>
      </w:pPr>
      <w:r w:rsidRPr="00543A96">
        <w:t xml:space="preserve">On </w:t>
      </w:r>
      <w:r w:rsidRPr="00543A96">
        <w:rPr>
          <w:b/>
          <w:bCs/>
        </w:rPr>
        <w:t>March 17, 2009</w:t>
      </w:r>
      <w:r w:rsidRPr="00543A96">
        <w:t>, the OSC:</w:t>
      </w:r>
    </w:p>
    <w:p w14:paraId="3561CD8B" w14:textId="77777777" w:rsidR="00543A96" w:rsidRPr="00543A96" w:rsidRDefault="00543A96" w:rsidP="00543A96">
      <w:pPr>
        <w:numPr>
          <w:ilvl w:val="1"/>
          <w:numId w:val="3"/>
        </w:numPr>
      </w:pPr>
      <w:r w:rsidRPr="00543A96">
        <w:t xml:space="preserve">issued a </w:t>
      </w:r>
      <w:r w:rsidRPr="00543A96">
        <w:rPr>
          <w:b/>
          <w:bCs/>
        </w:rPr>
        <w:t>temporary cease-trade order</w:t>
      </w:r>
      <w:r w:rsidRPr="00543A96">
        <w:t xml:space="preserve"> against the Applicant and his companies;</w:t>
      </w:r>
    </w:p>
    <w:p w14:paraId="04171787" w14:textId="77777777" w:rsidR="00543A96" w:rsidRPr="00543A96" w:rsidRDefault="00543A96" w:rsidP="00543A96">
      <w:pPr>
        <w:numPr>
          <w:ilvl w:val="1"/>
          <w:numId w:val="3"/>
        </w:numPr>
      </w:pPr>
      <w:r w:rsidRPr="00543A96">
        <w:lastRenderedPageBreak/>
        <w:t xml:space="preserve">obtained </w:t>
      </w:r>
      <w:r w:rsidRPr="00543A96">
        <w:rPr>
          <w:b/>
          <w:bCs/>
        </w:rPr>
        <w:t>freeze orders</w:t>
      </w:r>
      <w:r w:rsidRPr="00543A96">
        <w:t xml:space="preserve"> over accounts in Canada;</w:t>
      </w:r>
    </w:p>
    <w:p w14:paraId="04EE5B35" w14:textId="77777777" w:rsidR="00543A96" w:rsidRPr="00543A96" w:rsidRDefault="00543A96" w:rsidP="00543A96">
      <w:pPr>
        <w:numPr>
          <w:ilvl w:val="1"/>
          <w:numId w:val="3"/>
        </w:numPr>
      </w:pPr>
      <w:r w:rsidRPr="00543A96">
        <w:t xml:space="preserve">initiated public </w:t>
      </w:r>
      <w:r w:rsidRPr="00543A96">
        <w:rPr>
          <w:b/>
          <w:bCs/>
        </w:rPr>
        <w:t>press releases</w:t>
      </w:r>
      <w:r w:rsidRPr="00543A96">
        <w:t xml:space="preserve"> that portrayed the Applicant as guilty before any fair hearing.</w:t>
      </w:r>
    </w:p>
    <w:p w14:paraId="472DA678" w14:textId="77777777" w:rsidR="00543A96" w:rsidRPr="00543A96" w:rsidRDefault="00543A96" w:rsidP="00543A96">
      <w:pPr>
        <w:numPr>
          <w:ilvl w:val="0"/>
          <w:numId w:val="3"/>
        </w:numPr>
      </w:pPr>
      <w:r w:rsidRPr="00543A96">
        <w:t xml:space="preserve">The cease-trade order and freezes </w:t>
      </w:r>
      <w:r w:rsidRPr="00543A96">
        <w:rPr>
          <w:b/>
          <w:bCs/>
        </w:rPr>
        <w:t>immediately destroyed</w:t>
      </w:r>
      <w:r w:rsidRPr="00543A96">
        <w:t xml:space="preserve"> the Applicant’s business, prevented him from generating income, and created panic among investors.</w:t>
      </w:r>
    </w:p>
    <w:p w14:paraId="3D58157F" w14:textId="77777777" w:rsidR="00543A96" w:rsidRPr="00543A96" w:rsidRDefault="00543A96" w:rsidP="00543A96">
      <w:pPr>
        <w:numPr>
          <w:ilvl w:val="0"/>
          <w:numId w:val="3"/>
        </w:numPr>
      </w:pPr>
      <w:r w:rsidRPr="00543A96">
        <w:t xml:space="preserve">The Applicant refinanced his home, contributed personal funds (including over $200,000), and used US-based accounts to </w:t>
      </w:r>
      <w:r w:rsidRPr="00543A96">
        <w:rPr>
          <w:b/>
          <w:bCs/>
        </w:rPr>
        <w:t>try to recover money for investors</w:t>
      </w:r>
      <w:r w:rsidRPr="00543A96">
        <w:t>. However, both Canadian and U.S. authorities seized or froze these funds, often placing them in the control of Receivers and law firms, without full accounting to investors.</w:t>
      </w:r>
    </w:p>
    <w:p w14:paraId="773D830C" w14:textId="77777777" w:rsidR="00543A96" w:rsidRPr="00543A96" w:rsidRDefault="00543A96" w:rsidP="00543A96">
      <w:pPr>
        <w:numPr>
          <w:ilvl w:val="0"/>
          <w:numId w:val="3"/>
        </w:numPr>
      </w:pPr>
      <w:r w:rsidRPr="00543A96">
        <w:t xml:space="preserve">In criminal and regulatory proceedings, the OSC relied on </w:t>
      </w:r>
      <w:r w:rsidRPr="00543A96">
        <w:rPr>
          <w:b/>
          <w:bCs/>
        </w:rPr>
        <w:t>forensic accountants</w:t>
      </w:r>
      <w:r w:rsidRPr="00543A96">
        <w:t xml:space="preserve"> as “experts.” These individuals were </w:t>
      </w:r>
      <w:r w:rsidRPr="00543A96">
        <w:rPr>
          <w:b/>
          <w:bCs/>
        </w:rPr>
        <w:t>not experts in trading, hedge funds, or fund management</w:t>
      </w:r>
      <w:r w:rsidRPr="00543A96">
        <w:t>, and misinterpreted crucial financial records.</w:t>
      </w:r>
    </w:p>
    <w:p w14:paraId="0DD9625E" w14:textId="77777777" w:rsidR="00543A96" w:rsidRPr="00543A96" w:rsidRDefault="00543A96" w:rsidP="00543A96">
      <w:pPr>
        <w:numPr>
          <w:ilvl w:val="0"/>
          <w:numId w:val="3"/>
        </w:numPr>
      </w:pPr>
      <w:r w:rsidRPr="00543A96">
        <w:t xml:space="preserve">A central example is the treatment of a </w:t>
      </w:r>
      <w:r w:rsidRPr="00543A96">
        <w:rPr>
          <w:b/>
          <w:bCs/>
        </w:rPr>
        <w:t>US $1,000,000 trading commission</w:t>
      </w:r>
      <w:r w:rsidRPr="00543A96">
        <w:t xml:space="preserve"> the Applicant earned by turning US $1,000,000 into US $5,000,000 for a client within approximately five weeks. The commission was deposited into the Oversea Chinese Fund and used to pay investors. The OSC’s expert mischaracterized this as “new investor funds,” and the trial judge relied on that interpretation.</w:t>
      </w:r>
    </w:p>
    <w:p w14:paraId="679F5F20" w14:textId="77777777" w:rsidR="00543A96" w:rsidRPr="00543A96" w:rsidRDefault="00543A96" w:rsidP="00543A96">
      <w:pPr>
        <w:numPr>
          <w:ilvl w:val="0"/>
          <w:numId w:val="3"/>
        </w:numPr>
      </w:pPr>
      <w:r w:rsidRPr="00543A96">
        <w:t xml:space="preserve">The Applicant did </w:t>
      </w:r>
      <w:r w:rsidRPr="00543A96">
        <w:rPr>
          <w:b/>
          <w:bCs/>
        </w:rPr>
        <w:t>not</w:t>
      </w:r>
      <w:r w:rsidRPr="00543A96">
        <w:t xml:space="preserve"> have access to sufficient funds to retain his own independent expert to challenge these misinterpretations.</w:t>
      </w:r>
    </w:p>
    <w:p w14:paraId="68114A8E" w14:textId="77777777" w:rsidR="00543A96" w:rsidRPr="00543A96" w:rsidRDefault="00543A96" w:rsidP="00543A96">
      <w:pPr>
        <w:numPr>
          <w:ilvl w:val="0"/>
          <w:numId w:val="3"/>
        </w:numPr>
      </w:pPr>
      <w:r w:rsidRPr="00543A96">
        <w:t xml:space="preserve">The Ontario Court of Appeal later acknowledged that </w:t>
      </w:r>
      <w:r w:rsidRPr="00543A96">
        <w:rPr>
          <w:b/>
          <w:bCs/>
        </w:rPr>
        <w:t>no proper investment expert testified</w:t>
      </w:r>
      <w:r w:rsidRPr="00543A96">
        <w:t xml:space="preserve">. Yet the consequences, including the </w:t>
      </w:r>
      <w:r w:rsidRPr="00543A96">
        <w:rPr>
          <w:b/>
          <w:bCs/>
        </w:rPr>
        <w:t>lifetime ban</w:t>
      </w:r>
      <w:r w:rsidRPr="00543A96">
        <w:t xml:space="preserve"> imposed in April 2016, have continued to this day.</w:t>
      </w:r>
    </w:p>
    <w:p w14:paraId="7A66140E" w14:textId="77777777" w:rsidR="00543A96" w:rsidRPr="00543A96" w:rsidRDefault="00543A96" w:rsidP="00543A96">
      <w:pPr>
        <w:numPr>
          <w:ilvl w:val="0"/>
          <w:numId w:val="3"/>
        </w:numPr>
      </w:pPr>
      <w:r w:rsidRPr="00543A96">
        <w:t xml:space="preserve">The Applicant has lived under a </w:t>
      </w:r>
      <w:r w:rsidRPr="00543A96">
        <w:rPr>
          <w:b/>
          <w:bCs/>
        </w:rPr>
        <w:t>15-year effective economic death sentence</w:t>
      </w:r>
      <w:r w:rsidRPr="00543A96">
        <w:t>, unable to trade, open accounts, or work in his profession.</w:t>
      </w:r>
    </w:p>
    <w:p w14:paraId="391C618F" w14:textId="77777777" w:rsidR="00543A96" w:rsidRPr="00543A96" w:rsidRDefault="00543A96" w:rsidP="00543A96">
      <w:r w:rsidRPr="00543A96">
        <w:pict w14:anchorId="77F337E8">
          <v:rect id="_x0000_i1113" style="width:0;height:1.5pt" o:hralign="center" o:hrstd="t" o:hr="t" fillcolor="#a0a0a0" stroked="f"/>
        </w:pict>
      </w:r>
    </w:p>
    <w:p w14:paraId="10D78A30" w14:textId="77777777" w:rsidR="00543A96" w:rsidRPr="00543A96" w:rsidRDefault="00543A96" w:rsidP="00543A96">
      <w:pPr>
        <w:rPr>
          <w:b/>
          <w:bCs/>
        </w:rPr>
      </w:pPr>
      <w:r w:rsidRPr="00543A96">
        <w:rPr>
          <w:b/>
          <w:bCs/>
        </w:rPr>
        <w:t>PART IV – ISSUES</w:t>
      </w:r>
    </w:p>
    <w:p w14:paraId="37DD01BE" w14:textId="77777777" w:rsidR="00543A96" w:rsidRPr="00543A96" w:rsidRDefault="00543A96" w:rsidP="00543A96">
      <w:pPr>
        <w:numPr>
          <w:ilvl w:val="0"/>
          <w:numId w:val="4"/>
        </w:numPr>
      </w:pPr>
      <w:r w:rsidRPr="00543A96">
        <w:t>The issues on this application are:</w:t>
      </w:r>
    </w:p>
    <w:p w14:paraId="3498B99B" w14:textId="77777777" w:rsidR="00543A96" w:rsidRPr="00543A96" w:rsidRDefault="00543A96" w:rsidP="00543A96">
      <w:r w:rsidRPr="00543A96">
        <w:t xml:space="preserve">(1) Did the OSC’s actions violate the Applicant’s rights under </w:t>
      </w:r>
      <w:r w:rsidRPr="00543A96">
        <w:rPr>
          <w:b/>
          <w:bCs/>
        </w:rPr>
        <w:t>section 7</w:t>
      </w:r>
      <w:r w:rsidRPr="00543A96">
        <w:t xml:space="preserve"> of the Charter?</w:t>
      </w:r>
      <w:r w:rsidRPr="00543A96">
        <w:br/>
        <w:t xml:space="preserve">(2) Did the lack of qualified experts, misinterpretation of evidence, and structural disadvantages violate </w:t>
      </w:r>
      <w:r w:rsidRPr="00543A96">
        <w:rPr>
          <w:b/>
          <w:bCs/>
        </w:rPr>
        <w:t>section 11(d)</w:t>
      </w:r>
      <w:r w:rsidRPr="00543A96">
        <w:t xml:space="preserve"> (fair trial)?</w:t>
      </w:r>
      <w:r w:rsidRPr="00543A96">
        <w:br/>
        <w:t>(3) Did the OSC’s treatment of the Applicant, in the context of broader patterns (including Sino-</w:t>
      </w:r>
      <w:r w:rsidRPr="00543A96">
        <w:lastRenderedPageBreak/>
        <w:t xml:space="preserve">Forest), violate </w:t>
      </w:r>
      <w:r w:rsidRPr="00543A96">
        <w:rPr>
          <w:b/>
          <w:bCs/>
        </w:rPr>
        <w:t>section 15(1)</w:t>
      </w:r>
      <w:r w:rsidRPr="00543A96">
        <w:t xml:space="preserve"> (equality and discrimination)?</w:t>
      </w:r>
      <w:r w:rsidRPr="00543A96">
        <w:br/>
        <w:t xml:space="preserve">(4) What remedies are appropriate under </w:t>
      </w:r>
      <w:r w:rsidRPr="00543A96">
        <w:rPr>
          <w:b/>
          <w:bCs/>
        </w:rPr>
        <w:t>section 24(1)</w:t>
      </w:r>
      <w:r w:rsidRPr="00543A96">
        <w:t>?</w:t>
      </w:r>
    </w:p>
    <w:p w14:paraId="62153225" w14:textId="77777777" w:rsidR="00543A96" w:rsidRPr="00543A96" w:rsidRDefault="00543A96" w:rsidP="00543A96">
      <w:r w:rsidRPr="00543A96">
        <w:pict w14:anchorId="48B4C148">
          <v:rect id="_x0000_i1114" style="width:0;height:1.5pt" o:hralign="center" o:hrstd="t" o:hr="t" fillcolor="#a0a0a0" stroked="f"/>
        </w:pict>
      </w:r>
    </w:p>
    <w:p w14:paraId="6231902E" w14:textId="77777777" w:rsidR="00543A96" w:rsidRPr="00543A96" w:rsidRDefault="00543A96" w:rsidP="00543A96">
      <w:pPr>
        <w:rPr>
          <w:b/>
          <w:bCs/>
        </w:rPr>
      </w:pPr>
      <w:r w:rsidRPr="00543A96">
        <w:rPr>
          <w:b/>
          <w:bCs/>
        </w:rPr>
        <w:t>PART V – SECTION 7 – LIFE, LIBERTY, SECURITY</w:t>
      </w:r>
    </w:p>
    <w:p w14:paraId="22750D47" w14:textId="77777777" w:rsidR="00543A96" w:rsidRPr="00543A96" w:rsidRDefault="00543A96" w:rsidP="00543A96">
      <w:pPr>
        <w:numPr>
          <w:ilvl w:val="0"/>
          <w:numId w:val="5"/>
        </w:numPr>
      </w:pPr>
      <w:r w:rsidRPr="00543A96">
        <w:t xml:space="preserve">Section 7 protects life, liberty, and security of the person and the right not to be deprived thereof except in accordance with </w:t>
      </w:r>
      <w:r w:rsidRPr="00543A96">
        <w:rPr>
          <w:b/>
          <w:bCs/>
        </w:rPr>
        <w:t>the principles of fundamental justice</w:t>
      </w:r>
      <w:r w:rsidRPr="00543A96">
        <w:t>.</w:t>
      </w:r>
    </w:p>
    <w:p w14:paraId="7F8B2B17" w14:textId="77777777" w:rsidR="00543A96" w:rsidRPr="00543A96" w:rsidRDefault="00543A96" w:rsidP="00543A96">
      <w:pPr>
        <w:numPr>
          <w:ilvl w:val="0"/>
          <w:numId w:val="5"/>
        </w:numPr>
      </w:pPr>
      <w:r w:rsidRPr="00543A96">
        <w:t>The OSC’s actions deprived the Applicant of:</w:t>
      </w:r>
    </w:p>
    <w:p w14:paraId="19010A71" w14:textId="77777777" w:rsidR="00543A96" w:rsidRPr="00543A96" w:rsidRDefault="00543A96" w:rsidP="00543A96">
      <w:pPr>
        <w:numPr>
          <w:ilvl w:val="0"/>
          <w:numId w:val="6"/>
        </w:numPr>
      </w:pPr>
      <w:r w:rsidRPr="00543A96">
        <w:rPr>
          <w:b/>
          <w:bCs/>
        </w:rPr>
        <w:t>the ability to work</w:t>
      </w:r>
      <w:r w:rsidRPr="00543A96">
        <w:t xml:space="preserve"> in his chosen field;</w:t>
      </w:r>
    </w:p>
    <w:p w14:paraId="57FA58E8" w14:textId="77777777" w:rsidR="00543A96" w:rsidRPr="00543A96" w:rsidRDefault="00543A96" w:rsidP="00543A96">
      <w:pPr>
        <w:numPr>
          <w:ilvl w:val="0"/>
          <w:numId w:val="6"/>
        </w:numPr>
      </w:pPr>
      <w:r w:rsidRPr="00543A96">
        <w:rPr>
          <w:b/>
          <w:bCs/>
        </w:rPr>
        <w:t>the ability to support himself and his family</w:t>
      </w:r>
      <w:r w:rsidRPr="00543A96">
        <w:t>;</w:t>
      </w:r>
    </w:p>
    <w:p w14:paraId="3A319D8A" w14:textId="77777777" w:rsidR="00543A96" w:rsidRPr="00543A96" w:rsidRDefault="00543A96" w:rsidP="00543A96">
      <w:pPr>
        <w:numPr>
          <w:ilvl w:val="0"/>
          <w:numId w:val="6"/>
        </w:numPr>
      </w:pPr>
      <w:r w:rsidRPr="00543A96">
        <w:rPr>
          <w:b/>
          <w:bCs/>
        </w:rPr>
        <w:t>the ability to fund a legal defence</w:t>
      </w:r>
      <w:r w:rsidRPr="00543A96">
        <w:t>, including experts;</w:t>
      </w:r>
    </w:p>
    <w:p w14:paraId="1C758822" w14:textId="77777777" w:rsidR="00543A96" w:rsidRPr="00543A96" w:rsidRDefault="00543A96" w:rsidP="00543A96">
      <w:pPr>
        <w:numPr>
          <w:ilvl w:val="0"/>
          <w:numId w:val="6"/>
        </w:numPr>
      </w:pPr>
      <w:r w:rsidRPr="00543A96">
        <w:rPr>
          <w:b/>
          <w:bCs/>
        </w:rPr>
        <w:t>the stability and security</w:t>
      </w:r>
      <w:r w:rsidRPr="00543A96">
        <w:t xml:space="preserve"> of his home, which was lost through foreclosure after freezes.</w:t>
      </w:r>
    </w:p>
    <w:p w14:paraId="63F44163" w14:textId="77777777" w:rsidR="00543A96" w:rsidRPr="00543A96" w:rsidRDefault="00543A96" w:rsidP="00543A96">
      <w:pPr>
        <w:numPr>
          <w:ilvl w:val="0"/>
          <w:numId w:val="7"/>
        </w:numPr>
      </w:pPr>
      <w:r w:rsidRPr="00543A96">
        <w:t xml:space="preserve">The use of the </w:t>
      </w:r>
      <w:r w:rsidRPr="00543A96">
        <w:rPr>
          <w:b/>
          <w:bCs/>
        </w:rPr>
        <w:t>cease-trade order</w:t>
      </w:r>
      <w:r w:rsidRPr="00543A96">
        <w:t xml:space="preserve"> and asset freezes </w:t>
      </w:r>
      <w:r w:rsidRPr="00543A96">
        <w:rPr>
          <w:b/>
          <w:bCs/>
        </w:rPr>
        <w:t>before proper investigation and hearing</w:t>
      </w:r>
      <w:r w:rsidRPr="00543A96">
        <w:t xml:space="preserve"> was:</w:t>
      </w:r>
    </w:p>
    <w:p w14:paraId="2C7D6648" w14:textId="77777777" w:rsidR="00543A96" w:rsidRPr="00543A96" w:rsidRDefault="00543A96" w:rsidP="00543A96">
      <w:pPr>
        <w:numPr>
          <w:ilvl w:val="0"/>
          <w:numId w:val="8"/>
        </w:numPr>
      </w:pPr>
      <w:r w:rsidRPr="00543A96">
        <w:rPr>
          <w:b/>
          <w:bCs/>
        </w:rPr>
        <w:t>arbitrary</w:t>
      </w:r>
      <w:r w:rsidRPr="00543A96">
        <w:t xml:space="preserve"> – not tailored to actual proven risk;</w:t>
      </w:r>
    </w:p>
    <w:p w14:paraId="61C9A089" w14:textId="77777777" w:rsidR="00543A96" w:rsidRPr="00543A96" w:rsidRDefault="00543A96" w:rsidP="00543A96">
      <w:pPr>
        <w:numPr>
          <w:ilvl w:val="0"/>
          <w:numId w:val="8"/>
        </w:numPr>
      </w:pPr>
      <w:r w:rsidRPr="00543A96">
        <w:rPr>
          <w:b/>
          <w:bCs/>
        </w:rPr>
        <w:t>overbroad</w:t>
      </w:r>
      <w:r w:rsidRPr="00543A96">
        <w:t xml:space="preserve"> – punishing all activities, including lawful ones;</w:t>
      </w:r>
    </w:p>
    <w:p w14:paraId="0F209372" w14:textId="77777777" w:rsidR="00543A96" w:rsidRPr="00543A96" w:rsidRDefault="00543A96" w:rsidP="00543A96">
      <w:pPr>
        <w:numPr>
          <w:ilvl w:val="0"/>
          <w:numId w:val="8"/>
        </w:numPr>
      </w:pPr>
      <w:r w:rsidRPr="00543A96">
        <w:rPr>
          <w:b/>
          <w:bCs/>
        </w:rPr>
        <w:t>grossly disproportionate</w:t>
      </w:r>
      <w:r w:rsidRPr="00543A96">
        <w:t xml:space="preserve"> – destroying far more than necessary to protect the public.</w:t>
      </w:r>
    </w:p>
    <w:p w14:paraId="6FC53090" w14:textId="77777777" w:rsidR="00543A96" w:rsidRPr="00543A96" w:rsidRDefault="00543A96" w:rsidP="00543A96">
      <w:pPr>
        <w:numPr>
          <w:ilvl w:val="0"/>
          <w:numId w:val="9"/>
        </w:numPr>
      </w:pPr>
      <w:r w:rsidRPr="00543A96">
        <w:t>The state therefore engaged section 7 and did so in a way that violated the principles of fundamental justice.</w:t>
      </w:r>
    </w:p>
    <w:p w14:paraId="7AE4EE55" w14:textId="77777777" w:rsidR="00543A96" w:rsidRPr="00543A96" w:rsidRDefault="00543A96" w:rsidP="00543A96">
      <w:r w:rsidRPr="00543A96">
        <w:pict w14:anchorId="5967C6B0">
          <v:rect id="_x0000_i1115" style="width:0;height:1.5pt" o:hralign="center" o:hrstd="t" o:hr="t" fillcolor="#a0a0a0" stroked="f"/>
        </w:pict>
      </w:r>
    </w:p>
    <w:p w14:paraId="3B9833FB" w14:textId="77777777" w:rsidR="00543A96" w:rsidRPr="00543A96" w:rsidRDefault="00543A96" w:rsidP="00543A96">
      <w:pPr>
        <w:rPr>
          <w:b/>
          <w:bCs/>
        </w:rPr>
      </w:pPr>
      <w:r w:rsidRPr="00543A96">
        <w:rPr>
          <w:b/>
          <w:bCs/>
        </w:rPr>
        <w:t>PART VI – SECTION 11(d) – FAIR TRIAL &amp; PRESUMPTION OF INNOCENCE</w:t>
      </w:r>
    </w:p>
    <w:p w14:paraId="590EFCD3" w14:textId="77777777" w:rsidR="00543A96" w:rsidRPr="00543A96" w:rsidRDefault="00543A96" w:rsidP="00543A96">
      <w:pPr>
        <w:numPr>
          <w:ilvl w:val="0"/>
          <w:numId w:val="10"/>
        </w:numPr>
      </w:pPr>
      <w:r w:rsidRPr="00543A96">
        <w:t xml:space="preserve">Section 11(d) guarantees the right to be presumed innocent until proven guilty in a fair and public hearing by an </w:t>
      </w:r>
      <w:r w:rsidRPr="00543A96">
        <w:rPr>
          <w:b/>
          <w:bCs/>
        </w:rPr>
        <w:t>independent and impartial tribunal</w:t>
      </w:r>
      <w:r w:rsidRPr="00543A96">
        <w:t>.</w:t>
      </w:r>
    </w:p>
    <w:p w14:paraId="2F05FFEC" w14:textId="77777777" w:rsidR="00543A96" w:rsidRPr="00543A96" w:rsidRDefault="00543A96" w:rsidP="00543A96">
      <w:pPr>
        <w:numPr>
          <w:ilvl w:val="0"/>
          <w:numId w:val="10"/>
        </w:numPr>
      </w:pPr>
      <w:r w:rsidRPr="00543A96">
        <w:t>The Applicant did not receive a fair process because:</w:t>
      </w:r>
    </w:p>
    <w:p w14:paraId="1437CF56" w14:textId="77777777" w:rsidR="00543A96" w:rsidRPr="00543A96" w:rsidRDefault="00543A96" w:rsidP="00543A96">
      <w:r w:rsidRPr="00543A96">
        <w:t xml:space="preserve">(a) There was </w:t>
      </w:r>
      <w:r w:rsidRPr="00543A96">
        <w:rPr>
          <w:b/>
          <w:bCs/>
        </w:rPr>
        <w:t>no truly qualified independent expert</w:t>
      </w:r>
      <w:r w:rsidRPr="00543A96">
        <w:t xml:space="preserve"> on investments, hedge funds, or trading strategy;</w:t>
      </w:r>
    </w:p>
    <w:p w14:paraId="3C19DE79" w14:textId="77777777" w:rsidR="00543A96" w:rsidRPr="00543A96" w:rsidRDefault="00543A96" w:rsidP="00543A96">
      <w:r w:rsidRPr="00543A96">
        <w:t>(b) The OSC’s forensic accountant:</w:t>
      </w:r>
    </w:p>
    <w:p w14:paraId="4778A5B1" w14:textId="77777777" w:rsidR="00543A96" w:rsidRPr="00543A96" w:rsidRDefault="00543A96" w:rsidP="00543A96">
      <w:pPr>
        <w:numPr>
          <w:ilvl w:val="0"/>
          <w:numId w:val="11"/>
        </w:numPr>
      </w:pPr>
      <w:r w:rsidRPr="00543A96">
        <w:t>misunderstood the nature of commissions;</w:t>
      </w:r>
    </w:p>
    <w:p w14:paraId="7A795A0E" w14:textId="77777777" w:rsidR="00543A96" w:rsidRPr="00543A96" w:rsidRDefault="00543A96" w:rsidP="00543A96">
      <w:pPr>
        <w:numPr>
          <w:ilvl w:val="0"/>
          <w:numId w:val="11"/>
        </w:numPr>
      </w:pPr>
      <w:r w:rsidRPr="00543A96">
        <w:t>failed to distinguish personal funds from investor funds;</w:t>
      </w:r>
    </w:p>
    <w:p w14:paraId="1C80B45D" w14:textId="77777777" w:rsidR="00543A96" w:rsidRPr="00543A96" w:rsidRDefault="00543A96" w:rsidP="00543A96">
      <w:pPr>
        <w:numPr>
          <w:ilvl w:val="0"/>
          <w:numId w:val="11"/>
        </w:numPr>
      </w:pPr>
      <w:r w:rsidRPr="00543A96">
        <w:lastRenderedPageBreak/>
        <w:t>created charts and conclusions inconsistent with actual trading records;</w:t>
      </w:r>
    </w:p>
    <w:p w14:paraId="10940F35" w14:textId="77777777" w:rsidR="00543A96" w:rsidRPr="00543A96" w:rsidRDefault="00543A96" w:rsidP="00543A96">
      <w:r w:rsidRPr="00543A96">
        <w:t xml:space="preserve">(c) The Applicant was </w:t>
      </w:r>
      <w:r w:rsidRPr="00543A96">
        <w:rPr>
          <w:b/>
          <w:bCs/>
        </w:rPr>
        <w:t>unable to retain his own expert</w:t>
      </w:r>
      <w:r w:rsidRPr="00543A96">
        <w:t xml:space="preserve"> because his funds were frozen;</w:t>
      </w:r>
    </w:p>
    <w:p w14:paraId="1B18194E" w14:textId="77777777" w:rsidR="00543A96" w:rsidRPr="00543A96" w:rsidRDefault="00543A96" w:rsidP="00543A96">
      <w:r w:rsidRPr="00543A96">
        <w:t xml:space="preserve">(d) The lifetime trading ban was imposed when the Applicant was </w:t>
      </w:r>
      <w:r w:rsidRPr="00543A96">
        <w:rPr>
          <w:b/>
          <w:bCs/>
        </w:rPr>
        <w:t>effectively unrepresented and unable to properly challenge the OSC’s evidence</w:t>
      </w:r>
      <w:r w:rsidRPr="00543A96">
        <w:t>.</w:t>
      </w:r>
    </w:p>
    <w:p w14:paraId="068F8FE5" w14:textId="77777777" w:rsidR="00543A96" w:rsidRPr="00543A96" w:rsidRDefault="00543A96" w:rsidP="00543A96">
      <w:pPr>
        <w:numPr>
          <w:ilvl w:val="0"/>
          <w:numId w:val="12"/>
        </w:numPr>
      </w:pPr>
      <w:r w:rsidRPr="00543A96">
        <w:t xml:space="preserve">A complex financial case </w:t>
      </w:r>
      <w:r w:rsidRPr="00543A96">
        <w:rPr>
          <w:b/>
          <w:bCs/>
        </w:rPr>
        <w:t>without qualified experts</w:t>
      </w:r>
      <w:r w:rsidRPr="00543A96">
        <w:t xml:space="preserve"> is inherently unfair; the judge is forced to choose between incomplete or incorrect versions of reality.</w:t>
      </w:r>
    </w:p>
    <w:p w14:paraId="4C8FED67" w14:textId="77777777" w:rsidR="00543A96" w:rsidRPr="00543A96" w:rsidRDefault="00543A96" w:rsidP="00543A96">
      <w:pPr>
        <w:numPr>
          <w:ilvl w:val="0"/>
          <w:numId w:val="12"/>
        </w:numPr>
      </w:pPr>
      <w:r w:rsidRPr="00543A96">
        <w:t>This violates section 11(d) and undermines the integrity of the justice system.</w:t>
      </w:r>
    </w:p>
    <w:p w14:paraId="48935E83" w14:textId="77777777" w:rsidR="00543A96" w:rsidRPr="00543A96" w:rsidRDefault="00543A96" w:rsidP="00543A96">
      <w:r w:rsidRPr="00543A96">
        <w:pict w14:anchorId="7D3E3E7A">
          <v:rect id="_x0000_i1116" style="width:0;height:1.5pt" o:hralign="center" o:hrstd="t" o:hr="t" fillcolor="#a0a0a0" stroked="f"/>
        </w:pict>
      </w:r>
    </w:p>
    <w:p w14:paraId="589D961D" w14:textId="77777777" w:rsidR="00543A96" w:rsidRPr="00543A96" w:rsidRDefault="00543A96" w:rsidP="00543A96">
      <w:pPr>
        <w:rPr>
          <w:b/>
          <w:bCs/>
        </w:rPr>
      </w:pPr>
      <w:r w:rsidRPr="00543A96">
        <w:rPr>
          <w:b/>
          <w:bCs/>
        </w:rPr>
        <w:t>PART VII – SECTION 15(1) – EQUALITY RIGHTS</w:t>
      </w:r>
    </w:p>
    <w:p w14:paraId="3094BE2A" w14:textId="77777777" w:rsidR="00543A96" w:rsidRPr="00543A96" w:rsidRDefault="00543A96" w:rsidP="00543A96">
      <w:pPr>
        <w:numPr>
          <w:ilvl w:val="0"/>
          <w:numId w:val="13"/>
        </w:numPr>
      </w:pPr>
      <w:r w:rsidRPr="00543A96">
        <w:t>Section 15(1) guarantees equality before and under the law, and the right to equal protection and equal benefit of the law without discrimination.</w:t>
      </w:r>
    </w:p>
    <w:p w14:paraId="55500CC0" w14:textId="77777777" w:rsidR="00543A96" w:rsidRPr="00543A96" w:rsidRDefault="00543A96" w:rsidP="00543A96">
      <w:pPr>
        <w:numPr>
          <w:ilvl w:val="0"/>
          <w:numId w:val="13"/>
        </w:numPr>
      </w:pPr>
      <w:r w:rsidRPr="00543A96">
        <w:t xml:space="preserve">The Applicant submits that </w:t>
      </w:r>
      <w:r w:rsidRPr="00543A96">
        <w:rPr>
          <w:b/>
          <w:bCs/>
        </w:rPr>
        <w:t>Chinese-Canadian entrepreneurs, including himself</w:t>
      </w:r>
      <w:r w:rsidRPr="00543A96">
        <w:t xml:space="preserve">, have been subjected to </w:t>
      </w:r>
      <w:r w:rsidRPr="00543A96">
        <w:rPr>
          <w:b/>
          <w:bCs/>
        </w:rPr>
        <w:t>disproportionately harsh regulatory enforcement</w:t>
      </w:r>
      <w:r w:rsidRPr="00543A96">
        <w:t>, compared with non-Chinese counterparts.</w:t>
      </w:r>
    </w:p>
    <w:p w14:paraId="7B060421" w14:textId="77777777" w:rsidR="00543A96" w:rsidRPr="00543A96" w:rsidRDefault="00543A96" w:rsidP="00543A96">
      <w:pPr>
        <w:numPr>
          <w:ilvl w:val="0"/>
          <w:numId w:val="13"/>
        </w:numPr>
      </w:pPr>
      <w:r w:rsidRPr="00543A96">
        <w:t xml:space="preserve">In cases such as </w:t>
      </w:r>
      <w:r w:rsidRPr="00543A96">
        <w:rPr>
          <w:b/>
          <w:bCs/>
        </w:rPr>
        <w:t>Sino-Forest</w:t>
      </w:r>
      <w:r w:rsidRPr="00543A96">
        <w:t>, billions in investor value were wiped out after aggressive regulatory action. The same regulatory teams, approaches, and public communications practices appear in the Applicant’s case.</w:t>
      </w:r>
    </w:p>
    <w:p w14:paraId="30D952C9" w14:textId="77777777" w:rsidR="00543A96" w:rsidRPr="00543A96" w:rsidRDefault="00543A96" w:rsidP="00543A96">
      <w:pPr>
        <w:numPr>
          <w:ilvl w:val="0"/>
          <w:numId w:val="13"/>
        </w:numPr>
      </w:pPr>
      <w:r w:rsidRPr="00543A96">
        <w:t>The pattern is:</w:t>
      </w:r>
    </w:p>
    <w:p w14:paraId="1C49B8F8" w14:textId="77777777" w:rsidR="00543A96" w:rsidRPr="00543A96" w:rsidRDefault="00543A96" w:rsidP="00543A96">
      <w:pPr>
        <w:numPr>
          <w:ilvl w:val="0"/>
          <w:numId w:val="14"/>
        </w:numPr>
      </w:pPr>
      <w:r w:rsidRPr="00543A96">
        <w:t>Chinese-led entities are heavily attacked in media;</w:t>
      </w:r>
    </w:p>
    <w:p w14:paraId="5349D4AA" w14:textId="77777777" w:rsidR="00543A96" w:rsidRPr="00543A96" w:rsidRDefault="00543A96" w:rsidP="00543A96">
      <w:pPr>
        <w:numPr>
          <w:ilvl w:val="0"/>
          <w:numId w:val="14"/>
        </w:numPr>
      </w:pPr>
      <w:r w:rsidRPr="00543A96">
        <w:t>severe sanctions are imposed;</w:t>
      </w:r>
    </w:p>
    <w:p w14:paraId="52705E0A" w14:textId="77777777" w:rsidR="00543A96" w:rsidRPr="00543A96" w:rsidRDefault="00543A96" w:rsidP="00543A96">
      <w:pPr>
        <w:numPr>
          <w:ilvl w:val="0"/>
          <w:numId w:val="14"/>
        </w:numPr>
      </w:pPr>
      <w:r w:rsidRPr="00543A96">
        <w:t>investors are left with massive losses;</w:t>
      </w:r>
    </w:p>
    <w:p w14:paraId="3BD48F22" w14:textId="77777777" w:rsidR="00543A96" w:rsidRPr="00543A96" w:rsidRDefault="00543A96" w:rsidP="00543A96">
      <w:pPr>
        <w:numPr>
          <w:ilvl w:val="0"/>
          <w:numId w:val="14"/>
        </w:numPr>
      </w:pPr>
      <w:r w:rsidRPr="00543A96">
        <w:t>regulators and law firms face no consequences;</w:t>
      </w:r>
    </w:p>
    <w:p w14:paraId="6483DB99" w14:textId="77777777" w:rsidR="00543A96" w:rsidRPr="00543A96" w:rsidRDefault="00543A96" w:rsidP="00543A96">
      <w:pPr>
        <w:numPr>
          <w:ilvl w:val="0"/>
          <w:numId w:val="14"/>
        </w:numPr>
      </w:pPr>
      <w:r w:rsidRPr="00543A96">
        <w:t>executives in some cases walk away, while in others, individuals like the Applicant are made scapegoats.</w:t>
      </w:r>
    </w:p>
    <w:p w14:paraId="318C6B07" w14:textId="77777777" w:rsidR="00543A96" w:rsidRPr="00543A96" w:rsidRDefault="00543A96" w:rsidP="00543A96">
      <w:pPr>
        <w:numPr>
          <w:ilvl w:val="0"/>
          <w:numId w:val="15"/>
        </w:numPr>
      </w:pPr>
      <w:r w:rsidRPr="00543A96">
        <w:t xml:space="preserve">This pattern constitutes an unequal and discriminatory </w:t>
      </w:r>
      <w:r w:rsidRPr="00543A96">
        <w:rPr>
          <w:b/>
          <w:bCs/>
        </w:rPr>
        <w:t>impact</w:t>
      </w:r>
      <w:r w:rsidRPr="00543A96">
        <w:t xml:space="preserve"> on the Chinese-Canadian community and violates section 15(1).</w:t>
      </w:r>
    </w:p>
    <w:p w14:paraId="72F2BB57" w14:textId="77777777" w:rsidR="00543A96" w:rsidRPr="00543A96" w:rsidRDefault="00543A96" w:rsidP="00543A96">
      <w:r w:rsidRPr="00543A96">
        <w:pict w14:anchorId="57EFC7C7">
          <v:rect id="_x0000_i1117" style="width:0;height:1.5pt" o:hralign="center" o:hrstd="t" o:hr="t" fillcolor="#a0a0a0" stroked="f"/>
        </w:pict>
      </w:r>
    </w:p>
    <w:p w14:paraId="6509E39A" w14:textId="77777777" w:rsidR="00543A96" w:rsidRPr="00543A96" w:rsidRDefault="00543A96" w:rsidP="00543A96">
      <w:pPr>
        <w:rPr>
          <w:b/>
          <w:bCs/>
        </w:rPr>
      </w:pPr>
      <w:r w:rsidRPr="00543A96">
        <w:rPr>
          <w:b/>
          <w:bCs/>
        </w:rPr>
        <w:t>PART VIII – PROCEDURAL FAIRNESS</w:t>
      </w:r>
    </w:p>
    <w:p w14:paraId="476D7378" w14:textId="77777777" w:rsidR="00543A96" w:rsidRPr="00543A96" w:rsidRDefault="00543A96" w:rsidP="00543A96">
      <w:pPr>
        <w:numPr>
          <w:ilvl w:val="0"/>
          <w:numId w:val="16"/>
        </w:numPr>
      </w:pPr>
      <w:r w:rsidRPr="00543A96">
        <w:lastRenderedPageBreak/>
        <w:t xml:space="preserve">Even apart from explicit Charter sections, Canadian law requires </w:t>
      </w:r>
      <w:r w:rsidRPr="00543A96">
        <w:rPr>
          <w:b/>
          <w:bCs/>
        </w:rPr>
        <w:t>procedural fairness</w:t>
      </w:r>
      <w:r w:rsidRPr="00543A96">
        <w:t xml:space="preserve"> in administrative and quasi-criminal processes.</w:t>
      </w:r>
    </w:p>
    <w:p w14:paraId="4CF3AB58" w14:textId="77777777" w:rsidR="00543A96" w:rsidRPr="00543A96" w:rsidRDefault="00543A96" w:rsidP="00543A96">
      <w:pPr>
        <w:numPr>
          <w:ilvl w:val="0"/>
          <w:numId w:val="16"/>
        </w:numPr>
      </w:pPr>
      <w:r w:rsidRPr="00543A96">
        <w:t>The OSC’s actions violated basic fairness by:</w:t>
      </w:r>
    </w:p>
    <w:p w14:paraId="3B012643" w14:textId="77777777" w:rsidR="00543A96" w:rsidRPr="00543A96" w:rsidRDefault="00543A96" w:rsidP="00543A96">
      <w:pPr>
        <w:numPr>
          <w:ilvl w:val="0"/>
          <w:numId w:val="17"/>
        </w:numPr>
      </w:pPr>
      <w:r w:rsidRPr="00543A96">
        <w:t xml:space="preserve">issuing a </w:t>
      </w:r>
      <w:r w:rsidRPr="00543A96">
        <w:rPr>
          <w:b/>
          <w:bCs/>
        </w:rPr>
        <w:t>cease-trade order and freezes before investigation</w:t>
      </w:r>
      <w:r w:rsidRPr="00543A96">
        <w:t>;</w:t>
      </w:r>
    </w:p>
    <w:p w14:paraId="3625A345" w14:textId="77777777" w:rsidR="00543A96" w:rsidRPr="00543A96" w:rsidRDefault="00543A96" w:rsidP="00543A96">
      <w:pPr>
        <w:numPr>
          <w:ilvl w:val="0"/>
          <w:numId w:val="17"/>
        </w:numPr>
      </w:pPr>
      <w:r w:rsidRPr="00543A96">
        <w:t>failing to provide full, timely disclosure;</w:t>
      </w:r>
    </w:p>
    <w:p w14:paraId="5CF55A1E" w14:textId="77777777" w:rsidR="00543A96" w:rsidRPr="00543A96" w:rsidRDefault="00543A96" w:rsidP="00543A96">
      <w:pPr>
        <w:numPr>
          <w:ilvl w:val="0"/>
          <w:numId w:val="17"/>
        </w:numPr>
      </w:pPr>
      <w:r w:rsidRPr="00543A96">
        <w:t xml:space="preserve">using media releases to </w:t>
      </w:r>
      <w:r w:rsidRPr="00543A96">
        <w:rPr>
          <w:b/>
          <w:bCs/>
        </w:rPr>
        <w:t>pre-judge</w:t>
      </w:r>
      <w:r w:rsidRPr="00543A96">
        <w:t xml:space="preserve"> the Applicant publicly;</w:t>
      </w:r>
    </w:p>
    <w:p w14:paraId="4B8F18C0" w14:textId="77777777" w:rsidR="00543A96" w:rsidRPr="00543A96" w:rsidRDefault="00543A96" w:rsidP="00543A96">
      <w:pPr>
        <w:numPr>
          <w:ilvl w:val="0"/>
          <w:numId w:val="17"/>
        </w:numPr>
      </w:pPr>
      <w:r w:rsidRPr="00543A96">
        <w:t>failing to ensure balanced resources and expert access.</w:t>
      </w:r>
    </w:p>
    <w:p w14:paraId="4BB54E26" w14:textId="77777777" w:rsidR="00543A96" w:rsidRPr="00543A96" w:rsidRDefault="00543A96" w:rsidP="00543A96">
      <w:pPr>
        <w:numPr>
          <w:ilvl w:val="0"/>
          <w:numId w:val="18"/>
        </w:numPr>
      </w:pPr>
      <w:r w:rsidRPr="00543A96">
        <w:t>These breaches of fairness reinforce the seriousness of the Charter violations.</w:t>
      </w:r>
    </w:p>
    <w:p w14:paraId="0583DDD4" w14:textId="77777777" w:rsidR="00543A96" w:rsidRPr="00543A96" w:rsidRDefault="00543A96" w:rsidP="00543A96">
      <w:r w:rsidRPr="00543A96">
        <w:pict w14:anchorId="24D00811">
          <v:rect id="_x0000_i1118" style="width:0;height:1.5pt" o:hralign="center" o:hrstd="t" o:hr="t" fillcolor="#a0a0a0" stroked="f"/>
        </w:pict>
      </w:r>
    </w:p>
    <w:p w14:paraId="2EE1AF36" w14:textId="77777777" w:rsidR="00543A96" w:rsidRPr="00543A96" w:rsidRDefault="00543A96" w:rsidP="00543A96">
      <w:pPr>
        <w:rPr>
          <w:b/>
          <w:bCs/>
        </w:rPr>
      </w:pPr>
      <w:r w:rsidRPr="00543A96">
        <w:rPr>
          <w:b/>
          <w:bCs/>
        </w:rPr>
        <w:t>PART IX – REMEDIES (s. 24(1))</w:t>
      </w:r>
    </w:p>
    <w:p w14:paraId="230B7001" w14:textId="77777777" w:rsidR="00543A96" w:rsidRPr="00543A96" w:rsidRDefault="00543A96" w:rsidP="00543A96">
      <w:pPr>
        <w:numPr>
          <w:ilvl w:val="0"/>
          <w:numId w:val="19"/>
        </w:numPr>
      </w:pPr>
      <w:r w:rsidRPr="00543A96">
        <w:t xml:space="preserve">Section 24(1) empowers the Court to grant </w:t>
      </w:r>
      <w:r w:rsidRPr="00543A96">
        <w:rPr>
          <w:b/>
          <w:bCs/>
        </w:rPr>
        <w:t>“such remedy as the court considers appropriate and just in the circumstances.”</w:t>
      </w:r>
    </w:p>
    <w:p w14:paraId="08D4917C" w14:textId="77777777" w:rsidR="00543A96" w:rsidRPr="00543A96" w:rsidRDefault="00543A96" w:rsidP="00543A96">
      <w:pPr>
        <w:numPr>
          <w:ilvl w:val="0"/>
          <w:numId w:val="19"/>
        </w:numPr>
      </w:pPr>
      <w:r w:rsidRPr="00543A96">
        <w:t>Given the systemic and long-lasting harm, the Applicant submits that:</w:t>
      </w:r>
    </w:p>
    <w:p w14:paraId="5DDE0196" w14:textId="77777777" w:rsidR="00543A96" w:rsidRPr="00543A96" w:rsidRDefault="00543A96" w:rsidP="00543A96">
      <w:pPr>
        <w:numPr>
          <w:ilvl w:val="0"/>
          <w:numId w:val="20"/>
        </w:numPr>
      </w:pPr>
      <w:r w:rsidRPr="00543A96">
        <w:t xml:space="preserve">a </w:t>
      </w:r>
      <w:r w:rsidRPr="00543A96">
        <w:rPr>
          <w:b/>
          <w:bCs/>
        </w:rPr>
        <w:t>stay of the OSC proceeding</w:t>
      </w:r>
      <w:r w:rsidRPr="00543A96">
        <w:t xml:space="preserve"> is necessary;</w:t>
      </w:r>
    </w:p>
    <w:p w14:paraId="28EFB288" w14:textId="77777777" w:rsidR="00543A96" w:rsidRPr="00543A96" w:rsidRDefault="00543A96" w:rsidP="00543A96">
      <w:pPr>
        <w:numPr>
          <w:ilvl w:val="0"/>
          <w:numId w:val="20"/>
        </w:numPr>
      </w:pPr>
      <w:r w:rsidRPr="00543A96">
        <w:t xml:space="preserve">the </w:t>
      </w:r>
      <w:r w:rsidRPr="00543A96">
        <w:rPr>
          <w:b/>
          <w:bCs/>
        </w:rPr>
        <w:t>OSC’s expert evidence must be excluded</w:t>
      </w:r>
      <w:r w:rsidRPr="00543A96">
        <w:t>;</w:t>
      </w:r>
    </w:p>
    <w:p w14:paraId="0EA0D97C" w14:textId="77777777" w:rsidR="00543A96" w:rsidRPr="00543A96" w:rsidRDefault="00543A96" w:rsidP="00543A96">
      <w:pPr>
        <w:numPr>
          <w:ilvl w:val="0"/>
          <w:numId w:val="20"/>
        </w:numPr>
      </w:pPr>
      <w:r w:rsidRPr="00543A96">
        <w:t xml:space="preserve">the </w:t>
      </w:r>
      <w:r w:rsidRPr="00543A96">
        <w:rPr>
          <w:b/>
          <w:bCs/>
        </w:rPr>
        <w:t>lifetime trading ban must be lifted or suspended</w:t>
      </w:r>
      <w:r w:rsidRPr="00543A96">
        <w:t>;</w:t>
      </w:r>
    </w:p>
    <w:p w14:paraId="4BC427DD" w14:textId="77777777" w:rsidR="00543A96" w:rsidRPr="00543A96" w:rsidRDefault="00543A96" w:rsidP="00543A96">
      <w:pPr>
        <w:numPr>
          <w:ilvl w:val="0"/>
          <w:numId w:val="20"/>
        </w:numPr>
      </w:pPr>
      <w:r w:rsidRPr="00543A96">
        <w:t xml:space="preserve">the OSC must be </w:t>
      </w:r>
      <w:r w:rsidRPr="00543A96">
        <w:rPr>
          <w:b/>
          <w:bCs/>
        </w:rPr>
        <w:t>ordered to provide full disclosure</w:t>
      </w:r>
      <w:r w:rsidRPr="00543A96">
        <w:t xml:space="preserve"> to the Applicant and, where appropriate, to investors.</w:t>
      </w:r>
    </w:p>
    <w:p w14:paraId="3F3A1D81" w14:textId="77777777" w:rsidR="00543A96" w:rsidRPr="00543A96" w:rsidRDefault="00543A96" w:rsidP="00543A96">
      <w:pPr>
        <w:numPr>
          <w:ilvl w:val="0"/>
          <w:numId w:val="21"/>
        </w:numPr>
      </w:pPr>
      <w:r w:rsidRPr="00543A96">
        <w:t>No lesser remedy can adequately address the depth of prejudice and the structural unfairness of the process.</w:t>
      </w:r>
    </w:p>
    <w:p w14:paraId="338ABDFF" w14:textId="77777777" w:rsidR="00543A96" w:rsidRPr="00543A96" w:rsidRDefault="00543A96" w:rsidP="00543A96">
      <w:r w:rsidRPr="00543A96">
        <w:pict w14:anchorId="5BD247CB">
          <v:rect id="_x0000_i1119" style="width:0;height:1.5pt" o:hralign="center" o:hrstd="t" o:hr="t" fillcolor="#a0a0a0" stroked="f"/>
        </w:pict>
      </w:r>
    </w:p>
    <w:p w14:paraId="6CA7BB32" w14:textId="77777777" w:rsidR="00543A96" w:rsidRPr="00543A96" w:rsidRDefault="00543A96" w:rsidP="00543A96">
      <w:pPr>
        <w:rPr>
          <w:b/>
          <w:bCs/>
        </w:rPr>
      </w:pPr>
      <w:r w:rsidRPr="00543A96">
        <w:rPr>
          <w:b/>
          <w:bCs/>
        </w:rPr>
        <w:t>PART X – ORDER REQUESTED</w:t>
      </w:r>
    </w:p>
    <w:p w14:paraId="79C56C04" w14:textId="77777777" w:rsidR="00543A96" w:rsidRPr="00543A96" w:rsidRDefault="00543A96" w:rsidP="00543A96">
      <w:pPr>
        <w:numPr>
          <w:ilvl w:val="0"/>
          <w:numId w:val="22"/>
        </w:numPr>
      </w:pPr>
      <w:r w:rsidRPr="00543A96">
        <w:t>The Applicant respectfully asks this Court to grant the relief set out in the Notice of Motion.</w:t>
      </w:r>
    </w:p>
    <w:p w14:paraId="25CDC33A" w14:textId="77777777" w:rsidR="00543A96" w:rsidRPr="00543A96" w:rsidRDefault="00543A96" w:rsidP="00543A96">
      <w:r w:rsidRPr="00543A96">
        <w:rPr>
          <w:b/>
          <w:bCs/>
        </w:rPr>
        <w:t>ALL OF WHICH IS RESPECTFULLY SUBMITTED BY:</w:t>
      </w:r>
    </w:p>
    <w:p w14:paraId="61C73F97" w14:textId="77777777" w:rsidR="00543A96" w:rsidRPr="00543A96" w:rsidRDefault="00543A96" w:rsidP="00543A96">
      <w:r w:rsidRPr="00543A96">
        <w:rPr>
          <w:b/>
          <w:bCs/>
        </w:rPr>
        <w:t>____________________________</w:t>
      </w:r>
      <w:r w:rsidRPr="00543A96">
        <w:br/>
      </w:r>
      <w:r w:rsidRPr="00543A96">
        <w:rPr>
          <w:b/>
          <w:bCs/>
        </w:rPr>
        <w:t>Weizhen Tang</w:t>
      </w:r>
      <w:r w:rsidRPr="00543A96">
        <w:br/>
        <w:t>Applicant, Self-Represented</w:t>
      </w:r>
    </w:p>
    <w:p w14:paraId="33DF748C" w14:textId="77777777" w:rsidR="00543A96" w:rsidRPr="00543A96" w:rsidRDefault="00543A96" w:rsidP="00543A96">
      <w:r w:rsidRPr="00543A96">
        <w:lastRenderedPageBreak/>
        <w:pict w14:anchorId="2D192BDC">
          <v:rect id="_x0000_i1120" style="width:0;height:1.5pt" o:hralign="center" o:hrstd="t" o:hr="t" fillcolor="#a0a0a0" stroked="f"/>
        </w:pict>
      </w:r>
    </w:p>
    <w:p w14:paraId="1E86FFE5" w14:textId="77777777" w:rsidR="00543A96" w:rsidRPr="00543A96" w:rsidRDefault="00543A96" w:rsidP="00543A96">
      <w:pPr>
        <w:rPr>
          <w:b/>
          <w:bCs/>
        </w:rPr>
      </w:pPr>
      <w:r w:rsidRPr="00543A96">
        <w:rPr>
          <w:b/>
          <w:bCs/>
        </w:rPr>
        <w:t>3️</w:t>
      </w:r>
      <w:r w:rsidRPr="00543A96">
        <w:rPr>
          <w:rFonts w:ascii="Segoe UI Symbol" w:hAnsi="Segoe UI Symbol" w:cs="Segoe UI Symbol"/>
          <w:b/>
          <w:bCs/>
        </w:rPr>
        <w:t>⃣</w:t>
      </w:r>
      <w:r w:rsidRPr="00543A96">
        <w:rPr>
          <w:b/>
          <w:bCs/>
        </w:rPr>
        <w:t xml:space="preserve"> MOTION RECORD – </w:t>
      </w:r>
      <w:r w:rsidRPr="00543A96">
        <w:rPr>
          <w:b/>
          <w:bCs/>
        </w:rPr>
        <w:t>结构（你可以按这个目录整理）</w:t>
      </w:r>
    </w:p>
    <w:p w14:paraId="3C13B049" w14:textId="77777777" w:rsidR="00543A96" w:rsidRPr="00543A96" w:rsidRDefault="00543A96" w:rsidP="00543A96">
      <w:r w:rsidRPr="00543A96">
        <w:t>在</w:t>
      </w:r>
      <w:r w:rsidRPr="00543A96">
        <w:t xml:space="preserve"> Word </w:t>
      </w:r>
      <w:r w:rsidRPr="00543A96">
        <w:t>里新建一个文件，标题写：</w:t>
      </w:r>
    </w:p>
    <w:p w14:paraId="5A5EADEB" w14:textId="77777777" w:rsidR="00543A96" w:rsidRPr="00543A96" w:rsidRDefault="00543A96" w:rsidP="00543A96">
      <w:r w:rsidRPr="00543A96">
        <w:rPr>
          <w:b/>
          <w:bCs/>
        </w:rPr>
        <w:t>MOTION RECORD OF THE APPLICANT, WEIZHEN TANG</w:t>
      </w:r>
    </w:p>
    <w:p w14:paraId="7D43028F" w14:textId="77777777" w:rsidR="00543A96" w:rsidRPr="00543A96" w:rsidRDefault="00543A96" w:rsidP="00543A96">
      <w:r w:rsidRPr="00543A96">
        <w:t>建议目录结构如下：</w:t>
      </w:r>
    </w:p>
    <w:p w14:paraId="0EC62143" w14:textId="77777777" w:rsidR="00543A96" w:rsidRPr="00543A96" w:rsidRDefault="00543A96" w:rsidP="00543A96">
      <w:pPr>
        <w:numPr>
          <w:ilvl w:val="0"/>
          <w:numId w:val="23"/>
        </w:numPr>
      </w:pPr>
      <w:r w:rsidRPr="00543A96">
        <w:rPr>
          <w:b/>
          <w:bCs/>
        </w:rPr>
        <w:t>Cover Page</w:t>
      </w:r>
    </w:p>
    <w:p w14:paraId="61F6BDD0" w14:textId="77777777" w:rsidR="00543A96" w:rsidRPr="00543A96" w:rsidRDefault="00543A96" w:rsidP="00543A96">
      <w:pPr>
        <w:numPr>
          <w:ilvl w:val="0"/>
          <w:numId w:val="23"/>
        </w:numPr>
      </w:pPr>
      <w:r w:rsidRPr="00543A96">
        <w:rPr>
          <w:b/>
          <w:bCs/>
        </w:rPr>
        <w:t>Index / Table of Contents</w:t>
      </w:r>
    </w:p>
    <w:p w14:paraId="51DCB06C" w14:textId="77777777" w:rsidR="00543A96" w:rsidRPr="00543A96" w:rsidRDefault="00543A96" w:rsidP="00543A96">
      <w:pPr>
        <w:numPr>
          <w:ilvl w:val="0"/>
          <w:numId w:val="23"/>
        </w:numPr>
      </w:pPr>
      <w:r w:rsidRPr="00543A96">
        <w:rPr>
          <w:b/>
          <w:bCs/>
        </w:rPr>
        <w:t>Notice of Motion</w:t>
      </w:r>
      <w:r w:rsidRPr="00543A96">
        <w:t>（刚才那份）</w:t>
      </w:r>
    </w:p>
    <w:p w14:paraId="1A69139A" w14:textId="77777777" w:rsidR="00543A96" w:rsidRPr="00543A96" w:rsidRDefault="00543A96" w:rsidP="00543A96">
      <w:pPr>
        <w:numPr>
          <w:ilvl w:val="0"/>
          <w:numId w:val="23"/>
        </w:numPr>
      </w:pPr>
      <w:r w:rsidRPr="00543A96">
        <w:rPr>
          <w:b/>
          <w:bCs/>
        </w:rPr>
        <w:t>Affidavit of Weizhen Tang</w:t>
      </w:r>
      <w:r w:rsidRPr="00543A96">
        <w:t>（你那份大</w:t>
      </w:r>
      <w:r w:rsidRPr="00543A96">
        <w:t xml:space="preserve"> Affidavit</w:t>
      </w:r>
      <w:r w:rsidRPr="00543A96">
        <w:t>）</w:t>
      </w:r>
    </w:p>
    <w:p w14:paraId="4C21B1CB" w14:textId="77777777" w:rsidR="00543A96" w:rsidRPr="00543A96" w:rsidRDefault="00543A96" w:rsidP="00543A96">
      <w:pPr>
        <w:numPr>
          <w:ilvl w:val="0"/>
          <w:numId w:val="23"/>
        </w:numPr>
      </w:pPr>
      <w:r w:rsidRPr="00543A96">
        <w:rPr>
          <w:b/>
          <w:bCs/>
        </w:rPr>
        <w:t>Exhibits to the Affidavit</w:t>
      </w:r>
    </w:p>
    <w:p w14:paraId="43AE9116" w14:textId="77777777" w:rsidR="00543A96" w:rsidRPr="00543A96" w:rsidRDefault="00543A96" w:rsidP="00543A96">
      <w:pPr>
        <w:numPr>
          <w:ilvl w:val="1"/>
          <w:numId w:val="23"/>
        </w:numPr>
      </w:pPr>
      <w:r w:rsidRPr="00543A96">
        <w:t>Exhibit A – Investor Petitions and Letters</w:t>
      </w:r>
    </w:p>
    <w:p w14:paraId="1B00D8C1" w14:textId="77777777" w:rsidR="00543A96" w:rsidRPr="00543A96" w:rsidRDefault="00543A96" w:rsidP="00543A96">
      <w:pPr>
        <w:numPr>
          <w:ilvl w:val="1"/>
          <w:numId w:val="23"/>
        </w:numPr>
      </w:pPr>
      <w:r w:rsidRPr="00543A96">
        <w:t>Exhibit B – Open letters to Prime Minister / Premier</w:t>
      </w:r>
    </w:p>
    <w:p w14:paraId="0A881CD6" w14:textId="77777777" w:rsidR="00543A96" w:rsidRPr="00543A96" w:rsidRDefault="00543A96" w:rsidP="00543A96">
      <w:pPr>
        <w:numPr>
          <w:ilvl w:val="1"/>
          <w:numId w:val="23"/>
        </w:numPr>
      </w:pPr>
      <w:r w:rsidRPr="00543A96">
        <w:t>Exhibit C – OSC Decisions (including 2016 lifetime ban)</w:t>
      </w:r>
    </w:p>
    <w:p w14:paraId="22C7047A" w14:textId="77777777" w:rsidR="00543A96" w:rsidRPr="00543A96" w:rsidRDefault="00543A96" w:rsidP="00543A96">
      <w:pPr>
        <w:numPr>
          <w:ilvl w:val="1"/>
          <w:numId w:val="23"/>
        </w:numPr>
      </w:pPr>
      <w:r w:rsidRPr="00543A96">
        <w:t>Exhibit D – Trial Transcripts (selected key excerpts)</w:t>
      </w:r>
    </w:p>
    <w:p w14:paraId="480381C7" w14:textId="77777777" w:rsidR="00543A96" w:rsidRPr="00543A96" w:rsidRDefault="00543A96" w:rsidP="00543A96">
      <w:pPr>
        <w:numPr>
          <w:ilvl w:val="1"/>
          <w:numId w:val="23"/>
        </w:numPr>
      </w:pPr>
      <w:r w:rsidRPr="00543A96">
        <w:t>Exhibit E – Expert Report of Wenhai Gao (2025)</w:t>
      </w:r>
    </w:p>
    <w:p w14:paraId="499697BE" w14:textId="77777777" w:rsidR="00543A96" w:rsidRPr="00543A96" w:rsidRDefault="00543A96" w:rsidP="00543A96">
      <w:pPr>
        <w:numPr>
          <w:ilvl w:val="1"/>
          <w:numId w:val="23"/>
        </w:numPr>
      </w:pPr>
      <w:r w:rsidRPr="00543A96">
        <w:t>Exhibit F – Sino-Forest Decision and Case Study</w:t>
      </w:r>
    </w:p>
    <w:p w14:paraId="314835CE" w14:textId="77777777" w:rsidR="00543A96" w:rsidRPr="00543A96" w:rsidRDefault="00543A96" w:rsidP="00543A96">
      <w:pPr>
        <w:numPr>
          <w:ilvl w:val="1"/>
          <w:numId w:val="23"/>
        </w:numPr>
      </w:pPr>
      <w:r w:rsidRPr="00543A96">
        <w:t>Exhibit G – Financial Records (OCF, JP Morgan, bank statements)</w:t>
      </w:r>
    </w:p>
    <w:p w14:paraId="3A44FB40" w14:textId="77777777" w:rsidR="00543A96" w:rsidRPr="00543A96" w:rsidRDefault="00543A96" w:rsidP="00543A96">
      <w:pPr>
        <w:numPr>
          <w:ilvl w:val="1"/>
          <w:numId w:val="23"/>
        </w:numPr>
      </w:pPr>
      <w:r w:rsidRPr="00543A96">
        <w:t>Exhibit H – Media Articles and Defamatory Coverage</w:t>
      </w:r>
    </w:p>
    <w:p w14:paraId="036790CF" w14:textId="77777777" w:rsidR="00543A96" w:rsidRPr="00543A96" w:rsidRDefault="00543A96" w:rsidP="00543A96">
      <w:pPr>
        <w:numPr>
          <w:ilvl w:val="1"/>
          <w:numId w:val="23"/>
        </w:numPr>
      </w:pPr>
      <w:r w:rsidRPr="00543A96">
        <w:t>Exhibit I – Receiver Documents (Canada / U.S.)</w:t>
      </w:r>
    </w:p>
    <w:p w14:paraId="372AFE69" w14:textId="77777777" w:rsidR="00543A96" w:rsidRPr="00543A96" w:rsidRDefault="00543A96" w:rsidP="00543A96">
      <w:pPr>
        <w:numPr>
          <w:ilvl w:val="1"/>
          <w:numId w:val="23"/>
        </w:numPr>
      </w:pPr>
      <w:r w:rsidRPr="00543A96">
        <w:t>Exhibit J – Any additional Charter-related materials</w:t>
      </w:r>
    </w:p>
    <w:p w14:paraId="076ED83E" w14:textId="77777777" w:rsidR="00543A96" w:rsidRPr="00543A96" w:rsidRDefault="00543A96" w:rsidP="00543A96">
      <w:pPr>
        <w:numPr>
          <w:ilvl w:val="0"/>
          <w:numId w:val="23"/>
        </w:numPr>
      </w:pPr>
      <w:r w:rsidRPr="00543A96">
        <w:rPr>
          <w:b/>
          <w:bCs/>
        </w:rPr>
        <w:t>Any Supporting Affidavits of Other Witnesses (if available)</w:t>
      </w:r>
    </w:p>
    <w:p w14:paraId="426A6AAF" w14:textId="77777777" w:rsidR="00543A96" w:rsidRPr="00543A96" w:rsidRDefault="00543A96" w:rsidP="00543A96">
      <w:pPr>
        <w:numPr>
          <w:ilvl w:val="0"/>
          <w:numId w:val="23"/>
        </w:numPr>
      </w:pPr>
      <w:r w:rsidRPr="00543A96">
        <w:rPr>
          <w:b/>
          <w:bCs/>
        </w:rPr>
        <w:t>Factum of the Applicant</w:t>
      </w:r>
      <w:r w:rsidRPr="00543A96">
        <w:t>（上面那份）</w:t>
      </w:r>
    </w:p>
    <w:p w14:paraId="078BA334" w14:textId="77777777" w:rsidR="00543A96" w:rsidRPr="00543A96" w:rsidRDefault="00543A96" w:rsidP="00543A96">
      <w:pPr>
        <w:numPr>
          <w:ilvl w:val="0"/>
          <w:numId w:val="23"/>
        </w:numPr>
      </w:pPr>
      <w:r w:rsidRPr="00543A96">
        <w:rPr>
          <w:b/>
          <w:bCs/>
        </w:rPr>
        <w:t>Draft Order</w:t>
      </w:r>
    </w:p>
    <w:p w14:paraId="1300BD63" w14:textId="77777777" w:rsidR="00543A96" w:rsidRPr="00543A96" w:rsidRDefault="00543A96" w:rsidP="00543A96">
      <w:r w:rsidRPr="00543A96">
        <w:rPr>
          <w:rFonts w:ascii="Segoe UI Emoji" w:hAnsi="Segoe UI Emoji" w:cs="Segoe UI Emoji"/>
        </w:rPr>
        <w:t>👉</w:t>
      </w:r>
      <w:r w:rsidRPr="00543A96">
        <w:t xml:space="preserve"> </w:t>
      </w:r>
      <w:r w:rsidRPr="00543A96">
        <w:t>法院通常希望</w:t>
      </w:r>
      <w:r w:rsidRPr="00543A96">
        <w:t xml:space="preserve"> Motion Record </w:t>
      </w:r>
      <w:r w:rsidRPr="00543A96">
        <w:t>是一本厚册子：前面是动议</w:t>
      </w:r>
      <w:r w:rsidRPr="00543A96">
        <w:t xml:space="preserve"> + Affidavit</w:t>
      </w:r>
      <w:r w:rsidRPr="00543A96">
        <w:t>，后面是</w:t>
      </w:r>
      <w:r w:rsidRPr="00543A96">
        <w:t xml:space="preserve"> Factum</w:t>
      </w:r>
      <w:r w:rsidRPr="00543A96">
        <w:t>，也可以分册。</w:t>
      </w:r>
    </w:p>
    <w:p w14:paraId="1E6E3AFC" w14:textId="77777777" w:rsidR="00543A96" w:rsidRPr="00543A96" w:rsidRDefault="00543A96" w:rsidP="00543A96">
      <w:r w:rsidRPr="00543A96">
        <w:lastRenderedPageBreak/>
        <w:pict w14:anchorId="39B46D17">
          <v:rect id="_x0000_i1121" style="width:0;height:1.5pt" o:hralign="center" o:hrstd="t" o:hr="t" fillcolor="#a0a0a0" stroked="f"/>
        </w:pict>
      </w:r>
    </w:p>
    <w:p w14:paraId="05D99BFC" w14:textId="77777777" w:rsidR="00543A96" w:rsidRPr="00543A96" w:rsidRDefault="00543A96" w:rsidP="00543A96">
      <w:pPr>
        <w:rPr>
          <w:b/>
          <w:bCs/>
        </w:rPr>
      </w:pPr>
      <w:r w:rsidRPr="00543A96">
        <w:rPr>
          <w:b/>
          <w:bCs/>
        </w:rPr>
        <w:t>4️</w:t>
      </w:r>
      <w:r w:rsidRPr="00543A96">
        <w:rPr>
          <w:rFonts w:ascii="Segoe UI Symbol" w:hAnsi="Segoe UI Symbol" w:cs="Segoe UI Symbol"/>
          <w:b/>
          <w:bCs/>
        </w:rPr>
        <w:t>⃣</w:t>
      </w:r>
      <w:r w:rsidRPr="00543A96">
        <w:rPr>
          <w:b/>
          <w:bCs/>
        </w:rPr>
        <w:t xml:space="preserve"> DRAFT ORDER</w:t>
      </w:r>
      <w:r w:rsidRPr="00543A96">
        <w:rPr>
          <w:b/>
          <w:bCs/>
        </w:rPr>
        <w:t>（命令草案）</w:t>
      </w:r>
    </w:p>
    <w:p w14:paraId="0841BC23" w14:textId="77777777" w:rsidR="00543A96" w:rsidRPr="00543A96" w:rsidRDefault="00543A96" w:rsidP="00543A96">
      <w:r w:rsidRPr="00543A96">
        <w:rPr>
          <w:b/>
          <w:bCs/>
        </w:rPr>
        <w:t>Court File No.: _______</w:t>
      </w:r>
    </w:p>
    <w:p w14:paraId="5CDB36EC" w14:textId="77777777" w:rsidR="00543A96" w:rsidRPr="00543A96" w:rsidRDefault="00543A96" w:rsidP="00543A96">
      <w:r w:rsidRPr="00543A96">
        <w:rPr>
          <w:b/>
          <w:bCs/>
        </w:rPr>
        <w:t>ONTARIO COURT OF JUSTICE</w:t>
      </w:r>
    </w:p>
    <w:p w14:paraId="60D6DC04" w14:textId="77777777" w:rsidR="00543A96" w:rsidRPr="00543A96" w:rsidRDefault="00543A96" w:rsidP="00543A96">
      <w:r w:rsidRPr="00543A96">
        <w:rPr>
          <w:b/>
          <w:bCs/>
        </w:rPr>
        <w:t>B E T W E E N:</w:t>
      </w:r>
    </w:p>
    <w:p w14:paraId="2DC36EF4" w14:textId="77777777" w:rsidR="00543A96" w:rsidRPr="00543A96" w:rsidRDefault="00543A96" w:rsidP="00543A96">
      <w:r w:rsidRPr="00543A96">
        <w:rPr>
          <w:b/>
          <w:bCs/>
        </w:rPr>
        <w:t>WEIZHEN TANG</w:t>
      </w:r>
      <w:r w:rsidRPr="00543A96">
        <w:t xml:space="preserve"> – Applicant</w:t>
      </w:r>
    </w:p>
    <w:p w14:paraId="3D8456E4" w14:textId="77777777" w:rsidR="00543A96" w:rsidRPr="00543A96" w:rsidRDefault="00543A96" w:rsidP="00543A96">
      <w:r w:rsidRPr="00543A96">
        <w:t>– and –</w:t>
      </w:r>
    </w:p>
    <w:p w14:paraId="190630E9" w14:textId="77777777" w:rsidR="00543A96" w:rsidRPr="00543A96" w:rsidRDefault="00543A96" w:rsidP="00543A96">
      <w:r w:rsidRPr="00543A96">
        <w:rPr>
          <w:b/>
          <w:bCs/>
        </w:rPr>
        <w:t>ONTARIO SECURITIES COMMISSION</w:t>
      </w:r>
      <w:r w:rsidRPr="00543A96">
        <w:t xml:space="preserve"> – Respondent</w:t>
      </w:r>
    </w:p>
    <w:p w14:paraId="1D8F2A72" w14:textId="77777777" w:rsidR="00543A96" w:rsidRPr="00543A96" w:rsidRDefault="00543A96" w:rsidP="00543A96">
      <w:r w:rsidRPr="00543A96">
        <w:pict w14:anchorId="59C9E0D9">
          <v:rect id="_x0000_i1122" style="width:0;height:1.5pt" o:hralign="center" o:hrstd="t" o:hr="t" fillcolor="#a0a0a0" stroked="f"/>
        </w:pict>
      </w:r>
    </w:p>
    <w:p w14:paraId="185C1C0D" w14:textId="77777777" w:rsidR="00543A96" w:rsidRPr="00543A96" w:rsidRDefault="00543A96" w:rsidP="00543A96">
      <w:pPr>
        <w:rPr>
          <w:b/>
          <w:bCs/>
        </w:rPr>
      </w:pPr>
      <w:r w:rsidRPr="00543A96">
        <w:rPr>
          <w:b/>
          <w:bCs/>
        </w:rPr>
        <w:t>DRAFT ORDER</w:t>
      </w:r>
    </w:p>
    <w:p w14:paraId="20ACE0E3" w14:textId="77777777" w:rsidR="00543A96" w:rsidRPr="00543A96" w:rsidRDefault="00543A96" w:rsidP="00543A96">
      <w:r w:rsidRPr="00543A96">
        <w:t xml:space="preserve">THIS MOTION, brought by the Applicant, </w:t>
      </w:r>
      <w:r w:rsidRPr="00543A96">
        <w:rPr>
          <w:b/>
          <w:bCs/>
        </w:rPr>
        <w:t>Weizhen Tang</w:t>
      </w:r>
      <w:r w:rsidRPr="00543A96">
        <w:t xml:space="preserve">, for remedies under section 24(1) of the </w:t>
      </w:r>
      <w:r w:rsidRPr="00543A96">
        <w:rPr>
          <w:i/>
          <w:iCs/>
        </w:rPr>
        <w:t>Canadian Charter of Rights and Freedoms</w:t>
      </w:r>
      <w:r w:rsidRPr="00543A96">
        <w:t>, was heard at the Ontario Court of Justice in Toronto, Ontario, on __________.</w:t>
      </w:r>
    </w:p>
    <w:p w14:paraId="233C26DA" w14:textId="77777777" w:rsidR="00543A96" w:rsidRPr="00543A96" w:rsidRDefault="00543A96" w:rsidP="00543A96">
      <w:r w:rsidRPr="00543A96">
        <w:t>ON READING the Notice of Motion, the Affidavit of Weizhen Tang and exhibits, the Factum of the Applicant, and on hearing the submissions of the parties;</w:t>
      </w:r>
    </w:p>
    <w:p w14:paraId="55AB507C" w14:textId="77777777" w:rsidR="00543A96" w:rsidRPr="00543A96" w:rsidRDefault="00543A96" w:rsidP="00543A96">
      <w:r w:rsidRPr="00543A96">
        <w:rPr>
          <w:b/>
          <w:bCs/>
        </w:rPr>
        <w:t>THIS COURT ORDERS THAT:</w:t>
      </w:r>
    </w:p>
    <w:p w14:paraId="283B9657" w14:textId="77777777" w:rsidR="00543A96" w:rsidRPr="00543A96" w:rsidRDefault="00543A96" w:rsidP="00543A96">
      <w:pPr>
        <w:numPr>
          <w:ilvl w:val="0"/>
          <w:numId w:val="24"/>
        </w:numPr>
      </w:pPr>
      <w:r w:rsidRPr="00543A96">
        <w:rPr>
          <w:b/>
          <w:bCs/>
        </w:rPr>
        <w:t>The Applicant’s rights under sections 7 and 11(d) of the Canadian Charter of Rights and Freedoms have been infringed</w:t>
      </w:r>
      <w:r w:rsidRPr="00543A96">
        <w:t xml:space="preserve"> by the conduct and procedures of the Ontario Securities Commission in relation to the Applicant’s matter.</w:t>
      </w:r>
    </w:p>
    <w:p w14:paraId="110353A9" w14:textId="77777777" w:rsidR="00543A96" w:rsidRPr="00543A96" w:rsidRDefault="00543A96" w:rsidP="00543A96">
      <w:pPr>
        <w:numPr>
          <w:ilvl w:val="0"/>
          <w:numId w:val="24"/>
        </w:numPr>
      </w:pPr>
      <w:r w:rsidRPr="00543A96">
        <w:rPr>
          <w:b/>
          <w:bCs/>
        </w:rPr>
        <w:t>The proceeding against the Applicant before the OSC is hereby stayed.</w:t>
      </w:r>
    </w:p>
    <w:p w14:paraId="47AD3BE2" w14:textId="77777777" w:rsidR="00543A96" w:rsidRPr="00543A96" w:rsidRDefault="00543A96" w:rsidP="00543A96">
      <w:pPr>
        <w:numPr>
          <w:ilvl w:val="0"/>
          <w:numId w:val="24"/>
        </w:numPr>
      </w:pPr>
      <w:r w:rsidRPr="00543A96">
        <w:rPr>
          <w:b/>
          <w:bCs/>
        </w:rPr>
        <w:t>All “expert” evidence tendered by or on behalf of the OSC</w:t>
      </w:r>
      <w:r w:rsidRPr="00543A96">
        <w:t xml:space="preserve"> in relation to the Applicant’s matter, including the evidence of forensic accountants not qualified as independent securities or investment experts, is </w:t>
      </w:r>
      <w:r w:rsidRPr="00543A96">
        <w:rPr>
          <w:b/>
          <w:bCs/>
        </w:rPr>
        <w:t>struck and excluded from consideration</w:t>
      </w:r>
      <w:r w:rsidRPr="00543A96">
        <w:t>.</w:t>
      </w:r>
    </w:p>
    <w:p w14:paraId="5BDF1D80" w14:textId="77777777" w:rsidR="00543A96" w:rsidRPr="00543A96" w:rsidRDefault="00543A96" w:rsidP="00543A96">
      <w:pPr>
        <w:numPr>
          <w:ilvl w:val="0"/>
          <w:numId w:val="24"/>
        </w:numPr>
      </w:pPr>
      <w:r w:rsidRPr="00543A96">
        <w:t xml:space="preserve">The OSC shall, within </w:t>
      </w:r>
      <w:r w:rsidRPr="00543A96">
        <w:rPr>
          <w:b/>
          <w:bCs/>
        </w:rPr>
        <w:t>60 days</w:t>
      </w:r>
      <w:r w:rsidRPr="00543A96">
        <w:t xml:space="preserve">, provide to the Applicant </w:t>
      </w:r>
      <w:r w:rsidRPr="00543A96">
        <w:rPr>
          <w:b/>
          <w:bCs/>
        </w:rPr>
        <w:t>full disclosure</w:t>
      </w:r>
      <w:r w:rsidRPr="00543A96">
        <w:t xml:space="preserve"> of:</w:t>
      </w:r>
      <w:r w:rsidRPr="00543A96">
        <w:br/>
        <w:t>(a) all accounting of seized funds, in Canada and the United States;</w:t>
      </w:r>
      <w:r w:rsidRPr="00543A96">
        <w:br/>
        <w:t>(b) all Receiver records concerning investor funds;</w:t>
      </w:r>
      <w:r w:rsidRPr="00543A96">
        <w:br/>
        <w:t>(c) all internal memoranda and communications relating to the cease-trade order and freezes;</w:t>
      </w:r>
      <w:r w:rsidRPr="00543A96">
        <w:br/>
        <w:t>(d) all documents relating to the qualifications, instructions, and compensation of its experts in the Applicant’s case.</w:t>
      </w:r>
    </w:p>
    <w:p w14:paraId="197B8D85" w14:textId="77777777" w:rsidR="00543A96" w:rsidRPr="00543A96" w:rsidRDefault="00543A96" w:rsidP="00543A96">
      <w:pPr>
        <w:numPr>
          <w:ilvl w:val="0"/>
          <w:numId w:val="24"/>
        </w:numPr>
      </w:pPr>
      <w:r w:rsidRPr="00543A96">
        <w:lastRenderedPageBreak/>
        <w:t xml:space="preserve">The OSC’s </w:t>
      </w:r>
      <w:r w:rsidRPr="00543A96">
        <w:rPr>
          <w:b/>
          <w:bCs/>
        </w:rPr>
        <w:t>April 2016 lifetime trading ban</w:t>
      </w:r>
      <w:r w:rsidRPr="00543A96">
        <w:t xml:space="preserve"> imposed on the Applicant is hereby </w:t>
      </w:r>
      <w:r w:rsidRPr="00543A96">
        <w:rPr>
          <w:b/>
          <w:bCs/>
        </w:rPr>
        <w:t>set aside [or suspended]</w:t>
      </w:r>
      <w:r w:rsidRPr="00543A96">
        <w:t>, pending further order of this Court.</w:t>
      </w:r>
    </w:p>
    <w:p w14:paraId="33F0EEE0" w14:textId="77777777" w:rsidR="00543A96" w:rsidRPr="00543A96" w:rsidRDefault="00543A96" w:rsidP="00543A96">
      <w:pPr>
        <w:numPr>
          <w:ilvl w:val="0"/>
          <w:numId w:val="24"/>
        </w:numPr>
      </w:pPr>
      <w:r w:rsidRPr="00543A96">
        <w:t>Such further and other relief as this Court considers just.</w:t>
      </w:r>
    </w:p>
    <w:p w14:paraId="3D08CCC2" w14:textId="77777777" w:rsidR="00543A96" w:rsidRPr="00543A96" w:rsidRDefault="00543A96" w:rsidP="00543A96">
      <w:r w:rsidRPr="00543A96">
        <w:t>DATED at Toronto, Ontario this ___ day of _____</w:t>
      </w:r>
      <w:proofErr w:type="gramStart"/>
      <w:r w:rsidRPr="00543A96">
        <w:t>_ ,</w:t>
      </w:r>
      <w:proofErr w:type="gramEnd"/>
      <w:r w:rsidRPr="00543A96">
        <w:t xml:space="preserve"> 2025.</w:t>
      </w:r>
    </w:p>
    <w:p w14:paraId="15A40FF6" w14:textId="77777777" w:rsidR="00543A96" w:rsidRPr="00543A96" w:rsidRDefault="00543A96" w:rsidP="00543A96">
      <w:r w:rsidRPr="00543A96">
        <w:rPr>
          <w:b/>
          <w:bCs/>
        </w:rPr>
        <w:t>__________________________________</w:t>
      </w:r>
      <w:r w:rsidRPr="00543A96">
        <w:br/>
        <w:t>Justice of the Ontario Court of Justice</w:t>
      </w:r>
    </w:p>
    <w:p w14:paraId="52050FE8" w14:textId="77777777" w:rsidR="00D72BA7" w:rsidRDefault="00D72BA7"/>
    <w:sectPr w:rsidR="00D72B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001"/>
    <w:multiLevelType w:val="multilevel"/>
    <w:tmpl w:val="DBEA18B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61D09"/>
    <w:multiLevelType w:val="multilevel"/>
    <w:tmpl w:val="57F499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200B4"/>
    <w:multiLevelType w:val="multilevel"/>
    <w:tmpl w:val="5DBA0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F17E4"/>
    <w:multiLevelType w:val="multilevel"/>
    <w:tmpl w:val="6DF2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F2016"/>
    <w:multiLevelType w:val="multilevel"/>
    <w:tmpl w:val="26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A4822"/>
    <w:multiLevelType w:val="multilevel"/>
    <w:tmpl w:val="022250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E051F"/>
    <w:multiLevelType w:val="multilevel"/>
    <w:tmpl w:val="659817B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37B66"/>
    <w:multiLevelType w:val="multilevel"/>
    <w:tmpl w:val="9CB453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E5371"/>
    <w:multiLevelType w:val="multilevel"/>
    <w:tmpl w:val="ACF014B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411EA4"/>
    <w:multiLevelType w:val="multilevel"/>
    <w:tmpl w:val="5EC63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00EBB"/>
    <w:multiLevelType w:val="multilevel"/>
    <w:tmpl w:val="A77E0D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63789"/>
    <w:multiLevelType w:val="multilevel"/>
    <w:tmpl w:val="653621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9F3F40"/>
    <w:multiLevelType w:val="multilevel"/>
    <w:tmpl w:val="69C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858F9"/>
    <w:multiLevelType w:val="multilevel"/>
    <w:tmpl w:val="FC722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75160"/>
    <w:multiLevelType w:val="multilevel"/>
    <w:tmpl w:val="48CC207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E02AF5"/>
    <w:multiLevelType w:val="multilevel"/>
    <w:tmpl w:val="859055F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5114CF"/>
    <w:multiLevelType w:val="multilevel"/>
    <w:tmpl w:val="020CC27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CF677D"/>
    <w:multiLevelType w:val="multilevel"/>
    <w:tmpl w:val="EABCE3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5E7EAD"/>
    <w:multiLevelType w:val="multilevel"/>
    <w:tmpl w:val="EE8630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8307A"/>
    <w:multiLevelType w:val="multilevel"/>
    <w:tmpl w:val="C522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45FCF"/>
    <w:multiLevelType w:val="multilevel"/>
    <w:tmpl w:val="87788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2A727A"/>
    <w:multiLevelType w:val="multilevel"/>
    <w:tmpl w:val="FB3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D0621"/>
    <w:multiLevelType w:val="multilevel"/>
    <w:tmpl w:val="B178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B70CD"/>
    <w:multiLevelType w:val="multilevel"/>
    <w:tmpl w:val="7766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725535">
    <w:abstractNumId w:val="9"/>
  </w:num>
  <w:num w:numId="2" w16cid:durableId="1023942849">
    <w:abstractNumId w:val="13"/>
  </w:num>
  <w:num w:numId="3" w16cid:durableId="1788157705">
    <w:abstractNumId w:val="14"/>
  </w:num>
  <w:num w:numId="4" w16cid:durableId="1238439794">
    <w:abstractNumId w:val="18"/>
  </w:num>
  <w:num w:numId="5" w16cid:durableId="10959074">
    <w:abstractNumId w:val="7"/>
  </w:num>
  <w:num w:numId="6" w16cid:durableId="1572303916">
    <w:abstractNumId w:val="19"/>
  </w:num>
  <w:num w:numId="7" w16cid:durableId="1120338459">
    <w:abstractNumId w:val="1"/>
  </w:num>
  <w:num w:numId="8" w16cid:durableId="1609005552">
    <w:abstractNumId w:val="22"/>
  </w:num>
  <w:num w:numId="9" w16cid:durableId="28184448">
    <w:abstractNumId w:val="11"/>
  </w:num>
  <w:num w:numId="10" w16cid:durableId="1225870835">
    <w:abstractNumId w:val="17"/>
  </w:num>
  <w:num w:numId="11" w16cid:durableId="4406342">
    <w:abstractNumId w:val="4"/>
  </w:num>
  <w:num w:numId="12" w16cid:durableId="1702315323">
    <w:abstractNumId w:val="2"/>
  </w:num>
  <w:num w:numId="13" w16cid:durableId="550502716">
    <w:abstractNumId w:val="5"/>
  </w:num>
  <w:num w:numId="14" w16cid:durableId="1435325845">
    <w:abstractNumId w:val="23"/>
  </w:num>
  <w:num w:numId="15" w16cid:durableId="1125847725">
    <w:abstractNumId w:val="0"/>
  </w:num>
  <w:num w:numId="16" w16cid:durableId="2143384119">
    <w:abstractNumId w:val="8"/>
  </w:num>
  <w:num w:numId="17" w16cid:durableId="341708495">
    <w:abstractNumId w:val="21"/>
  </w:num>
  <w:num w:numId="18" w16cid:durableId="644550565">
    <w:abstractNumId w:val="15"/>
  </w:num>
  <w:num w:numId="19" w16cid:durableId="1389567712">
    <w:abstractNumId w:val="16"/>
  </w:num>
  <w:num w:numId="20" w16cid:durableId="1310089840">
    <w:abstractNumId w:val="12"/>
  </w:num>
  <w:num w:numId="21" w16cid:durableId="569190596">
    <w:abstractNumId w:val="10"/>
  </w:num>
  <w:num w:numId="22" w16cid:durableId="251935006">
    <w:abstractNumId w:val="6"/>
  </w:num>
  <w:num w:numId="23" w16cid:durableId="1181772870">
    <w:abstractNumId w:val="20"/>
  </w:num>
  <w:num w:numId="24" w16cid:durableId="208313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96"/>
    <w:rsid w:val="00076DF8"/>
    <w:rsid w:val="001417BC"/>
    <w:rsid w:val="0045410B"/>
    <w:rsid w:val="00543A96"/>
    <w:rsid w:val="005962FC"/>
    <w:rsid w:val="00611520"/>
    <w:rsid w:val="00636F31"/>
    <w:rsid w:val="009608F3"/>
    <w:rsid w:val="00D72BA7"/>
    <w:rsid w:val="00F70C1D"/>
    <w:rsid w:val="00FE34E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280A"/>
  <w15:chartTrackingRefBased/>
  <w15:docId w15:val="{15626A99-4010-4F11-967B-674347C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A96"/>
    <w:rPr>
      <w:rFonts w:eastAsiaTheme="majorEastAsia" w:cstheme="majorBidi"/>
      <w:color w:val="272727" w:themeColor="text1" w:themeTint="D8"/>
    </w:rPr>
  </w:style>
  <w:style w:type="paragraph" w:styleId="Title">
    <w:name w:val="Title"/>
    <w:basedOn w:val="Normal"/>
    <w:next w:val="Normal"/>
    <w:link w:val="TitleChar"/>
    <w:uiPriority w:val="10"/>
    <w:qFormat/>
    <w:rsid w:val="0054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A96"/>
    <w:pPr>
      <w:spacing w:before="160"/>
      <w:jc w:val="center"/>
    </w:pPr>
    <w:rPr>
      <w:i/>
      <w:iCs/>
      <w:color w:val="404040" w:themeColor="text1" w:themeTint="BF"/>
    </w:rPr>
  </w:style>
  <w:style w:type="character" w:customStyle="1" w:styleId="QuoteChar">
    <w:name w:val="Quote Char"/>
    <w:basedOn w:val="DefaultParagraphFont"/>
    <w:link w:val="Quote"/>
    <w:uiPriority w:val="29"/>
    <w:rsid w:val="00543A96"/>
    <w:rPr>
      <w:i/>
      <w:iCs/>
      <w:color w:val="404040" w:themeColor="text1" w:themeTint="BF"/>
    </w:rPr>
  </w:style>
  <w:style w:type="paragraph" w:styleId="ListParagraph">
    <w:name w:val="List Paragraph"/>
    <w:basedOn w:val="Normal"/>
    <w:uiPriority w:val="34"/>
    <w:qFormat/>
    <w:rsid w:val="00543A96"/>
    <w:pPr>
      <w:ind w:left="720"/>
      <w:contextualSpacing/>
    </w:pPr>
  </w:style>
  <w:style w:type="character" w:styleId="IntenseEmphasis">
    <w:name w:val="Intense Emphasis"/>
    <w:basedOn w:val="DefaultParagraphFont"/>
    <w:uiPriority w:val="21"/>
    <w:qFormat/>
    <w:rsid w:val="00543A96"/>
    <w:rPr>
      <w:i/>
      <w:iCs/>
      <w:color w:val="2F5496" w:themeColor="accent1" w:themeShade="BF"/>
    </w:rPr>
  </w:style>
  <w:style w:type="paragraph" w:styleId="IntenseQuote">
    <w:name w:val="Intense Quote"/>
    <w:basedOn w:val="Normal"/>
    <w:next w:val="Normal"/>
    <w:link w:val="IntenseQuoteChar"/>
    <w:uiPriority w:val="30"/>
    <w:qFormat/>
    <w:rsid w:val="00543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A96"/>
    <w:rPr>
      <w:i/>
      <w:iCs/>
      <w:color w:val="2F5496" w:themeColor="accent1" w:themeShade="BF"/>
    </w:rPr>
  </w:style>
  <w:style w:type="character" w:styleId="IntenseReference">
    <w:name w:val="Intense Reference"/>
    <w:basedOn w:val="DefaultParagraphFont"/>
    <w:uiPriority w:val="32"/>
    <w:qFormat/>
    <w:rsid w:val="00543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Weizhen Tang</dc:creator>
  <cp:keywords/>
  <dc:description/>
  <cp:lastModifiedBy>Weizhen Tang</cp:lastModifiedBy>
  <cp:revision>1</cp:revision>
  <dcterms:created xsi:type="dcterms:W3CDTF">2025-11-24T23:16:00Z</dcterms:created>
  <dcterms:modified xsi:type="dcterms:W3CDTF">2025-11-24T23:16:00Z</dcterms:modified>
</cp:coreProperties>
</file>