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Weizhen Tang Capital Strategy – Bilingual Overview</w:t>
      </w:r>
    </w:p>
    <w:p/>
    <w:p>
      <w:r>
        <w:t>唐炜臻：一位深谙资本规律的金融企业家</w:t>
      </w:r>
    </w:p>
    <w:p>
      <w:r>
        <w:t>Weizhen Tang: A Capital Strategist and Financial Entrepreneur</w:t>
      </w:r>
    </w:p>
    <w:p/>
    <w:p>
      <w:r>
        <w:t>凭借独特的金融视角与在北美数十年的实战经验，</w:t>
      </w:r>
    </w:p>
    <w:p>
      <w:r>
        <w:t>唐炜臻独家研发并编写了《中概股北美上市公司董事长 / CEO 实战培训教材与操作手册》，</w:t>
      </w:r>
    </w:p>
    <w:p>
      <w:r>
        <w:t>为企业提供系统、全面、可操作的资本市场策略与咨询服务。</w:t>
      </w:r>
    </w:p>
    <w:p/>
    <w:p>
      <w:r>
        <w:t>With a unique perspective on the global market and decades of hands-on experience in North America,</w:t>
      </w:r>
    </w:p>
    <w:p>
      <w:r>
        <w:t xml:space="preserve">Weizhen Tang created the “Practical Training Manual for Chairmen and CEOs of China-Concept Companies Listed in North America,” </w:t>
      </w:r>
    </w:p>
    <w:p>
      <w:r>
        <w:t>providing comprehensive and actionable capital-market strategies.</w:t>
      </w:r>
    </w:p>
    <w:p/>
    <w:p>
      <w:r>
        <w:t>---</w:t>
      </w:r>
    </w:p>
    <w:p/>
    <w:p>
      <w:r>
        <w:t>我们的策略：让中概股价值重生、持续翻倍</w:t>
      </w:r>
    </w:p>
    <w:p>
      <w:r>
        <w:t>Our Strategy: Reviving and Multiplying the Value of China-Concept Stocks</w:t>
      </w:r>
    </w:p>
    <w:p/>
    <w:p>
      <w:r>
        <w:t>启动资金要求：</w:t>
      </w:r>
    </w:p>
    <w:p>
      <w:r>
        <w:t>- 100 万美元现金 或 等值高流动性股票</w:t>
      </w:r>
    </w:p>
    <w:p>
      <w:r>
        <w:t>- 公司 10%–20% 流通股作为资本运作工具</w:t>
      </w:r>
    </w:p>
    <w:p/>
    <w:p>
      <w:r>
        <w:t>Capital Requirement:</w:t>
      </w:r>
    </w:p>
    <w:p>
      <w:r>
        <w:t>- USD 1 million in cash or equivalent liquid shares</w:t>
      </w:r>
    </w:p>
    <w:p>
      <w:r>
        <w:t>- 10%–20% of freely tradable stock for strategic capital operations</w:t>
      </w:r>
    </w:p>
    <w:p/>
    <w:p>
      <w:r>
        <w:t>通过专业的资本运作、市场定位与流动性设计，让一家被低估的上市公司重新焕发价值。</w:t>
      </w:r>
    </w:p>
    <w:p/>
    <w:p>
      <w:r>
        <w:t>---</w:t>
      </w:r>
    </w:p>
    <w:p/>
    <w:p>
      <w:r>
        <w:t>收费方式：不成功不收费，按成果付费</w:t>
      </w:r>
    </w:p>
    <w:p>
      <w:r>
        <w:t>Compensation Model: No Win, No Fee — Performance-Based Only</w:t>
      </w:r>
    </w:p>
    <w:p/>
    <w:p>
      <w:r>
        <w:t>基础费用：按市值 1%（现金或股票）</w:t>
      </w:r>
    </w:p>
    <w:p>
      <w:r>
        <w:t>增值奖励：</w:t>
      </w:r>
    </w:p>
    <w:p>
      <w:r>
        <w:t>- 市值翻倍：触发支付</w:t>
      </w:r>
    </w:p>
    <w:p>
      <w:r>
        <w:t>- 半年涨 5 倍：10% 股权（按起始价）</w:t>
      </w:r>
    </w:p>
    <w:p>
      <w:r>
        <w:t>- 一年涨 10 倍：20% 股权（按前一轮估值）</w:t>
      </w:r>
    </w:p>
    <w:p>
      <w:r>
        <w:t>- 三年涨 100 倍：50% 期权（按“10 倍市值”行权）</w:t>
      </w:r>
    </w:p>
    <w:p/>
    <w:p>
      <w:r>
        <w:t>---</w:t>
      </w:r>
    </w:p>
    <w:p/>
    <w:p>
      <w:r>
        <w:t>理念：让资本成为推动奇迹的力量</w:t>
      </w:r>
    </w:p>
    <w:p>
      <w:r>
        <w:t>Principle: Let Capital Become the Engine of Transformation</w:t>
      </w:r>
    </w:p>
    <w:p/>
    <w:p>
      <w:r>
        <w:t>资本在正确策略推动下，可以让价值重生，让股价翻倍，让企业起飞。</w:t>
      </w:r>
    </w:p>
    <w:p>
      <w:r>
        <w:t>With the right strategy, capital becomes momentum—reviving value, multiplying market cap, and elevating companies to new heights.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