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61E90" w14:textId="77777777" w:rsidR="007413B9" w:rsidRPr="007413B9" w:rsidRDefault="007413B9" w:rsidP="007413B9">
      <w:pPr>
        <w:rPr>
          <w:b/>
          <w:bCs/>
        </w:rPr>
      </w:pPr>
      <w:r w:rsidRPr="007413B9">
        <w:rPr>
          <w:b/>
          <w:bCs/>
        </w:rPr>
        <w:t>Court Version – Part II</w:t>
      </w:r>
    </w:p>
    <w:p w14:paraId="61AF4983" w14:textId="77777777" w:rsidR="007413B9" w:rsidRPr="007413B9" w:rsidRDefault="007413B9" w:rsidP="007413B9">
      <w:r w:rsidRPr="007413B9">
        <w:t>FACTUAL BACKGROUND</w:t>
      </w:r>
      <w:r w:rsidRPr="007413B9">
        <w:t>（事实背景）</w:t>
      </w:r>
      <w:r w:rsidRPr="007413B9">
        <w:t>**</w:t>
      </w:r>
      <w:r w:rsidRPr="007413B9">
        <w:br/>
      </w:r>
      <w:r w:rsidRPr="007413B9">
        <w:rPr>
          <w:i/>
          <w:iCs/>
        </w:rPr>
        <w:t>(For Charter Application / Factum / Affidavit Master Document)</w:t>
      </w:r>
    </w:p>
    <w:p w14:paraId="1CA40035" w14:textId="77777777" w:rsidR="007413B9" w:rsidRPr="007413B9" w:rsidRDefault="007413B9" w:rsidP="007413B9">
      <w:r w:rsidRPr="007413B9">
        <w:pict w14:anchorId="675D68C3">
          <v:rect id="_x0000_i1067" style="width:0;height:1.5pt" o:hralign="center" o:hrstd="t" o:hr="t" fillcolor="#a0a0a0" stroked="f"/>
        </w:pict>
      </w:r>
    </w:p>
    <w:p w14:paraId="5AA8AE05" w14:textId="77777777" w:rsidR="007413B9" w:rsidRPr="007413B9" w:rsidRDefault="007413B9" w:rsidP="007413B9">
      <w:pPr>
        <w:rPr>
          <w:b/>
          <w:bCs/>
        </w:rPr>
      </w:pPr>
      <w:r w:rsidRPr="007413B9">
        <w:rPr>
          <w:b/>
          <w:bCs/>
        </w:rPr>
        <w:t>**A. Applicant’s Professional Background and Public Role</w:t>
      </w:r>
    </w:p>
    <w:p w14:paraId="1428DB92" w14:textId="77777777" w:rsidR="007413B9" w:rsidRPr="007413B9" w:rsidRDefault="007413B9" w:rsidP="007413B9">
      <w:r w:rsidRPr="007413B9">
        <w:t>申请人的专业背景与公共角色</w:t>
      </w:r>
      <w:r w:rsidRPr="007413B9">
        <w:t>**</w:t>
      </w:r>
    </w:p>
    <w:p w14:paraId="7E7C3D23" w14:textId="77777777" w:rsidR="007413B9" w:rsidRPr="007413B9" w:rsidRDefault="007413B9" w:rsidP="007413B9">
      <w:pPr>
        <w:numPr>
          <w:ilvl w:val="0"/>
          <w:numId w:val="1"/>
        </w:numPr>
      </w:pPr>
      <w:r w:rsidRPr="007413B9">
        <w:t>申请人</w:t>
      </w:r>
      <w:r w:rsidRPr="007413B9">
        <w:t xml:space="preserve"> </w:t>
      </w:r>
      <w:r w:rsidRPr="007413B9">
        <w:rPr>
          <w:b/>
          <w:bCs/>
        </w:rPr>
        <w:t>唐炜臻（</w:t>
      </w:r>
      <w:r w:rsidRPr="007413B9">
        <w:rPr>
          <w:b/>
          <w:bCs/>
        </w:rPr>
        <w:t>Weizhen Tang</w:t>
      </w:r>
      <w:r w:rsidRPr="007413B9">
        <w:rPr>
          <w:b/>
          <w:bCs/>
        </w:rPr>
        <w:t>）</w:t>
      </w:r>
      <w:r w:rsidRPr="007413B9">
        <w:t xml:space="preserve"> </w:t>
      </w:r>
      <w:r w:rsidRPr="007413B9">
        <w:t>是一名拥有近三十年北美投资经验的华裔金融从业者，管理资产覆盖个人投资者、专业人士及社区组织。</w:t>
      </w:r>
    </w:p>
    <w:p w14:paraId="7F426464" w14:textId="77777777" w:rsidR="007413B9" w:rsidRPr="007413B9" w:rsidRDefault="007413B9" w:rsidP="007413B9">
      <w:pPr>
        <w:numPr>
          <w:ilvl w:val="0"/>
          <w:numId w:val="1"/>
        </w:numPr>
      </w:pPr>
      <w:r w:rsidRPr="007413B9">
        <w:t>申请人以</w:t>
      </w:r>
      <w:r w:rsidRPr="007413B9">
        <w:t xml:space="preserve"> </w:t>
      </w:r>
      <w:r w:rsidRPr="007413B9">
        <w:rPr>
          <w:b/>
          <w:bCs/>
        </w:rPr>
        <w:t>“1% Weekly Return</w:t>
      </w:r>
      <w:r w:rsidRPr="007413B9">
        <w:rPr>
          <w:b/>
          <w:bCs/>
        </w:rPr>
        <w:t>（每周</w:t>
      </w:r>
      <w:r w:rsidRPr="007413B9">
        <w:rPr>
          <w:b/>
          <w:bCs/>
        </w:rPr>
        <w:t xml:space="preserve"> 1% </w:t>
      </w:r>
      <w:r w:rsidRPr="007413B9">
        <w:rPr>
          <w:b/>
          <w:bCs/>
        </w:rPr>
        <w:t>回报）</w:t>
      </w:r>
      <w:r w:rsidRPr="007413B9">
        <w:rPr>
          <w:b/>
          <w:bCs/>
        </w:rPr>
        <w:t>”</w:t>
      </w:r>
      <w:r w:rsidRPr="007413B9">
        <w:t xml:space="preserve"> </w:t>
      </w:r>
      <w:r w:rsidRPr="007413B9">
        <w:t>的稳健策略闻名，早期由投资者在其个人银行账户中</w:t>
      </w:r>
      <w:r w:rsidRPr="007413B9">
        <w:rPr>
          <w:b/>
          <w:bCs/>
        </w:rPr>
        <w:t>每日观察、验证</w:t>
      </w:r>
      <w:r w:rsidRPr="007413B9">
        <w:t>交易结果，相关记录由数百位投资者亲自确认。</w:t>
      </w:r>
    </w:p>
    <w:p w14:paraId="31125A1F" w14:textId="77777777" w:rsidR="007413B9" w:rsidRPr="007413B9" w:rsidRDefault="007413B9" w:rsidP="007413B9">
      <w:pPr>
        <w:numPr>
          <w:ilvl w:val="0"/>
          <w:numId w:val="1"/>
        </w:numPr>
      </w:pPr>
      <w:r w:rsidRPr="007413B9">
        <w:t>申请人管理的投资规模在早期经历了显著增长，从</w:t>
      </w:r>
      <w:r w:rsidRPr="007413B9">
        <w:t xml:space="preserve"> </w:t>
      </w:r>
      <w:r w:rsidRPr="007413B9">
        <w:rPr>
          <w:b/>
          <w:bCs/>
        </w:rPr>
        <w:t>$4,000 → $4,000,000</w:t>
      </w:r>
      <w:r w:rsidRPr="007413B9">
        <w:t xml:space="preserve"> </w:t>
      </w:r>
      <w:r w:rsidRPr="007413B9">
        <w:t>在一年内实现千倍增长，完全依赖投资者口碑，无广告推广。</w:t>
      </w:r>
    </w:p>
    <w:p w14:paraId="2818329A" w14:textId="77777777" w:rsidR="007413B9" w:rsidRPr="007413B9" w:rsidRDefault="007413B9" w:rsidP="007413B9">
      <w:pPr>
        <w:numPr>
          <w:ilvl w:val="0"/>
          <w:numId w:val="1"/>
        </w:numPr>
      </w:pPr>
      <w:r w:rsidRPr="007413B9">
        <w:t>申请人长期活跃于社区事务，包括：</w:t>
      </w:r>
    </w:p>
    <w:p w14:paraId="435A0188" w14:textId="77777777" w:rsidR="007413B9" w:rsidRPr="007413B9" w:rsidRDefault="007413B9" w:rsidP="007413B9">
      <w:pPr>
        <w:numPr>
          <w:ilvl w:val="1"/>
          <w:numId w:val="1"/>
        </w:numPr>
      </w:pPr>
      <w:r w:rsidRPr="007413B9">
        <w:t>加拿大湖南同乡会（创始人之一）</w:t>
      </w:r>
    </w:p>
    <w:p w14:paraId="6EF99219" w14:textId="77777777" w:rsidR="007413B9" w:rsidRPr="007413B9" w:rsidRDefault="007413B9" w:rsidP="007413B9">
      <w:pPr>
        <w:numPr>
          <w:ilvl w:val="1"/>
          <w:numId w:val="1"/>
        </w:numPr>
      </w:pPr>
      <w:r w:rsidRPr="007413B9">
        <w:t>加拿大华人企业家协会（前主席）</w:t>
      </w:r>
    </w:p>
    <w:p w14:paraId="7766C529" w14:textId="77777777" w:rsidR="007413B9" w:rsidRPr="007413B9" w:rsidRDefault="007413B9" w:rsidP="007413B9">
      <w:pPr>
        <w:numPr>
          <w:ilvl w:val="1"/>
          <w:numId w:val="1"/>
        </w:numPr>
      </w:pPr>
      <w:r w:rsidRPr="007413B9">
        <w:t>北美华人财富高峰论坛（主办人）</w:t>
      </w:r>
    </w:p>
    <w:p w14:paraId="3CA6AE4E" w14:textId="77777777" w:rsidR="007413B9" w:rsidRPr="007413B9" w:rsidRDefault="007413B9" w:rsidP="007413B9">
      <w:pPr>
        <w:numPr>
          <w:ilvl w:val="1"/>
          <w:numId w:val="1"/>
        </w:numPr>
      </w:pPr>
      <w:r w:rsidRPr="007413B9">
        <w:t>多次公开演讲、媒体访谈、教育投资理念</w:t>
      </w:r>
    </w:p>
    <w:p w14:paraId="6179BC47" w14:textId="77777777" w:rsidR="007413B9" w:rsidRPr="007413B9" w:rsidRDefault="007413B9" w:rsidP="007413B9">
      <w:pPr>
        <w:numPr>
          <w:ilvl w:val="0"/>
          <w:numId w:val="1"/>
        </w:numPr>
      </w:pPr>
      <w:r w:rsidRPr="007413B9">
        <w:t>申请人在</w:t>
      </w:r>
      <w:r w:rsidRPr="007413B9">
        <w:t>2000</w:t>
      </w:r>
      <w:r w:rsidRPr="007413B9">
        <w:t>年代被媒体称为：</w:t>
      </w:r>
    </w:p>
    <w:p w14:paraId="1638D6BF" w14:textId="77777777" w:rsidR="007413B9" w:rsidRPr="007413B9" w:rsidRDefault="007413B9" w:rsidP="007413B9">
      <w:pPr>
        <w:numPr>
          <w:ilvl w:val="1"/>
          <w:numId w:val="1"/>
        </w:numPr>
      </w:pPr>
      <w:r w:rsidRPr="007413B9">
        <w:t>“The Chinese Warren Buffett”</w:t>
      </w:r>
      <w:r w:rsidRPr="007413B9">
        <w:t>（华人巴菲特）</w:t>
      </w:r>
    </w:p>
    <w:p w14:paraId="1D9326E5" w14:textId="77777777" w:rsidR="007413B9" w:rsidRPr="007413B9" w:rsidRDefault="007413B9" w:rsidP="007413B9">
      <w:pPr>
        <w:numPr>
          <w:ilvl w:val="1"/>
          <w:numId w:val="1"/>
        </w:numPr>
      </w:pPr>
      <w:r w:rsidRPr="007413B9">
        <w:t>“A Symbol of Chinese Power in Global Finance”</w:t>
      </w:r>
      <w:r w:rsidRPr="007413B9">
        <w:t>（国际金融领域的中国符号）</w:t>
      </w:r>
    </w:p>
    <w:p w14:paraId="3147D9F0" w14:textId="77777777" w:rsidR="007413B9" w:rsidRPr="007413B9" w:rsidRDefault="007413B9" w:rsidP="007413B9">
      <w:pPr>
        <w:numPr>
          <w:ilvl w:val="0"/>
          <w:numId w:val="1"/>
        </w:numPr>
      </w:pPr>
      <w:r w:rsidRPr="007413B9">
        <w:t>申请人的公众形象、影响力，使其后续所发生的一切更具公共关注性。</w:t>
      </w:r>
    </w:p>
    <w:p w14:paraId="2C808F40" w14:textId="77777777" w:rsidR="007413B9" w:rsidRPr="007413B9" w:rsidRDefault="007413B9" w:rsidP="007413B9">
      <w:r w:rsidRPr="007413B9">
        <w:pict w14:anchorId="0588E014">
          <v:rect id="_x0000_i1068" style="width:0;height:1.5pt" o:hralign="center" o:hrstd="t" o:hr="t" fillcolor="#a0a0a0" stroked="f"/>
        </w:pict>
      </w:r>
    </w:p>
    <w:p w14:paraId="5B045387" w14:textId="77777777" w:rsidR="007413B9" w:rsidRPr="007413B9" w:rsidRDefault="007413B9" w:rsidP="007413B9">
      <w:pPr>
        <w:rPr>
          <w:b/>
          <w:bCs/>
        </w:rPr>
      </w:pPr>
      <w:r w:rsidRPr="007413B9">
        <w:rPr>
          <w:b/>
          <w:bCs/>
        </w:rPr>
        <w:t>**B. Events Leading to OSC Involvement</w:t>
      </w:r>
    </w:p>
    <w:p w14:paraId="5005549C" w14:textId="77777777" w:rsidR="007413B9" w:rsidRPr="007413B9" w:rsidRDefault="007413B9" w:rsidP="007413B9">
      <w:r w:rsidRPr="007413B9">
        <w:t xml:space="preserve">OSC </w:t>
      </w:r>
      <w:r w:rsidRPr="007413B9">
        <w:t>介入前后的相关事件</w:t>
      </w:r>
      <w:r w:rsidRPr="007413B9">
        <w:t>**</w:t>
      </w:r>
    </w:p>
    <w:p w14:paraId="778BB418" w14:textId="77777777" w:rsidR="007413B9" w:rsidRPr="007413B9" w:rsidRDefault="007413B9" w:rsidP="007413B9">
      <w:pPr>
        <w:numPr>
          <w:ilvl w:val="0"/>
          <w:numId w:val="2"/>
        </w:numPr>
      </w:pPr>
      <w:r w:rsidRPr="007413B9">
        <w:t>在</w:t>
      </w:r>
      <w:r w:rsidRPr="007413B9">
        <w:t xml:space="preserve"> 2008–2009 </w:t>
      </w:r>
      <w:r w:rsidRPr="007413B9">
        <w:t>全球金融危机期间，市场极端波动，各类金融机构和投资产品崩溃。大量北美基金破产，投资者遭受严重损失。</w:t>
      </w:r>
    </w:p>
    <w:p w14:paraId="4588EB3D" w14:textId="77777777" w:rsidR="007413B9" w:rsidRPr="007413B9" w:rsidRDefault="007413B9" w:rsidP="007413B9">
      <w:pPr>
        <w:numPr>
          <w:ilvl w:val="0"/>
          <w:numId w:val="2"/>
        </w:numPr>
      </w:pPr>
      <w:r w:rsidRPr="007413B9">
        <w:lastRenderedPageBreak/>
        <w:t>在此环境下，部分投资者因市场恐慌情绪提出大量赎回，出现短期流动性压力。</w:t>
      </w:r>
    </w:p>
    <w:p w14:paraId="30B55A01" w14:textId="77777777" w:rsidR="007413B9" w:rsidRPr="007413B9" w:rsidRDefault="007413B9" w:rsidP="007413B9">
      <w:pPr>
        <w:numPr>
          <w:ilvl w:val="0"/>
          <w:numId w:val="2"/>
        </w:numPr>
      </w:pPr>
      <w:r w:rsidRPr="007413B9">
        <w:t>一名投资者通过律师向</w:t>
      </w:r>
      <w:r w:rsidRPr="007413B9">
        <w:t xml:space="preserve"> OSC </w:t>
      </w:r>
      <w:r w:rsidRPr="007413B9">
        <w:t>提交询问。申请人并未受到任何警方调查或刑事指控，该行为属于监管层面的初步信息提交。</w:t>
      </w:r>
    </w:p>
    <w:p w14:paraId="384A9FD8" w14:textId="77777777" w:rsidR="007413B9" w:rsidRPr="007413B9" w:rsidRDefault="007413B9" w:rsidP="007413B9">
      <w:pPr>
        <w:numPr>
          <w:ilvl w:val="0"/>
          <w:numId w:val="2"/>
        </w:numPr>
      </w:pPr>
      <w:r w:rsidRPr="007413B9">
        <w:t xml:space="preserve">OSC </w:t>
      </w:r>
      <w:r w:rsidRPr="007413B9">
        <w:t>在未进行正式审理前，于</w:t>
      </w:r>
      <w:r w:rsidRPr="007413B9">
        <w:t xml:space="preserve"> </w:t>
      </w:r>
      <w:r w:rsidRPr="007413B9">
        <w:rPr>
          <w:b/>
          <w:bCs/>
        </w:rPr>
        <w:t xml:space="preserve">2009 </w:t>
      </w:r>
      <w:r w:rsidRPr="007413B9">
        <w:rPr>
          <w:b/>
          <w:bCs/>
        </w:rPr>
        <w:t>年</w:t>
      </w:r>
      <w:r w:rsidRPr="007413B9">
        <w:rPr>
          <w:b/>
          <w:bCs/>
        </w:rPr>
        <w:t xml:space="preserve"> 3 </w:t>
      </w:r>
      <w:r w:rsidRPr="007413B9">
        <w:rPr>
          <w:b/>
          <w:bCs/>
        </w:rPr>
        <w:t>月</w:t>
      </w:r>
      <w:r w:rsidRPr="007413B9">
        <w:rPr>
          <w:b/>
          <w:bCs/>
        </w:rPr>
        <w:t xml:space="preserve"> 17 </w:t>
      </w:r>
      <w:r w:rsidRPr="007413B9">
        <w:rPr>
          <w:b/>
          <w:bCs/>
        </w:rPr>
        <w:t>日</w:t>
      </w:r>
      <w:r w:rsidRPr="007413B9">
        <w:t xml:space="preserve"> </w:t>
      </w:r>
      <w:r w:rsidRPr="007413B9">
        <w:t>采取下列措施：</w:t>
      </w:r>
    </w:p>
    <w:p w14:paraId="21E30640" w14:textId="77777777" w:rsidR="007413B9" w:rsidRPr="007413B9" w:rsidRDefault="007413B9" w:rsidP="007413B9">
      <w:pPr>
        <w:numPr>
          <w:ilvl w:val="0"/>
          <w:numId w:val="3"/>
        </w:numPr>
      </w:pPr>
      <w:r w:rsidRPr="007413B9">
        <w:t>发布新闻通告</w:t>
      </w:r>
    </w:p>
    <w:p w14:paraId="1D73847E" w14:textId="77777777" w:rsidR="007413B9" w:rsidRPr="007413B9" w:rsidRDefault="007413B9" w:rsidP="007413B9">
      <w:pPr>
        <w:numPr>
          <w:ilvl w:val="0"/>
          <w:numId w:val="3"/>
        </w:numPr>
      </w:pPr>
      <w:r w:rsidRPr="007413B9">
        <w:t>发布</w:t>
      </w:r>
      <w:r w:rsidRPr="007413B9">
        <w:t xml:space="preserve"> </w:t>
      </w:r>
      <w:r w:rsidRPr="007413B9">
        <w:rPr>
          <w:b/>
          <w:bCs/>
        </w:rPr>
        <w:t>临时禁止交易令（</w:t>
      </w:r>
      <w:r w:rsidRPr="007413B9">
        <w:rPr>
          <w:b/>
          <w:bCs/>
        </w:rPr>
        <w:t>Temporary Cease-Trade Order</w:t>
      </w:r>
      <w:r w:rsidRPr="007413B9">
        <w:rPr>
          <w:b/>
          <w:bCs/>
        </w:rPr>
        <w:t>）</w:t>
      </w:r>
    </w:p>
    <w:p w14:paraId="73AE94EF" w14:textId="77777777" w:rsidR="007413B9" w:rsidRPr="007413B9" w:rsidRDefault="007413B9" w:rsidP="007413B9">
      <w:pPr>
        <w:numPr>
          <w:ilvl w:val="0"/>
          <w:numId w:val="3"/>
        </w:numPr>
      </w:pPr>
      <w:r w:rsidRPr="007413B9">
        <w:t>冻结投资相关账户</w:t>
      </w:r>
    </w:p>
    <w:p w14:paraId="0B9499C0" w14:textId="77777777" w:rsidR="007413B9" w:rsidRPr="007413B9" w:rsidRDefault="007413B9" w:rsidP="007413B9">
      <w:pPr>
        <w:numPr>
          <w:ilvl w:val="0"/>
          <w:numId w:val="3"/>
        </w:numPr>
      </w:pPr>
      <w:r w:rsidRPr="007413B9">
        <w:t>公开宣布对申请人启动调查</w:t>
      </w:r>
    </w:p>
    <w:p w14:paraId="5EDB1737" w14:textId="77777777" w:rsidR="007413B9" w:rsidRPr="007413B9" w:rsidRDefault="007413B9" w:rsidP="007413B9">
      <w:pPr>
        <w:numPr>
          <w:ilvl w:val="0"/>
          <w:numId w:val="4"/>
        </w:numPr>
      </w:pPr>
      <w:r w:rsidRPr="007413B9">
        <w:t>以上措施均在</w:t>
      </w:r>
      <w:r w:rsidRPr="007413B9">
        <w:t xml:space="preserve"> </w:t>
      </w:r>
      <w:r w:rsidRPr="007413B9">
        <w:rPr>
          <w:b/>
          <w:bCs/>
        </w:rPr>
        <w:t>未聆讯、未审判、未提交证据、未给申请人回应机会</w:t>
      </w:r>
      <w:r w:rsidRPr="007413B9">
        <w:t xml:space="preserve"> </w:t>
      </w:r>
      <w:r w:rsidRPr="007413B9">
        <w:t>的情况下实施。</w:t>
      </w:r>
    </w:p>
    <w:p w14:paraId="1616893A" w14:textId="77777777" w:rsidR="007413B9" w:rsidRPr="007413B9" w:rsidRDefault="007413B9" w:rsidP="007413B9">
      <w:pPr>
        <w:numPr>
          <w:ilvl w:val="0"/>
          <w:numId w:val="4"/>
        </w:numPr>
      </w:pPr>
      <w:r w:rsidRPr="007413B9">
        <w:t>这些措施造成：</w:t>
      </w:r>
    </w:p>
    <w:p w14:paraId="799B2D4A" w14:textId="77777777" w:rsidR="007413B9" w:rsidRPr="007413B9" w:rsidRDefault="007413B9" w:rsidP="007413B9">
      <w:pPr>
        <w:numPr>
          <w:ilvl w:val="0"/>
          <w:numId w:val="5"/>
        </w:numPr>
      </w:pPr>
      <w:r w:rsidRPr="007413B9">
        <w:t>申请人声誉遭受巨大损害</w:t>
      </w:r>
    </w:p>
    <w:p w14:paraId="51256B10" w14:textId="77777777" w:rsidR="007413B9" w:rsidRPr="007413B9" w:rsidRDefault="007413B9" w:rsidP="007413B9">
      <w:pPr>
        <w:numPr>
          <w:ilvl w:val="0"/>
          <w:numId w:val="5"/>
        </w:numPr>
      </w:pPr>
      <w:r w:rsidRPr="007413B9">
        <w:t>投资人恐慌扩大</w:t>
      </w:r>
    </w:p>
    <w:p w14:paraId="23893655" w14:textId="77777777" w:rsidR="007413B9" w:rsidRPr="007413B9" w:rsidRDefault="007413B9" w:rsidP="007413B9">
      <w:pPr>
        <w:numPr>
          <w:ilvl w:val="0"/>
          <w:numId w:val="5"/>
        </w:numPr>
      </w:pPr>
      <w:r w:rsidRPr="007413B9">
        <w:t>申请人无法继续操作投资账户</w:t>
      </w:r>
    </w:p>
    <w:p w14:paraId="61F61579" w14:textId="77777777" w:rsidR="007413B9" w:rsidRPr="007413B9" w:rsidRDefault="007413B9" w:rsidP="007413B9">
      <w:pPr>
        <w:numPr>
          <w:ilvl w:val="0"/>
          <w:numId w:val="5"/>
        </w:numPr>
      </w:pPr>
      <w:r w:rsidRPr="007413B9">
        <w:t>投资组合在极端市场中无法管理而遭受损失</w:t>
      </w:r>
    </w:p>
    <w:p w14:paraId="38A29E72" w14:textId="77777777" w:rsidR="007413B9" w:rsidRPr="007413B9" w:rsidRDefault="007413B9" w:rsidP="007413B9">
      <w:pPr>
        <w:numPr>
          <w:ilvl w:val="0"/>
          <w:numId w:val="5"/>
        </w:numPr>
      </w:pPr>
      <w:r w:rsidRPr="007413B9">
        <w:t>申请人完全失去谋生能力</w:t>
      </w:r>
    </w:p>
    <w:p w14:paraId="51A54CEF" w14:textId="77777777" w:rsidR="007413B9" w:rsidRPr="007413B9" w:rsidRDefault="007413B9" w:rsidP="007413B9">
      <w:pPr>
        <w:numPr>
          <w:ilvl w:val="0"/>
          <w:numId w:val="6"/>
        </w:numPr>
      </w:pPr>
      <w:r w:rsidRPr="007413B9">
        <w:t>这些后果在之后长达</w:t>
      </w:r>
      <w:r w:rsidRPr="007413B9">
        <w:t xml:space="preserve"> </w:t>
      </w:r>
      <w:r w:rsidRPr="007413B9">
        <w:rPr>
          <w:b/>
          <w:bCs/>
        </w:rPr>
        <w:t xml:space="preserve">16 </w:t>
      </w:r>
      <w:r w:rsidRPr="007413B9">
        <w:rPr>
          <w:b/>
          <w:bCs/>
        </w:rPr>
        <w:t>年</w:t>
      </w:r>
      <w:r w:rsidRPr="007413B9">
        <w:t xml:space="preserve"> </w:t>
      </w:r>
      <w:r w:rsidRPr="007413B9">
        <w:t>的时间内持续影响申请人。</w:t>
      </w:r>
    </w:p>
    <w:p w14:paraId="4D855EA4" w14:textId="77777777" w:rsidR="007413B9" w:rsidRPr="007413B9" w:rsidRDefault="007413B9" w:rsidP="007413B9">
      <w:r w:rsidRPr="007413B9">
        <w:pict w14:anchorId="6F090D92">
          <v:rect id="_x0000_i1069" style="width:0;height:1.5pt" o:hralign="center" o:hrstd="t" o:hr="t" fillcolor="#a0a0a0" stroked="f"/>
        </w:pict>
      </w:r>
    </w:p>
    <w:p w14:paraId="108C900C" w14:textId="77777777" w:rsidR="007413B9" w:rsidRPr="007413B9" w:rsidRDefault="007413B9" w:rsidP="007413B9">
      <w:pPr>
        <w:rPr>
          <w:b/>
          <w:bCs/>
        </w:rPr>
      </w:pPr>
      <w:r w:rsidRPr="007413B9">
        <w:rPr>
          <w:b/>
          <w:bCs/>
        </w:rPr>
        <w:t>**C. Asset Freeze and Impact on Defence</w:t>
      </w:r>
    </w:p>
    <w:p w14:paraId="7B7EE75C" w14:textId="77777777" w:rsidR="007413B9" w:rsidRPr="007413B9" w:rsidRDefault="007413B9" w:rsidP="007413B9">
      <w:r w:rsidRPr="007413B9">
        <w:t>冻结资产与辩护权的受限</w:t>
      </w:r>
      <w:r w:rsidRPr="007413B9">
        <w:t>**</w:t>
      </w:r>
    </w:p>
    <w:p w14:paraId="4E7EADCE" w14:textId="77777777" w:rsidR="007413B9" w:rsidRPr="007413B9" w:rsidRDefault="007413B9" w:rsidP="007413B9">
      <w:pPr>
        <w:numPr>
          <w:ilvl w:val="0"/>
          <w:numId w:val="7"/>
        </w:numPr>
      </w:pPr>
      <w:r w:rsidRPr="007413B9">
        <w:t xml:space="preserve">OSC </w:t>
      </w:r>
      <w:r w:rsidRPr="007413B9">
        <w:t>的冻结令覆盖了申请人及其公司在加拿大的主要账户。</w:t>
      </w:r>
    </w:p>
    <w:p w14:paraId="6CDE9B90" w14:textId="77777777" w:rsidR="007413B9" w:rsidRPr="007413B9" w:rsidRDefault="007413B9" w:rsidP="007413B9">
      <w:pPr>
        <w:numPr>
          <w:ilvl w:val="0"/>
          <w:numId w:val="7"/>
        </w:numPr>
      </w:pPr>
      <w:r w:rsidRPr="007413B9">
        <w:t>由于所有资金被冻结，申请人无法：</w:t>
      </w:r>
    </w:p>
    <w:p w14:paraId="3302DA73" w14:textId="77777777" w:rsidR="007413B9" w:rsidRPr="007413B9" w:rsidRDefault="007413B9" w:rsidP="007413B9">
      <w:pPr>
        <w:numPr>
          <w:ilvl w:val="0"/>
          <w:numId w:val="8"/>
        </w:numPr>
      </w:pPr>
      <w:r w:rsidRPr="007413B9">
        <w:t>支付律师费用</w:t>
      </w:r>
    </w:p>
    <w:p w14:paraId="0F83406D" w14:textId="77777777" w:rsidR="007413B9" w:rsidRPr="007413B9" w:rsidRDefault="007413B9" w:rsidP="007413B9">
      <w:pPr>
        <w:numPr>
          <w:ilvl w:val="0"/>
          <w:numId w:val="8"/>
        </w:numPr>
      </w:pPr>
      <w:r w:rsidRPr="007413B9">
        <w:t>聘请独立投资专家</w:t>
      </w:r>
    </w:p>
    <w:p w14:paraId="394B567C" w14:textId="77777777" w:rsidR="007413B9" w:rsidRPr="007413B9" w:rsidRDefault="007413B9" w:rsidP="007413B9">
      <w:pPr>
        <w:numPr>
          <w:ilvl w:val="0"/>
          <w:numId w:val="8"/>
        </w:numPr>
      </w:pPr>
      <w:r w:rsidRPr="007413B9">
        <w:t>支付运营成本</w:t>
      </w:r>
    </w:p>
    <w:p w14:paraId="1A41B86D" w14:textId="77777777" w:rsidR="007413B9" w:rsidRPr="007413B9" w:rsidRDefault="007413B9" w:rsidP="007413B9">
      <w:pPr>
        <w:numPr>
          <w:ilvl w:val="0"/>
          <w:numId w:val="8"/>
        </w:numPr>
      </w:pPr>
      <w:r w:rsidRPr="007413B9">
        <w:lastRenderedPageBreak/>
        <w:t>维持正常生活开支</w:t>
      </w:r>
    </w:p>
    <w:p w14:paraId="664CFE38" w14:textId="77777777" w:rsidR="007413B9" w:rsidRPr="007413B9" w:rsidRDefault="007413B9" w:rsidP="007413B9">
      <w:pPr>
        <w:numPr>
          <w:ilvl w:val="0"/>
          <w:numId w:val="9"/>
        </w:numPr>
      </w:pPr>
      <w:r w:rsidRPr="007413B9">
        <w:t>法院记录显示：申请人多次请求释放部分资金以聘请辩护律师但未被批准。</w:t>
      </w:r>
    </w:p>
    <w:p w14:paraId="32C19544" w14:textId="77777777" w:rsidR="007413B9" w:rsidRPr="007413B9" w:rsidRDefault="007413B9" w:rsidP="007413B9">
      <w:pPr>
        <w:numPr>
          <w:ilvl w:val="0"/>
          <w:numId w:val="9"/>
        </w:numPr>
      </w:pPr>
      <w:r w:rsidRPr="007413B9">
        <w:t>在无法获得资金的情况下，申请人不得不面对多个复杂的法律程序，而缺乏必要的专业支持。</w:t>
      </w:r>
    </w:p>
    <w:p w14:paraId="47883342" w14:textId="77777777" w:rsidR="007413B9" w:rsidRPr="007413B9" w:rsidRDefault="007413B9" w:rsidP="007413B9">
      <w:pPr>
        <w:numPr>
          <w:ilvl w:val="0"/>
          <w:numId w:val="9"/>
        </w:numPr>
      </w:pPr>
      <w:r w:rsidRPr="007413B9">
        <w:t>申请人认为该冻结令的累积效果构成对其</w:t>
      </w:r>
      <w:r w:rsidRPr="007413B9">
        <w:t xml:space="preserve"> </w:t>
      </w:r>
      <w:r w:rsidRPr="007413B9">
        <w:rPr>
          <w:b/>
          <w:bCs/>
        </w:rPr>
        <w:t>宪章第</w:t>
      </w:r>
      <w:r w:rsidRPr="007413B9">
        <w:rPr>
          <w:b/>
          <w:bCs/>
        </w:rPr>
        <w:t xml:space="preserve"> 7 </w:t>
      </w:r>
      <w:r w:rsidRPr="007413B9">
        <w:rPr>
          <w:b/>
          <w:bCs/>
        </w:rPr>
        <w:t>条权利</w:t>
      </w:r>
      <w:r w:rsidRPr="007413B9">
        <w:t xml:space="preserve"> </w:t>
      </w:r>
      <w:r w:rsidRPr="007413B9">
        <w:t>的剥夺（生计权、安全保障），并直接影响其</w:t>
      </w:r>
      <w:r w:rsidRPr="007413B9">
        <w:t xml:space="preserve"> </w:t>
      </w:r>
      <w:r w:rsidRPr="007413B9">
        <w:rPr>
          <w:b/>
          <w:bCs/>
        </w:rPr>
        <w:t>第</w:t>
      </w:r>
      <w:r w:rsidRPr="007413B9">
        <w:rPr>
          <w:b/>
          <w:bCs/>
        </w:rPr>
        <w:t xml:space="preserve"> 11(d) </w:t>
      </w:r>
      <w:r w:rsidRPr="007413B9">
        <w:rPr>
          <w:b/>
          <w:bCs/>
        </w:rPr>
        <w:t>条</w:t>
      </w:r>
      <w:r w:rsidRPr="007413B9">
        <w:t xml:space="preserve"> </w:t>
      </w:r>
      <w:r w:rsidRPr="007413B9">
        <w:t>所保障的公平聆讯权利。</w:t>
      </w:r>
    </w:p>
    <w:p w14:paraId="4F2357D9" w14:textId="77777777" w:rsidR="007413B9" w:rsidRPr="007413B9" w:rsidRDefault="007413B9" w:rsidP="007413B9">
      <w:r w:rsidRPr="007413B9">
        <w:pict w14:anchorId="495A7D9E">
          <v:rect id="_x0000_i1070" style="width:0;height:1.5pt" o:hralign="center" o:hrstd="t" o:hr="t" fillcolor="#a0a0a0" stroked="f"/>
        </w:pict>
      </w:r>
    </w:p>
    <w:p w14:paraId="19EDF6C0" w14:textId="77777777" w:rsidR="007413B9" w:rsidRPr="007413B9" w:rsidRDefault="007413B9" w:rsidP="007413B9">
      <w:pPr>
        <w:rPr>
          <w:b/>
          <w:bCs/>
        </w:rPr>
      </w:pPr>
      <w:r w:rsidRPr="007413B9">
        <w:rPr>
          <w:b/>
          <w:bCs/>
        </w:rPr>
        <w:t>**D. Expert Testimony Issues</w:t>
      </w:r>
    </w:p>
    <w:p w14:paraId="591FF233" w14:textId="77777777" w:rsidR="007413B9" w:rsidRPr="007413B9" w:rsidRDefault="007413B9" w:rsidP="007413B9">
      <w:r w:rsidRPr="007413B9">
        <w:t>专家证据问题</w:t>
      </w:r>
      <w:r w:rsidRPr="007413B9">
        <w:t>**</w:t>
      </w:r>
    </w:p>
    <w:p w14:paraId="399B6F30" w14:textId="77777777" w:rsidR="007413B9" w:rsidRPr="007413B9" w:rsidRDefault="007413B9" w:rsidP="007413B9">
      <w:pPr>
        <w:numPr>
          <w:ilvl w:val="0"/>
          <w:numId w:val="10"/>
        </w:numPr>
      </w:pPr>
      <w:r w:rsidRPr="007413B9">
        <w:t>在过去程序中，</w:t>
      </w:r>
      <w:r w:rsidRPr="007413B9">
        <w:t xml:space="preserve">OSC </w:t>
      </w:r>
      <w:r w:rsidRPr="007413B9">
        <w:t>所依赖的</w:t>
      </w:r>
      <w:r w:rsidRPr="007413B9">
        <w:t>“</w:t>
      </w:r>
      <w:r w:rsidRPr="007413B9">
        <w:t>专家</w:t>
      </w:r>
      <w:r w:rsidRPr="007413B9">
        <w:t>”</w:t>
      </w:r>
      <w:r w:rsidRPr="007413B9">
        <w:t>主要为会计人员、内部职员或从未从事投资管理的人员。</w:t>
      </w:r>
    </w:p>
    <w:p w14:paraId="1B05440E" w14:textId="77777777" w:rsidR="007413B9" w:rsidRPr="007413B9" w:rsidRDefault="007413B9" w:rsidP="007413B9">
      <w:pPr>
        <w:numPr>
          <w:ilvl w:val="0"/>
          <w:numId w:val="10"/>
        </w:numPr>
      </w:pPr>
      <w:r w:rsidRPr="007413B9">
        <w:t>这些人员：</w:t>
      </w:r>
    </w:p>
    <w:p w14:paraId="341088BB" w14:textId="77777777" w:rsidR="007413B9" w:rsidRPr="007413B9" w:rsidRDefault="007413B9" w:rsidP="007413B9">
      <w:pPr>
        <w:numPr>
          <w:ilvl w:val="0"/>
          <w:numId w:val="11"/>
        </w:numPr>
      </w:pPr>
      <w:r w:rsidRPr="007413B9">
        <w:rPr>
          <w:b/>
          <w:bCs/>
        </w:rPr>
        <w:t>没有</w:t>
      </w:r>
      <w:r w:rsidRPr="007413B9">
        <w:t>投资组合管理经验</w:t>
      </w:r>
    </w:p>
    <w:p w14:paraId="795A37E2" w14:textId="77777777" w:rsidR="007413B9" w:rsidRPr="007413B9" w:rsidRDefault="007413B9" w:rsidP="007413B9">
      <w:pPr>
        <w:numPr>
          <w:ilvl w:val="0"/>
          <w:numId w:val="11"/>
        </w:numPr>
      </w:pPr>
      <w:r w:rsidRPr="007413B9">
        <w:rPr>
          <w:b/>
          <w:bCs/>
        </w:rPr>
        <w:t>没有</w:t>
      </w:r>
      <w:r w:rsidRPr="007413B9">
        <w:t>对冲基金、衍生品、</w:t>
      </w:r>
      <w:r w:rsidRPr="007413B9">
        <w:t>ETF</w:t>
      </w:r>
      <w:r w:rsidRPr="007413B9">
        <w:t>日内策略的专业背景</w:t>
      </w:r>
    </w:p>
    <w:p w14:paraId="151EE406" w14:textId="77777777" w:rsidR="007413B9" w:rsidRPr="007413B9" w:rsidRDefault="007413B9" w:rsidP="007413B9">
      <w:pPr>
        <w:numPr>
          <w:ilvl w:val="0"/>
          <w:numId w:val="11"/>
        </w:numPr>
      </w:pPr>
      <w:r w:rsidRPr="007413B9">
        <w:rPr>
          <w:b/>
          <w:bCs/>
        </w:rPr>
        <w:t>没有</w:t>
      </w:r>
      <w:r w:rsidRPr="007413B9">
        <w:t>资本市场实操经历</w:t>
      </w:r>
    </w:p>
    <w:p w14:paraId="5D1E64AA" w14:textId="77777777" w:rsidR="007413B9" w:rsidRPr="007413B9" w:rsidRDefault="007413B9" w:rsidP="007413B9">
      <w:pPr>
        <w:numPr>
          <w:ilvl w:val="0"/>
          <w:numId w:val="12"/>
        </w:numPr>
      </w:pPr>
      <w:r w:rsidRPr="007413B9">
        <w:t>申请人主张：</w:t>
      </w:r>
      <w:r w:rsidRPr="007413B9">
        <w:br/>
      </w:r>
      <w:r w:rsidRPr="007413B9">
        <w:t>在涉及高复杂度金融投资的案件中，</w:t>
      </w:r>
      <w:r w:rsidRPr="007413B9">
        <w:br/>
      </w:r>
      <w:r w:rsidRPr="007413B9">
        <w:rPr>
          <w:b/>
          <w:bCs/>
        </w:rPr>
        <w:t>没有独立的金融投资专家，程序就无法达到基本公正标准。</w:t>
      </w:r>
    </w:p>
    <w:p w14:paraId="7208A738" w14:textId="77777777" w:rsidR="007413B9" w:rsidRPr="007413B9" w:rsidRDefault="007413B9" w:rsidP="007413B9">
      <w:pPr>
        <w:numPr>
          <w:ilvl w:val="0"/>
          <w:numId w:val="12"/>
        </w:numPr>
      </w:pPr>
      <w:r w:rsidRPr="007413B9">
        <w:t>上述</w:t>
      </w:r>
      <w:r w:rsidRPr="007413B9">
        <w:t>“</w:t>
      </w:r>
      <w:r w:rsidRPr="007413B9">
        <w:t>专家</w:t>
      </w:r>
      <w:r w:rsidRPr="007413B9">
        <w:t>”</w:t>
      </w:r>
      <w:r w:rsidRPr="007413B9">
        <w:t>提供的意见多次出现误解、错误引用、忽略关键资金流动等情况，甚至与法庭记录、投资人证据不一致。</w:t>
      </w:r>
    </w:p>
    <w:p w14:paraId="51040AE6" w14:textId="77777777" w:rsidR="007413B9" w:rsidRPr="007413B9" w:rsidRDefault="007413B9" w:rsidP="007413B9">
      <w:pPr>
        <w:numPr>
          <w:ilvl w:val="0"/>
          <w:numId w:val="12"/>
        </w:numPr>
      </w:pPr>
      <w:r w:rsidRPr="007413B9">
        <w:t>申请人认为专家不足造成对其评价的严重偏差，影响法院的判断。</w:t>
      </w:r>
    </w:p>
    <w:p w14:paraId="232307A0" w14:textId="77777777" w:rsidR="007413B9" w:rsidRPr="007413B9" w:rsidRDefault="007413B9" w:rsidP="007413B9">
      <w:r w:rsidRPr="007413B9">
        <w:pict w14:anchorId="2F91FFAD">
          <v:rect id="_x0000_i1071" style="width:0;height:1.5pt" o:hralign="center" o:hrstd="t" o:hr="t" fillcolor="#a0a0a0" stroked="f"/>
        </w:pict>
      </w:r>
    </w:p>
    <w:p w14:paraId="11E85873" w14:textId="77777777" w:rsidR="007413B9" w:rsidRPr="007413B9" w:rsidRDefault="007413B9" w:rsidP="007413B9">
      <w:pPr>
        <w:rPr>
          <w:b/>
          <w:bCs/>
        </w:rPr>
      </w:pPr>
      <w:r w:rsidRPr="007413B9">
        <w:rPr>
          <w:b/>
          <w:bCs/>
        </w:rPr>
        <w:t>**E. Pre-Trail Publicity and Reputational Harm</w:t>
      </w:r>
    </w:p>
    <w:p w14:paraId="1995E6A8" w14:textId="77777777" w:rsidR="007413B9" w:rsidRPr="007413B9" w:rsidRDefault="007413B9" w:rsidP="007413B9">
      <w:r w:rsidRPr="007413B9">
        <w:t>审前宣传与名誉损害</w:t>
      </w:r>
      <w:r w:rsidRPr="007413B9">
        <w:t>**</w:t>
      </w:r>
    </w:p>
    <w:p w14:paraId="26BE7B52" w14:textId="77777777" w:rsidR="007413B9" w:rsidRPr="007413B9" w:rsidRDefault="007413B9" w:rsidP="007413B9">
      <w:pPr>
        <w:numPr>
          <w:ilvl w:val="0"/>
          <w:numId w:val="13"/>
        </w:numPr>
      </w:pPr>
      <w:r w:rsidRPr="007413B9">
        <w:t xml:space="preserve">OSC </w:t>
      </w:r>
      <w:r w:rsidRPr="007413B9">
        <w:t>在未审判前已经：</w:t>
      </w:r>
    </w:p>
    <w:p w14:paraId="748DCCC8" w14:textId="77777777" w:rsidR="007413B9" w:rsidRPr="007413B9" w:rsidRDefault="007413B9" w:rsidP="007413B9">
      <w:pPr>
        <w:numPr>
          <w:ilvl w:val="0"/>
          <w:numId w:val="14"/>
        </w:numPr>
      </w:pPr>
      <w:r w:rsidRPr="007413B9">
        <w:t>对外发布负面新闻稿</w:t>
      </w:r>
    </w:p>
    <w:p w14:paraId="7EF6063E" w14:textId="77777777" w:rsidR="007413B9" w:rsidRPr="007413B9" w:rsidRDefault="007413B9" w:rsidP="007413B9">
      <w:pPr>
        <w:numPr>
          <w:ilvl w:val="0"/>
          <w:numId w:val="14"/>
        </w:numPr>
      </w:pPr>
      <w:r w:rsidRPr="007413B9">
        <w:lastRenderedPageBreak/>
        <w:t>主动与媒体沟通</w:t>
      </w:r>
    </w:p>
    <w:p w14:paraId="3F5A86D0" w14:textId="77777777" w:rsidR="007413B9" w:rsidRPr="007413B9" w:rsidRDefault="007413B9" w:rsidP="007413B9">
      <w:pPr>
        <w:numPr>
          <w:ilvl w:val="0"/>
          <w:numId w:val="14"/>
        </w:numPr>
      </w:pPr>
      <w:r w:rsidRPr="007413B9">
        <w:t>暗示申请人存在严重不当行为</w:t>
      </w:r>
    </w:p>
    <w:p w14:paraId="0EF2B102" w14:textId="77777777" w:rsidR="007413B9" w:rsidRPr="007413B9" w:rsidRDefault="007413B9" w:rsidP="007413B9">
      <w:pPr>
        <w:numPr>
          <w:ilvl w:val="0"/>
          <w:numId w:val="15"/>
        </w:numPr>
      </w:pPr>
      <w:r w:rsidRPr="007413B9">
        <w:t>媒体随后大规模报道，使申请人的名誉遭受严重损害，甚至在审判开始前就被公众视为有罪。</w:t>
      </w:r>
    </w:p>
    <w:p w14:paraId="0F7D4C3B" w14:textId="77777777" w:rsidR="007413B9" w:rsidRPr="007413B9" w:rsidRDefault="007413B9" w:rsidP="007413B9">
      <w:pPr>
        <w:numPr>
          <w:ilvl w:val="0"/>
          <w:numId w:val="15"/>
        </w:numPr>
      </w:pPr>
      <w:r w:rsidRPr="007413B9">
        <w:t>这是与</w:t>
      </w:r>
      <w:r w:rsidRPr="007413B9">
        <w:t xml:space="preserve"> </w:t>
      </w:r>
      <w:r w:rsidRPr="007413B9">
        <w:rPr>
          <w:b/>
          <w:bCs/>
        </w:rPr>
        <w:t xml:space="preserve">Section 11(d) </w:t>
      </w:r>
      <w:r w:rsidRPr="007413B9">
        <w:rPr>
          <w:b/>
          <w:bCs/>
        </w:rPr>
        <w:t>无罪推定</w:t>
      </w:r>
      <w:r w:rsidRPr="007413B9">
        <w:t xml:space="preserve"> </w:t>
      </w:r>
      <w:r w:rsidRPr="007413B9">
        <w:t>直接冲突的制度性问题。</w:t>
      </w:r>
    </w:p>
    <w:p w14:paraId="54E2373E" w14:textId="77777777" w:rsidR="007413B9" w:rsidRPr="007413B9" w:rsidRDefault="007413B9" w:rsidP="007413B9">
      <w:pPr>
        <w:numPr>
          <w:ilvl w:val="0"/>
          <w:numId w:val="15"/>
        </w:numPr>
      </w:pPr>
      <w:r w:rsidRPr="007413B9">
        <w:t>申请人指出：在当前法律文化中，普通公民往往担心</w:t>
      </w:r>
      <w:r w:rsidRPr="007413B9">
        <w:t>“</w:t>
      </w:r>
      <w:r w:rsidRPr="007413B9">
        <w:t>诽谤风险</w:t>
      </w:r>
      <w:r w:rsidRPr="007413B9">
        <w:t>”</w:t>
      </w:r>
      <w:r w:rsidRPr="007413B9">
        <w:t>，不敢公开指出程序上的不当，从而加剧了监管与个人之间的权力不对等。</w:t>
      </w:r>
    </w:p>
    <w:p w14:paraId="056E2E21" w14:textId="77777777" w:rsidR="007413B9" w:rsidRPr="007413B9" w:rsidRDefault="007413B9" w:rsidP="007413B9">
      <w:r w:rsidRPr="007413B9">
        <w:pict w14:anchorId="0F0A4B32">
          <v:rect id="_x0000_i1072" style="width:0;height:1.5pt" o:hralign="center" o:hrstd="t" o:hr="t" fillcolor="#a0a0a0" stroked="f"/>
        </w:pict>
      </w:r>
    </w:p>
    <w:p w14:paraId="6EEC4AFA" w14:textId="77777777" w:rsidR="007413B9" w:rsidRPr="007413B9" w:rsidRDefault="007413B9" w:rsidP="007413B9">
      <w:pPr>
        <w:rPr>
          <w:b/>
          <w:bCs/>
        </w:rPr>
      </w:pPr>
      <w:r w:rsidRPr="007413B9">
        <w:rPr>
          <w:b/>
          <w:bCs/>
        </w:rPr>
        <w:t>**F. Long-term Consequences</w:t>
      </w:r>
    </w:p>
    <w:p w14:paraId="7A05525A" w14:textId="77777777" w:rsidR="007413B9" w:rsidRPr="007413B9" w:rsidRDefault="007413B9" w:rsidP="007413B9">
      <w:r w:rsidRPr="007413B9">
        <w:t>长期影响</w:t>
      </w:r>
      <w:r w:rsidRPr="007413B9">
        <w:t>**</w:t>
      </w:r>
    </w:p>
    <w:p w14:paraId="39353883" w14:textId="77777777" w:rsidR="007413B9" w:rsidRPr="007413B9" w:rsidRDefault="007413B9" w:rsidP="007413B9">
      <w:pPr>
        <w:numPr>
          <w:ilvl w:val="0"/>
          <w:numId w:val="16"/>
        </w:numPr>
      </w:pPr>
      <w:r w:rsidRPr="007413B9">
        <w:t>本案的监管措施及后续程序，对申请人造成：</w:t>
      </w:r>
    </w:p>
    <w:p w14:paraId="49C5D022" w14:textId="77777777" w:rsidR="007413B9" w:rsidRPr="007413B9" w:rsidRDefault="007413B9" w:rsidP="007413B9">
      <w:pPr>
        <w:numPr>
          <w:ilvl w:val="0"/>
          <w:numId w:val="17"/>
        </w:numPr>
      </w:pPr>
      <w:r w:rsidRPr="007413B9">
        <w:t xml:space="preserve">16 </w:t>
      </w:r>
      <w:r w:rsidRPr="007413B9">
        <w:t>年无法交易</w:t>
      </w:r>
    </w:p>
    <w:p w14:paraId="44CE7A53" w14:textId="77777777" w:rsidR="007413B9" w:rsidRPr="007413B9" w:rsidRDefault="007413B9" w:rsidP="007413B9">
      <w:pPr>
        <w:numPr>
          <w:ilvl w:val="0"/>
          <w:numId w:val="17"/>
        </w:numPr>
      </w:pPr>
      <w:r w:rsidRPr="007413B9">
        <w:t xml:space="preserve">16 </w:t>
      </w:r>
      <w:r w:rsidRPr="007413B9">
        <w:t>年无法正常谋生</w:t>
      </w:r>
    </w:p>
    <w:p w14:paraId="4037910D" w14:textId="77777777" w:rsidR="007413B9" w:rsidRPr="007413B9" w:rsidRDefault="007413B9" w:rsidP="007413B9">
      <w:pPr>
        <w:numPr>
          <w:ilvl w:val="0"/>
          <w:numId w:val="17"/>
        </w:numPr>
      </w:pPr>
      <w:r w:rsidRPr="007413B9">
        <w:t>家庭财产损失</w:t>
      </w:r>
    </w:p>
    <w:p w14:paraId="2EC483D4" w14:textId="77777777" w:rsidR="007413B9" w:rsidRPr="007413B9" w:rsidRDefault="007413B9" w:rsidP="007413B9">
      <w:pPr>
        <w:numPr>
          <w:ilvl w:val="0"/>
          <w:numId w:val="17"/>
        </w:numPr>
      </w:pPr>
      <w:r w:rsidRPr="007413B9">
        <w:t>长期心理压力</w:t>
      </w:r>
    </w:p>
    <w:p w14:paraId="44022944" w14:textId="77777777" w:rsidR="007413B9" w:rsidRPr="007413B9" w:rsidRDefault="007413B9" w:rsidP="007413B9">
      <w:pPr>
        <w:numPr>
          <w:ilvl w:val="0"/>
          <w:numId w:val="17"/>
        </w:numPr>
      </w:pPr>
      <w:r w:rsidRPr="007413B9">
        <w:t>社区影响力中断</w:t>
      </w:r>
    </w:p>
    <w:p w14:paraId="21F5F9F6" w14:textId="77777777" w:rsidR="007413B9" w:rsidRPr="007413B9" w:rsidRDefault="007413B9" w:rsidP="007413B9">
      <w:pPr>
        <w:numPr>
          <w:ilvl w:val="0"/>
          <w:numId w:val="18"/>
        </w:numPr>
      </w:pPr>
      <w:r w:rsidRPr="007413B9">
        <w:t>这已经远远超过监管目的所需，构成实质性的</w:t>
      </w:r>
      <w:r w:rsidRPr="007413B9">
        <w:t xml:space="preserve"> </w:t>
      </w:r>
      <w:r w:rsidRPr="007413B9">
        <w:rPr>
          <w:b/>
          <w:bCs/>
        </w:rPr>
        <w:t>经济</w:t>
      </w:r>
      <w:r w:rsidRPr="007413B9">
        <w:rPr>
          <w:b/>
          <w:bCs/>
        </w:rPr>
        <w:t>“</w:t>
      </w:r>
      <w:r w:rsidRPr="007413B9">
        <w:rPr>
          <w:b/>
          <w:bCs/>
        </w:rPr>
        <w:t>民事死亡</w:t>
      </w:r>
      <w:r w:rsidRPr="007413B9">
        <w:rPr>
          <w:b/>
          <w:bCs/>
        </w:rPr>
        <w:t>”</w:t>
      </w:r>
      <w:r w:rsidRPr="007413B9">
        <w:t xml:space="preserve"> </w:t>
      </w:r>
      <w:r w:rsidRPr="007413B9">
        <w:t>效果。</w:t>
      </w:r>
    </w:p>
    <w:p w14:paraId="74830730" w14:textId="77777777" w:rsidR="007413B9" w:rsidRPr="007413B9" w:rsidRDefault="007413B9" w:rsidP="007413B9">
      <w:r w:rsidRPr="007413B9">
        <w:pict w14:anchorId="18F36B3F">
          <v:rect id="_x0000_i1073" style="width:0;height:1.5pt" o:hralign="center" o:hrstd="t" o:hr="t" fillcolor="#a0a0a0" stroked="f"/>
        </w:pict>
      </w:r>
    </w:p>
    <w:p w14:paraId="61B7BED0" w14:textId="77777777" w:rsidR="007413B9" w:rsidRPr="007413B9" w:rsidRDefault="007413B9" w:rsidP="007413B9">
      <w:pPr>
        <w:rPr>
          <w:b/>
          <w:bCs/>
        </w:rPr>
      </w:pPr>
      <w:r w:rsidRPr="007413B9">
        <w:rPr>
          <w:rFonts w:ascii="Segoe UI Emoji" w:hAnsi="Segoe UI Emoji" w:cs="Segoe UI Emoji"/>
          <w:b/>
          <w:bCs/>
        </w:rPr>
        <w:t>📌</w:t>
      </w:r>
      <w:r w:rsidRPr="007413B9">
        <w:rPr>
          <w:b/>
          <w:bCs/>
        </w:rPr>
        <w:t xml:space="preserve"> Part II </w:t>
      </w:r>
      <w:r w:rsidRPr="007413B9">
        <w:rPr>
          <w:b/>
          <w:bCs/>
        </w:rPr>
        <w:t>完成。</w:t>
      </w:r>
    </w:p>
    <w:p w14:paraId="61200D7F" w14:textId="77777777" w:rsidR="007413B9" w:rsidRPr="007413B9" w:rsidRDefault="007413B9" w:rsidP="007413B9">
      <w:r w:rsidRPr="007413B9">
        <w:t>下一步进入：</w:t>
      </w:r>
    </w:p>
    <w:p w14:paraId="25B2BC78" w14:textId="77777777" w:rsidR="007413B9" w:rsidRPr="007413B9" w:rsidRDefault="007413B9" w:rsidP="007413B9">
      <w:pPr>
        <w:rPr>
          <w:b/>
          <w:bCs/>
        </w:rPr>
      </w:pPr>
      <w:r w:rsidRPr="007413B9">
        <w:rPr>
          <w:rFonts w:ascii="Segoe UI Emoji" w:hAnsi="Segoe UI Emoji" w:cs="Segoe UI Emoji"/>
          <w:b/>
          <w:bCs/>
        </w:rPr>
        <w:t>📘</w:t>
      </w:r>
      <w:r w:rsidRPr="007413B9">
        <w:rPr>
          <w:b/>
          <w:bCs/>
        </w:rPr>
        <w:t xml:space="preserve"> **Court Version – Part III</w:t>
      </w:r>
    </w:p>
    <w:p w14:paraId="54F520AF" w14:textId="77777777" w:rsidR="007413B9" w:rsidRPr="007413B9" w:rsidRDefault="007413B9" w:rsidP="007413B9">
      <w:r w:rsidRPr="007413B9">
        <w:t>法律论证（</w:t>
      </w:r>
      <w:r w:rsidRPr="007413B9">
        <w:t>Legal Argument</w:t>
      </w:r>
      <w:r w:rsidRPr="007413B9">
        <w:t>）</w:t>
      </w:r>
      <w:r w:rsidRPr="007413B9">
        <w:br/>
        <w:t>— Section 7</w:t>
      </w:r>
      <w:r w:rsidRPr="007413B9">
        <w:t>、</w:t>
      </w:r>
      <w:r w:rsidRPr="007413B9">
        <w:t>11(d)</w:t>
      </w:r>
      <w:r w:rsidRPr="007413B9">
        <w:t>、</w:t>
      </w:r>
      <w:r w:rsidRPr="007413B9">
        <w:t xml:space="preserve">15 </w:t>
      </w:r>
      <w:r w:rsidRPr="007413B9">
        <w:t>宪章申请核心章节</w:t>
      </w:r>
      <w:r w:rsidRPr="007413B9">
        <w:t>**</w:t>
      </w:r>
    </w:p>
    <w:p w14:paraId="5AF3B24A" w14:textId="77777777" w:rsidR="007413B9" w:rsidRPr="007413B9" w:rsidRDefault="007413B9" w:rsidP="007413B9">
      <w:r w:rsidRPr="007413B9">
        <w:t>这是你整个法律战最重要的一章。</w:t>
      </w:r>
    </w:p>
    <w:p w14:paraId="0DE8D9B4" w14:textId="77777777" w:rsidR="00D72BA7" w:rsidRDefault="00D72BA7"/>
    <w:sectPr w:rsidR="00D72B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DB5"/>
    <w:multiLevelType w:val="multilevel"/>
    <w:tmpl w:val="AF56F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918B3"/>
    <w:multiLevelType w:val="multilevel"/>
    <w:tmpl w:val="7B62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D00BE"/>
    <w:multiLevelType w:val="multilevel"/>
    <w:tmpl w:val="50FAF1B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E39A4"/>
    <w:multiLevelType w:val="multilevel"/>
    <w:tmpl w:val="ECE2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F0B86"/>
    <w:multiLevelType w:val="multilevel"/>
    <w:tmpl w:val="8A7C5BF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C162F7"/>
    <w:multiLevelType w:val="multilevel"/>
    <w:tmpl w:val="F506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F28A9"/>
    <w:multiLevelType w:val="multilevel"/>
    <w:tmpl w:val="486E380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FB1F7D"/>
    <w:multiLevelType w:val="multilevel"/>
    <w:tmpl w:val="7332EA4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9015D7"/>
    <w:multiLevelType w:val="multilevel"/>
    <w:tmpl w:val="3B686C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508E6"/>
    <w:multiLevelType w:val="multilevel"/>
    <w:tmpl w:val="4190B41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309E4"/>
    <w:multiLevelType w:val="multilevel"/>
    <w:tmpl w:val="293E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C6581A"/>
    <w:multiLevelType w:val="multilevel"/>
    <w:tmpl w:val="4ED6DAA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5357A9"/>
    <w:multiLevelType w:val="multilevel"/>
    <w:tmpl w:val="50AC46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C70056"/>
    <w:multiLevelType w:val="multilevel"/>
    <w:tmpl w:val="18F24B1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82709F"/>
    <w:multiLevelType w:val="multilevel"/>
    <w:tmpl w:val="AF282D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E84EA0"/>
    <w:multiLevelType w:val="multilevel"/>
    <w:tmpl w:val="4092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1600B4"/>
    <w:multiLevelType w:val="multilevel"/>
    <w:tmpl w:val="4AFE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657703"/>
    <w:multiLevelType w:val="multilevel"/>
    <w:tmpl w:val="1136B72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2995773">
    <w:abstractNumId w:val="0"/>
  </w:num>
  <w:num w:numId="2" w16cid:durableId="224877222">
    <w:abstractNumId w:val="14"/>
  </w:num>
  <w:num w:numId="3" w16cid:durableId="1120957783">
    <w:abstractNumId w:val="16"/>
  </w:num>
  <w:num w:numId="4" w16cid:durableId="1748768932">
    <w:abstractNumId w:val="12"/>
  </w:num>
  <w:num w:numId="5" w16cid:durableId="1373732082">
    <w:abstractNumId w:val="1"/>
  </w:num>
  <w:num w:numId="6" w16cid:durableId="1985624159">
    <w:abstractNumId w:val="8"/>
  </w:num>
  <w:num w:numId="7" w16cid:durableId="1361585070">
    <w:abstractNumId w:val="13"/>
  </w:num>
  <w:num w:numId="8" w16cid:durableId="1479304198">
    <w:abstractNumId w:val="5"/>
  </w:num>
  <w:num w:numId="9" w16cid:durableId="1122266406">
    <w:abstractNumId w:val="2"/>
  </w:num>
  <w:num w:numId="10" w16cid:durableId="542866863">
    <w:abstractNumId w:val="7"/>
  </w:num>
  <w:num w:numId="11" w16cid:durableId="348676667">
    <w:abstractNumId w:val="3"/>
  </w:num>
  <w:num w:numId="12" w16cid:durableId="634026378">
    <w:abstractNumId w:val="9"/>
  </w:num>
  <w:num w:numId="13" w16cid:durableId="673843565">
    <w:abstractNumId w:val="17"/>
  </w:num>
  <w:num w:numId="14" w16cid:durableId="2142381129">
    <w:abstractNumId w:val="15"/>
  </w:num>
  <w:num w:numId="15" w16cid:durableId="21328173">
    <w:abstractNumId w:val="11"/>
  </w:num>
  <w:num w:numId="16" w16cid:durableId="769817172">
    <w:abstractNumId w:val="4"/>
  </w:num>
  <w:num w:numId="17" w16cid:durableId="227770183">
    <w:abstractNumId w:val="10"/>
  </w:num>
  <w:num w:numId="18" w16cid:durableId="19240271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B9"/>
    <w:rsid w:val="00076DF8"/>
    <w:rsid w:val="001417BC"/>
    <w:rsid w:val="00396B73"/>
    <w:rsid w:val="0045410B"/>
    <w:rsid w:val="005962FC"/>
    <w:rsid w:val="00636F31"/>
    <w:rsid w:val="007413B9"/>
    <w:rsid w:val="009608F3"/>
    <w:rsid w:val="00D72BA7"/>
    <w:rsid w:val="00F70C1D"/>
    <w:rsid w:val="00FE2B3B"/>
    <w:rsid w:val="00FE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4CEEE"/>
  <w15:chartTrackingRefBased/>
  <w15:docId w15:val="{2A974C95-5EBB-4E7C-8D5C-E3FEABCB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3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3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3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3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3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3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3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Weizhen Tang</dc:creator>
  <cp:keywords/>
  <dc:description/>
  <cp:lastModifiedBy>Weizhen Tang</cp:lastModifiedBy>
  <cp:revision>1</cp:revision>
  <dcterms:created xsi:type="dcterms:W3CDTF">2025-12-01T12:37:00Z</dcterms:created>
  <dcterms:modified xsi:type="dcterms:W3CDTF">2025-12-01T12:47:00Z</dcterms:modified>
</cp:coreProperties>
</file>