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Scott Stein is a New York-based pianist, songwriter, conductor and music director. A native of Akron, OH and the son of a cantor himself, Scott holds a B.M. in Composition from The Ohio State University. An in-demand accompanist and collaborator, Scott has served as musical director for a number of new theatrical works including productions at NYMF and the NY Fringe Festival. He is currently the conductor of four choral / vocal ensembles including HaZamir Manhattan and is a faculty member at Molloy College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 xml:space="preserve">s CAP21 musical theater conservatory as well as the Jewish Theological Seminary. In addition, Scott is an acclaimed singer/songwriter drawing comparisons to Bruce Hornsby and Elton John. His most recent CD, </w:t>
      </w: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Traveling Companion</w:t>
      </w:r>
      <w:r>
        <w:rPr>
          <w:rFonts w:ascii="Times" w:hAnsi="Times"/>
          <w:sz w:val="24"/>
          <w:szCs w:val="24"/>
          <w:rtl w:val="0"/>
          <w:lang w:val="en-US"/>
        </w:rPr>
        <w:t xml:space="preserve">, was released in 2016. 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instrText xml:space="preserve"> HYPERLINK "http://www.scottsteinmusic.com/"</w:instrTex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/>
          <w:color w:val="0000ee"/>
          <w:sz w:val="24"/>
          <w:szCs w:val="24"/>
          <w:u w:val="single"/>
          <w:rtl w:val="0"/>
          <w:lang w:val="de-DE"/>
        </w:rPr>
        <w:t>www.scottsteinmusic.com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ee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