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02B9" w14:textId="4F38D141" w:rsidR="00DD7DA9" w:rsidRPr="00DD7DA9" w:rsidRDefault="005F5648" w:rsidP="0031225A">
      <w:pPr>
        <w:rPr>
          <w:rFonts w:ascii="Garamond" w:hAnsi="Garamond"/>
          <w:sz w:val="24"/>
          <w:szCs w:val="24"/>
        </w:rPr>
      </w:pPr>
      <w:r>
        <w:rPr>
          <w:rFonts w:ascii="Garamond" w:hAnsi="Garamond"/>
          <w:noProof/>
          <w:sz w:val="24"/>
          <w:szCs w:val="24"/>
        </w:rPr>
        <w:t>6</w:t>
      </w:r>
      <w:r w:rsidR="00DD7DA9" w:rsidRPr="00DD7DA9">
        <w:rPr>
          <w:rFonts w:ascii="Garamond" w:hAnsi="Garamond"/>
          <w:noProof/>
          <w:sz w:val="24"/>
          <w:szCs w:val="24"/>
        </w:rPr>
        <w:t xml:space="preserve"> October 2021</w:t>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06357D" w:rsidRPr="00DD7DA9">
        <w:rPr>
          <w:rFonts w:ascii="Garamond" w:hAnsi="Garamond"/>
          <w:sz w:val="24"/>
          <w:szCs w:val="24"/>
        </w:rPr>
        <w:br/>
      </w:r>
      <w:r w:rsidR="0006357D" w:rsidRPr="00DD7DA9">
        <w:rPr>
          <w:rFonts w:ascii="Garamond" w:hAnsi="Garamond"/>
          <w:sz w:val="24"/>
          <w:szCs w:val="24"/>
        </w:rPr>
        <w:br/>
      </w:r>
      <w:r w:rsidR="0006357D" w:rsidRPr="00DD7DA9">
        <w:rPr>
          <w:rFonts w:ascii="Garamond" w:hAnsi="Garamond"/>
          <w:sz w:val="24"/>
          <w:szCs w:val="24"/>
        </w:rPr>
        <w:br/>
      </w:r>
      <w:r w:rsidR="00DD7DA9" w:rsidRPr="00DC0FFA">
        <w:rPr>
          <w:rFonts w:ascii="Garamond" w:hAnsi="Garamond"/>
          <w:sz w:val="24"/>
          <w:szCs w:val="24"/>
        </w:rPr>
        <w:t>The Premier Mr Daniel Andrews (Victoria)</w:t>
      </w:r>
      <w:r w:rsidR="00DD7DA9" w:rsidRPr="00DC0FFA">
        <w:rPr>
          <w:rFonts w:ascii="Garamond" w:hAnsi="Garamond"/>
          <w:sz w:val="24"/>
          <w:szCs w:val="24"/>
        </w:rPr>
        <w:br/>
        <w:t xml:space="preserve">Email: </w:t>
      </w:r>
      <w:hyperlink r:id="rId8" w:history="1">
        <w:r w:rsidR="00DD7DA9" w:rsidRPr="00DC0FFA">
          <w:rPr>
            <w:rStyle w:val="Hyperlink"/>
            <w:rFonts w:ascii="Garamond" w:hAnsi="Garamond"/>
            <w:sz w:val="24"/>
            <w:szCs w:val="24"/>
          </w:rPr>
          <w:t>daniel.andrews@parliament.vic.gov.au</w:t>
        </w:r>
      </w:hyperlink>
      <w:r w:rsidR="00DD7DA9" w:rsidRPr="00DC0FFA">
        <w:rPr>
          <w:rFonts w:ascii="Garamond" w:hAnsi="Garamond"/>
          <w:sz w:val="24"/>
          <w:szCs w:val="24"/>
        </w:rPr>
        <w:br/>
      </w:r>
      <w:r w:rsidR="00DD7DA9" w:rsidRPr="00DC0FFA">
        <w:rPr>
          <w:rFonts w:ascii="Garamond" w:hAnsi="Garamond"/>
          <w:sz w:val="24"/>
          <w:szCs w:val="24"/>
        </w:rPr>
        <w:br/>
        <w:t xml:space="preserve">The Chief Health Officer </w:t>
      </w:r>
      <w:r w:rsidR="00CE3AF8" w:rsidRPr="00DC0FFA">
        <w:rPr>
          <w:rFonts w:ascii="Garamond" w:hAnsi="Garamond"/>
          <w:sz w:val="24"/>
          <w:szCs w:val="24"/>
        </w:rPr>
        <w:t>Professor Brett Sutton</w:t>
      </w:r>
      <w:r w:rsidR="00DD7DA9" w:rsidRPr="00DC0FFA">
        <w:rPr>
          <w:rFonts w:ascii="Garamond" w:hAnsi="Garamond"/>
          <w:sz w:val="24"/>
          <w:szCs w:val="24"/>
        </w:rPr>
        <w:t xml:space="preserve"> (Victoria</w:t>
      </w:r>
      <w:r w:rsidR="00DC0FFA" w:rsidRPr="00DC0FFA">
        <w:rPr>
          <w:rFonts w:ascii="Garamond" w:hAnsi="Garamond"/>
          <w:sz w:val="24"/>
          <w:szCs w:val="24"/>
        </w:rPr>
        <w:t>)</w:t>
      </w:r>
      <w:r w:rsidR="00DC0FFA" w:rsidRPr="00DC0FFA">
        <w:rPr>
          <w:rFonts w:ascii="Garamond" w:hAnsi="Garamond"/>
          <w:sz w:val="24"/>
          <w:szCs w:val="24"/>
        </w:rPr>
        <w:br/>
        <w:t xml:space="preserve">Email: </w:t>
      </w:r>
      <w:hyperlink r:id="rId9" w:history="1">
        <w:r w:rsidR="00DC0FFA" w:rsidRPr="00DC0FFA">
          <w:rPr>
            <w:rStyle w:val="Hyperlink"/>
            <w:rFonts w:ascii="Garamond" w:hAnsi="Garamond" w:cs="Arial"/>
            <w:sz w:val="24"/>
            <w:szCs w:val="24"/>
            <w:shd w:val="clear" w:color="auto" w:fill="FFFFFF"/>
          </w:rPr>
          <w:t>officeofcho@health.vic.gov.au</w:t>
        </w:r>
      </w:hyperlink>
      <w:r w:rsidR="00DC0FFA">
        <w:rPr>
          <w:rFonts w:ascii="Arial" w:hAnsi="Arial" w:cs="Arial"/>
          <w:color w:val="4D5156"/>
          <w:sz w:val="21"/>
          <w:szCs w:val="21"/>
          <w:shd w:val="clear" w:color="auto" w:fill="FFFFFF"/>
        </w:rPr>
        <w:t xml:space="preserve"> </w:t>
      </w:r>
      <w:r w:rsidR="00DD7DA9" w:rsidRPr="00DD7DA9">
        <w:rPr>
          <w:rFonts w:ascii="Garamond" w:hAnsi="Garamond"/>
          <w:sz w:val="24"/>
          <w:szCs w:val="24"/>
        </w:rPr>
        <w:br/>
      </w:r>
      <w:r w:rsidR="00DC0FFA">
        <w:rPr>
          <w:rFonts w:ascii="Garamond" w:hAnsi="Garamond"/>
          <w:sz w:val="24"/>
          <w:szCs w:val="24"/>
        </w:rPr>
        <w:br/>
      </w:r>
    </w:p>
    <w:p w14:paraId="515C3C6E" w14:textId="77777777" w:rsidR="00DC0FFA" w:rsidRDefault="0031225A" w:rsidP="00DC0FFA">
      <w:pPr>
        <w:rPr>
          <w:rFonts w:ascii="Garamond" w:hAnsi="Garamond"/>
          <w:sz w:val="24"/>
          <w:szCs w:val="24"/>
        </w:rPr>
      </w:pPr>
      <w:r w:rsidRPr="00DC0FFA">
        <w:rPr>
          <w:rFonts w:ascii="Garamond" w:hAnsi="Garamond"/>
          <w:sz w:val="24"/>
          <w:szCs w:val="24"/>
        </w:rPr>
        <w:t xml:space="preserve">Dear Mr </w:t>
      </w:r>
      <w:r w:rsidR="00DD7DA9" w:rsidRPr="00DC0FFA">
        <w:rPr>
          <w:rFonts w:ascii="Garamond" w:hAnsi="Garamond"/>
          <w:sz w:val="24"/>
          <w:szCs w:val="24"/>
        </w:rPr>
        <w:t>Andrews</w:t>
      </w:r>
      <w:r w:rsidR="00DC0FFA" w:rsidRPr="00DC0FFA">
        <w:rPr>
          <w:rFonts w:ascii="Garamond" w:hAnsi="Garamond"/>
          <w:sz w:val="24"/>
          <w:szCs w:val="24"/>
        </w:rPr>
        <w:t xml:space="preserve"> and Dr Sutton</w:t>
      </w:r>
      <w:r w:rsidRPr="00DD7DA9">
        <w:rPr>
          <w:rFonts w:ascii="Garamond" w:hAnsi="Garamond"/>
          <w:sz w:val="24"/>
          <w:szCs w:val="24"/>
        </w:rPr>
        <w:t>,</w:t>
      </w:r>
    </w:p>
    <w:p w14:paraId="21273470" w14:textId="506BC472" w:rsidR="0031225A" w:rsidRPr="00DD7DA9" w:rsidRDefault="0006357D" w:rsidP="00DC0FFA">
      <w:pPr>
        <w:jc w:val="center"/>
        <w:rPr>
          <w:rFonts w:ascii="Garamond" w:hAnsi="Garamond"/>
          <w:b/>
          <w:bCs/>
          <w:sz w:val="24"/>
          <w:szCs w:val="24"/>
        </w:rPr>
      </w:pPr>
      <w:r w:rsidRPr="005F5648">
        <w:rPr>
          <w:rFonts w:ascii="Garamond" w:hAnsi="Garamond"/>
          <w:b/>
          <w:bCs/>
          <w:sz w:val="24"/>
          <w:szCs w:val="24"/>
        </w:rPr>
        <w:t>For Your Urgent Attention</w:t>
      </w:r>
      <w:r w:rsidR="0031225A" w:rsidRPr="005F5648">
        <w:rPr>
          <w:rFonts w:ascii="Garamond" w:hAnsi="Garamond"/>
          <w:b/>
          <w:bCs/>
          <w:sz w:val="24"/>
          <w:szCs w:val="24"/>
        </w:rPr>
        <w:t xml:space="preserve">: </w:t>
      </w:r>
      <w:r w:rsidR="005F5648" w:rsidRPr="005F5648">
        <w:rPr>
          <w:rFonts w:ascii="Garamond" w:hAnsi="Garamond"/>
          <w:b/>
          <w:bCs/>
          <w:sz w:val="24"/>
          <w:szCs w:val="24"/>
        </w:rPr>
        <w:t>Vaccination of Authorised Workers</w:t>
      </w:r>
    </w:p>
    <w:p w14:paraId="30CE01C2" w14:textId="0185930E" w:rsidR="00DD7DA9" w:rsidRDefault="00C85B41" w:rsidP="00705A06">
      <w:pPr>
        <w:spacing w:line="276" w:lineRule="auto"/>
        <w:jc w:val="both"/>
        <w:rPr>
          <w:rFonts w:ascii="Garamond" w:hAnsi="Garamond"/>
          <w:sz w:val="24"/>
          <w:szCs w:val="24"/>
        </w:rPr>
      </w:pPr>
      <w:r>
        <w:rPr>
          <w:rFonts w:ascii="Garamond" w:hAnsi="Garamond"/>
          <w:sz w:val="24"/>
          <w:szCs w:val="24"/>
        </w:rPr>
        <w:t xml:space="preserve">My name is </w:t>
      </w:r>
      <w:r w:rsidRPr="00C85B41">
        <w:rPr>
          <w:rFonts w:ascii="Garamond" w:hAnsi="Garamond"/>
          <w:sz w:val="24"/>
          <w:szCs w:val="24"/>
          <w:highlight w:val="yellow"/>
        </w:rPr>
        <w:t>NAME</w:t>
      </w:r>
      <w:r>
        <w:rPr>
          <w:rFonts w:ascii="Garamond" w:hAnsi="Garamond"/>
          <w:sz w:val="24"/>
          <w:szCs w:val="24"/>
        </w:rPr>
        <w:t xml:space="preserve">. I am the </w:t>
      </w:r>
      <w:r w:rsidRPr="00C85B41">
        <w:rPr>
          <w:rFonts w:ascii="Garamond" w:hAnsi="Garamond"/>
          <w:sz w:val="24"/>
          <w:szCs w:val="24"/>
          <w:highlight w:val="yellow"/>
        </w:rPr>
        <w:t>DIRECTOR/MANAGER/SUPERVISOR/CEO</w:t>
      </w:r>
      <w:r>
        <w:rPr>
          <w:rFonts w:ascii="Garamond" w:hAnsi="Garamond"/>
          <w:sz w:val="24"/>
          <w:szCs w:val="24"/>
        </w:rPr>
        <w:t xml:space="preserve"> of </w:t>
      </w:r>
      <w:r w:rsidRPr="00C85B41">
        <w:rPr>
          <w:rFonts w:ascii="Garamond" w:hAnsi="Garamond"/>
          <w:sz w:val="24"/>
          <w:szCs w:val="24"/>
          <w:highlight w:val="yellow"/>
        </w:rPr>
        <w:t>COMPANY NAME</w:t>
      </w:r>
      <w:r w:rsidR="003A5F97">
        <w:rPr>
          <w:rFonts w:ascii="Garamond" w:hAnsi="Garamond"/>
          <w:sz w:val="24"/>
          <w:szCs w:val="24"/>
        </w:rPr>
        <w:t>.</w:t>
      </w:r>
      <w:r>
        <w:rPr>
          <w:rFonts w:ascii="Garamond" w:hAnsi="Garamond"/>
          <w:sz w:val="24"/>
          <w:szCs w:val="24"/>
        </w:rPr>
        <w:t xml:space="preserve"> </w:t>
      </w:r>
      <w:r w:rsidR="003A5F97">
        <w:rPr>
          <w:rFonts w:ascii="Garamond" w:hAnsi="Garamond"/>
          <w:sz w:val="24"/>
          <w:szCs w:val="24"/>
        </w:rPr>
        <w:t>I</w:t>
      </w:r>
      <w:r>
        <w:rPr>
          <w:rFonts w:ascii="Garamond" w:hAnsi="Garamond"/>
          <w:sz w:val="24"/>
          <w:szCs w:val="24"/>
        </w:rPr>
        <w:t xml:space="preserve"> have been in this position for </w:t>
      </w:r>
      <w:r w:rsidRPr="00C85B41">
        <w:rPr>
          <w:rFonts w:ascii="Garamond" w:hAnsi="Garamond"/>
          <w:sz w:val="24"/>
          <w:szCs w:val="24"/>
          <w:highlight w:val="yellow"/>
        </w:rPr>
        <w:t>X YEARS</w:t>
      </w:r>
      <w:r>
        <w:rPr>
          <w:rFonts w:ascii="Garamond" w:hAnsi="Garamond"/>
          <w:sz w:val="24"/>
          <w:szCs w:val="24"/>
        </w:rPr>
        <w:t xml:space="preserve">. There are </w:t>
      </w:r>
      <w:r w:rsidRPr="00C85B41">
        <w:rPr>
          <w:rFonts w:ascii="Garamond" w:hAnsi="Garamond"/>
          <w:sz w:val="24"/>
          <w:szCs w:val="24"/>
          <w:highlight w:val="yellow"/>
        </w:rPr>
        <w:t>X NUMBER</w:t>
      </w:r>
      <w:r>
        <w:rPr>
          <w:rFonts w:ascii="Garamond" w:hAnsi="Garamond"/>
          <w:sz w:val="24"/>
          <w:szCs w:val="24"/>
        </w:rPr>
        <w:t xml:space="preserve"> of employees who work for my company, and who rely on it to make a living. </w:t>
      </w:r>
    </w:p>
    <w:p w14:paraId="1798FD29" w14:textId="5BBB0FC1" w:rsidR="00C85B41" w:rsidRDefault="00C85B41" w:rsidP="00705A06">
      <w:pPr>
        <w:spacing w:line="276" w:lineRule="auto"/>
        <w:jc w:val="both"/>
        <w:rPr>
          <w:rFonts w:ascii="Garamond" w:hAnsi="Garamond"/>
          <w:sz w:val="24"/>
          <w:szCs w:val="24"/>
        </w:rPr>
      </w:pPr>
      <w:r>
        <w:rPr>
          <w:rFonts w:ascii="Garamond" w:hAnsi="Garamond"/>
          <w:sz w:val="24"/>
          <w:szCs w:val="24"/>
        </w:rPr>
        <w:t>I write to you in the aftermath of your Media Release dated 1 October 2021 (</w:t>
      </w:r>
      <w:r w:rsidRPr="00C85B41">
        <w:rPr>
          <w:rFonts w:ascii="Garamond" w:hAnsi="Garamond"/>
          <w:b/>
          <w:bCs/>
          <w:sz w:val="24"/>
          <w:szCs w:val="24"/>
        </w:rPr>
        <w:t>the Media Release</w:t>
      </w:r>
      <w:r>
        <w:rPr>
          <w:rFonts w:ascii="Garamond" w:hAnsi="Garamond"/>
          <w:sz w:val="24"/>
          <w:szCs w:val="24"/>
        </w:rPr>
        <w:t>), which states that:</w:t>
      </w:r>
    </w:p>
    <w:p w14:paraId="08139FBE" w14:textId="59BAB284" w:rsidR="00C85B41" w:rsidRDefault="00C85B41" w:rsidP="00705A06">
      <w:pPr>
        <w:spacing w:line="276" w:lineRule="auto"/>
        <w:ind w:left="720"/>
        <w:jc w:val="both"/>
        <w:rPr>
          <w:rFonts w:ascii="Garamond" w:hAnsi="Garamond"/>
          <w:sz w:val="24"/>
          <w:szCs w:val="24"/>
        </w:rPr>
      </w:pPr>
      <w:r w:rsidRPr="00C85B41">
        <w:rPr>
          <w:rFonts w:ascii="Garamond" w:hAnsi="Garamond"/>
          <w:sz w:val="24"/>
          <w:szCs w:val="24"/>
        </w:rPr>
        <w:t>On the advice of our public health team, all workers – in Melbourne and regional Victoria – on the Authorised Worker list will require their first Covid-19 vaccine dose by Friday, 15 October in order to continue working onsite. They will need to be fully vaccinated by 26 November.</w:t>
      </w:r>
    </w:p>
    <w:p w14:paraId="6A5F6963" w14:textId="5EFCCFDE" w:rsidR="00FE2891" w:rsidRPr="00C85B41" w:rsidRDefault="00FE2891" w:rsidP="00705A06">
      <w:pPr>
        <w:spacing w:line="276" w:lineRule="auto"/>
        <w:ind w:left="720"/>
        <w:jc w:val="both"/>
        <w:rPr>
          <w:rFonts w:ascii="Garamond" w:hAnsi="Garamond"/>
          <w:sz w:val="24"/>
          <w:szCs w:val="24"/>
        </w:rPr>
      </w:pPr>
      <w:r>
        <w:rPr>
          <w:rFonts w:ascii="Garamond" w:hAnsi="Garamond"/>
          <w:sz w:val="24"/>
          <w:szCs w:val="24"/>
        </w:rPr>
        <w:t>(</w:t>
      </w:r>
      <w:r w:rsidRPr="00FE2891">
        <w:rPr>
          <w:rFonts w:ascii="Garamond" w:hAnsi="Garamond"/>
          <w:b/>
          <w:bCs/>
          <w:sz w:val="24"/>
          <w:szCs w:val="24"/>
        </w:rPr>
        <w:t>the Vaccination Requirement</w:t>
      </w:r>
      <w:r>
        <w:rPr>
          <w:rFonts w:ascii="Garamond" w:hAnsi="Garamond"/>
          <w:sz w:val="24"/>
          <w:szCs w:val="24"/>
        </w:rPr>
        <w:t>)</w:t>
      </w:r>
    </w:p>
    <w:p w14:paraId="580B8ECA" w14:textId="6302CA7D" w:rsidR="00DD7DA9" w:rsidRDefault="00C85B41" w:rsidP="00705A06">
      <w:pPr>
        <w:spacing w:line="276" w:lineRule="auto"/>
        <w:jc w:val="both"/>
        <w:rPr>
          <w:rFonts w:ascii="Garamond" w:hAnsi="Garamond"/>
          <w:sz w:val="24"/>
          <w:szCs w:val="24"/>
        </w:rPr>
      </w:pPr>
      <w:r>
        <w:rPr>
          <w:rFonts w:ascii="Garamond" w:hAnsi="Garamond"/>
          <w:sz w:val="24"/>
          <w:szCs w:val="24"/>
        </w:rPr>
        <w:t>The purpose of this letter is</w:t>
      </w:r>
      <w:r w:rsidR="00BF74FE">
        <w:rPr>
          <w:rFonts w:ascii="Garamond" w:hAnsi="Garamond"/>
          <w:sz w:val="24"/>
          <w:szCs w:val="24"/>
        </w:rPr>
        <w:t xml:space="preserve"> </w:t>
      </w:r>
      <w:r w:rsidR="00DC0FFA">
        <w:rPr>
          <w:rFonts w:ascii="Garamond" w:hAnsi="Garamond"/>
          <w:sz w:val="24"/>
          <w:szCs w:val="24"/>
        </w:rPr>
        <w:t>to give you insight into the position you have put me in</w:t>
      </w:r>
      <w:r w:rsidR="00BF74FE">
        <w:rPr>
          <w:rFonts w:ascii="Garamond" w:hAnsi="Garamond"/>
          <w:sz w:val="24"/>
          <w:szCs w:val="24"/>
        </w:rPr>
        <w:t>. Your Media Release</w:t>
      </w:r>
      <w:r w:rsidR="00282484">
        <w:rPr>
          <w:rFonts w:ascii="Garamond" w:hAnsi="Garamond"/>
          <w:sz w:val="24"/>
          <w:szCs w:val="24"/>
        </w:rPr>
        <w:t>, albeit indirectly, forces me to</w:t>
      </w:r>
      <w:r w:rsidR="00BF74FE">
        <w:rPr>
          <w:rFonts w:ascii="Garamond" w:hAnsi="Garamond"/>
          <w:sz w:val="24"/>
          <w:szCs w:val="24"/>
        </w:rPr>
        <w:t xml:space="preserve"> implement your policy for you</w:t>
      </w:r>
      <w:r w:rsidR="00282484">
        <w:rPr>
          <w:rFonts w:ascii="Garamond" w:hAnsi="Garamond"/>
          <w:sz w:val="24"/>
          <w:szCs w:val="24"/>
        </w:rPr>
        <w:t>. This is not the job of employers in general, particularly</w:t>
      </w:r>
      <w:r w:rsidR="00BF74FE">
        <w:rPr>
          <w:rFonts w:ascii="Garamond" w:hAnsi="Garamond"/>
          <w:sz w:val="24"/>
          <w:szCs w:val="24"/>
        </w:rPr>
        <w:t xml:space="preserve"> in circumstances where th</w:t>
      </w:r>
      <w:r w:rsidR="00282484">
        <w:rPr>
          <w:rFonts w:ascii="Garamond" w:hAnsi="Garamond"/>
          <w:sz w:val="24"/>
          <w:szCs w:val="24"/>
        </w:rPr>
        <w:t>e</w:t>
      </w:r>
      <w:r w:rsidR="00BF74FE">
        <w:rPr>
          <w:rFonts w:ascii="Garamond" w:hAnsi="Garamond"/>
          <w:sz w:val="24"/>
          <w:szCs w:val="24"/>
        </w:rPr>
        <w:t xml:space="preserve"> policy </w:t>
      </w:r>
      <w:r w:rsidR="00282484">
        <w:rPr>
          <w:rFonts w:ascii="Garamond" w:hAnsi="Garamond"/>
          <w:sz w:val="24"/>
          <w:szCs w:val="24"/>
        </w:rPr>
        <w:t>you want me to implement is</w:t>
      </w:r>
      <w:r w:rsidR="00BF74FE">
        <w:rPr>
          <w:rFonts w:ascii="Garamond" w:hAnsi="Garamond"/>
          <w:sz w:val="24"/>
          <w:szCs w:val="24"/>
        </w:rPr>
        <w:t xml:space="preserve"> in breach of several other laws, including the Public Health and Wellbeing Act 2008 (Vic) itself</w:t>
      </w:r>
      <w:r w:rsidR="00282484">
        <w:rPr>
          <w:rFonts w:ascii="Garamond" w:hAnsi="Garamond"/>
          <w:sz w:val="24"/>
          <w:szCs w:val="24"/>
        </w:rPr>
        <w:t xml:space="preserve"> (</w:t>
      </w:r>
      <w:r w:rsidR="00282484" w:rsidRPr="00282484">
        <w:rPr>
          <w:rFonts w:ascii="Garamond" w:hAnsi="Garamond"/>
          <w:b/>
          <w:bCs/>
          <w:sz w:val="24"/>
          <w:szCs w:val="24"/>
        </w:rPr>
        <w:t>the PHW Act</w:t>
      </w:r>
      <w:r w:rsidR="00282484">
        <w:rPr>
          <w:rFonts w:ascii="Garamond" w:hAnsi="Garamond"/>
          <w:sz w:val="24"/>
          <w:szCs w:val="24"/>
        </w:rPr>
        <w:t>)</w:t>
      </w:r>
      <w:r w:rsidR="00BF74FE">
        <w:rPr>
          <w:rFonts w:ascii="Garamond" w:hAnsi="Garamond"/>
          <w:sz w:val="24"/>
          <w:szCs w:val="24"/>
        </w:rPr>
        <w:t>.</w:t>
      </w:r>
    </w:p>
    <w:p w14:paraId="6ED14A8B" w14:textId="5A08FCD5" w:rsidR="00C85B41" w:rsidRPr="00FE2891" w:rsidRDefault="00A65B3C" w:rsidP="00705A06">
      <w:pPr>
        <w:pStyle w:val="ListParagraph"/>
        <w:numPr>
          <w:ilvl w:val="0"/>
          <w:numId w:val="6"/>
        </w:numPr>
        <w:spacing w:line="276" w:lineRule="auto"/>
        <w:jc w:val="both"/>
        <w:rPr>
          <w:rFonts w:ascii="Garamond" w:hAnsi="Garamond"/>
          <w:b/>
          <w:bCs/>
          <w:sz w:val="24"/>
          <w:szCs w:val="24"/>
        </w:rPr>
      </w:pPr>
      <w:r>
        <w:rPr>
          <w:rFonts w:ascii="Garamond" w:hAnsi="Garamond"/>
          <w:b/>
          <w:bCs/>
          <w:sz w:val="24"/>
          <w:szCs w:val="24"/>
        </w:rPr>
        <w:t>You are asking me to implement your unlawful policy</w:t>
      </w:r>
    </w:p>
    <w:p w14:paraId="4735E9FC" w14:textId="77777777" w:rsidR="0081456D" w:rsidRDefault="0081456D" w:rsidP="00705A06">
      <w:pPr>
        <w:spacing w:line="276" w:lineRule="auto"/>
        <w:jc w:val="both"/>
        <w:rPr>
          <w:rFonts w:ascii="Garamond" w:hAnsi="Garamond"/>
          <w:i/>
          <w:iCs/>
          <w:sz w:val="24"/>
          <w:szCs w:val="24"/>
        </w:rPr>
      </w:pPr>
      <w:r>
        <w:rPr>
          <w:rFonts w:ascii="Garamond" w:hAnsi="Garamond"/>
          <w:i/>
          <w:iCs/>
          <w:sz w:val="24"/>
          <w:szCs w:val="24"/>
        </w:rPr>
        <w:t>The State of Emergency</w:t>
      </w:r>
    </w:p>
    <w:p w14:paraId="7A5E5078" w14:textId="2986BEF7" w:rsidR="0081456D" w:rsidRDefault="0081456D" w:rsidP="00705A06">
      <w:pPr>
        <w:spacing w:line="276" w:lineRule="auto"/>
        <w:jc w:val="both"/>
        <w:rPr>
          <w:rFonts w:ascii="Garamond" w:hAnsi="Garamond"/>
          <w:sz w:val="24"/>
          <w:szCs w:val="24"/>
        </w:rPr>
      </w:pPr>
      <w:r>
        <w:rPr>
          <w:rFonts w:ascii="Garamond" w:hAnsi="Garamond"/>
          <w:sz w:val="24"/>
          <w:szCs w:val="24"/>
        </w:rPr>
        <w:t>On 16 March 2020, the Minister for Health declar</w:t>
      </w:r>
      <w:r w:rsidR="003A5F97">
        <w:rPr>
          <w:rFonts w:ascii="Garamond" w:hAnsi="Garamond"/>
          <w:sz w:val="24"/>
          <w:szCs w:val="24"/>
        </w:rPr>
        <w:t>ed</w:t>
      </w:r>
      <w:r>
        <w:rPr>
          <w:rFonts w:ascii="Garamond" w:hAnsi="Garamond"/>
          <w:sz w:val="24"/>
          <w:szCs w:val="24"/>
        </w:rPr>
        <w:t xml:space="preserve"> a state of emergency throughout the state of Victoria under s198(1) of the PHW Act. </w:t>
      </w:r>
    </w:p>
    <w:p w14:paraId="0F420954" w14:textId="77777777" w:rsidR="0081456D" w:rsidRPr="008635ED" w:rsidRDefault="0081456D" w:rsidP="00705A06">
      <w:pPr>
        <w:spacing w:line="276" w:lineRule="auto"/>
        <w:jc w:val="both"/>
        <w:rPr>
          <w:rFonts w:ascii="Garamond" w:hAnsi="Garamond"/>
          <w:sz w:val="24"/>
          <w:szCs w:val="24"/>
        </w:rPr>
      </w:pPr>
      <w:r>
        <w:rPr>
          <w:rFonts w:ascii="Garamond" w:hAnsi="Garamond"/>
          <w:sz w:val="24"/>
          <w:szCs w:val="24"/>
        </w:rPr>
        <w:t>S198(7)(c) of the PHW Act notes that a Declaration of a state of emergency “</w:t>
      </w:r>
      <w:r w:rsidRPr="008635ED">
        <w:rPr>
          <w:rFonts w:ascii="Garamond" w:hAnsi="Garamond"/>
          <w:sz w:val="24"/>
          <w:szCs w:val="24"/>
        </w:rPr>
        <w:t xml:space="preserve">may be extended by another declaration for further periods not exceeding 4 weeks but the total period that the </w:t>
      </w:r>
      <w:r w:rsidRPr="008635ED">
        <w:rPr>
          <w:rFonts w:ascii="Garamond" w:hAnsi="Garamond"/>
          <w:sz w:val="24"/>
          <w:szCs w:val="24"/>
        </w:rPr>
        <w:lastRenderedPageBreak/>
        <w:t>declaration continues in force cannot exceed 6 months or, in the case of the emergency declaration in respect of the COVID-19 pandemic, 21 months</w:t>
      </w:r>
      <w:r>
        <w:rPr>
          <w:rFonts w:ascii="Garamond" w:hAnsi="Garamond"/>
          <w:sz w:val="24"/>
          <w:szCs w:val="24"/>
        </w:rPr>
        <w:t>”</w:t>
      </w:r>
      <w:r w:rsidRPr="008635ED">
        <w:rPr>
          <w:rFonts w:ascii="Garamond" w:hAnsi="Garamond"/>
          <w:sz w:val="24"/>
          <w:szCs w:val="24"/>
        </w:rPr>
        <w:t>.</w:t>
      </w:r>
      <w:r>
        <w:rPr>
          <w:rStyle w:val="FootnoteReference"/>
          <w:rFonts w:ascii="Garamond" w:hAnsi="Garamond"/>
          <w:sz w:val="24"/>
          <w:szCs w:val="24"/>
        </w:rPr>
        <w:footnoteReference w:id="1"/>
      </w:r>
    </w:p>
    <w:p w14:paraId="736C8732" w14:textId="1FE5155F" w:rsidR="0081456D" w:rsidRDefault="0081456D" w:rsidP="00705A06">
      <w:pPr>
        <w:spacing w:line="276" w:lineRule="auto"/>
        <w:jc w:val="both"/>
        <w:rPr>
          <w:rFonts w:ascii="Garamond" w:hAnsi="Garamond"/>
          <w:sz w:val="24"/>
          <w:szCs w:val="24"/>
        </w:rPr>
      </w:pPr>
      <w:r>
        <w:rPr>
          <w:rFonts w:ascii="Garamond" w:hAnsi="Garamond"/>
          <w:sz w:val="24"/>
          <w:szCs w:val="24"/>
        </w:rPr>
        <w:t xml:space="preserve">Since the initial declaration </w:t>
      </w:r>
      <w:r w:rsidR="00F55B09">
        <w:rPr>
          <w:rFonts w:ascii="Garamond" w:hAnsi="Garamond"/>
          <w:sz w:val="24"/>
          <w:szCs w:val="24"/>
        </w:rPr>
        <w:t>of</w:t>
      </w:r>
      <w:r w:rsidR="00D57B68">
        <w:rPr>
          <w:rFonts w:ascii="Garamond" w:hAnsi="Garamond"/>
          <w:sz w:val="24"/>
          <w:szCs w:val="24"/>
        </w:rPr>
        <w:t xml:space="preserve"> a state of emergency </w:t>
      </w:r>
      <w:r>
        <w:rPr>
          <w:rFonts w:ascii="Garamond" w:hAnsi="Garamond"/>
          <w:sz w:val="24"/>
          <w:szCs w:val="24"/>
        </w:rPr>
        <w:t>on 16 March 2020, the Minister for Health has consistently extended the declaration on a monthly basis, up to and including the most recent extension which took effect on 23 September 2021 and which remains in force until 21 October 2021.</w:t>
      </w:r>
      <w:r w:rsidR="003A5F97">
        <w:rPr>
          <w:rStyle w:val="FootnoteReference"/>
          <w:rFonts w:ascii="Garamond" w:hAnsi="Garamond"/>
          <w:sz w:val="24"/>
          <w:szCs w:val="24"/>
        </w:rPr>
        <w:footnoteReference w:id="2"/>
      </w:r>
    </w:p>
    <w:p w14:paraId="258B8566" w14:textId="77777777" w:rsidR="0081456D" w:rsidRDefault="0081456D" w:rsidP="00705A06">
      <w:pPr>
        <w:spacing w:line="276" w:lineRule="auto"/>
        <w:jc w:val="both"/>
        <w:rPr>
          <w:rFonts w:ascii="Garamond" w:hAnsi="Garamond"/>
          <w:sz w:val="24"/>
          <w:szCs w:val="24"/>
        </w:rPr>
      </w:pPr>
      <w:r>
        <w:rPr>
          <w:rFonts w:ascii="Garamond" w:hAnsi="Garamond"/>
          <w:sz w:val="24"/>
          <w:szCs w:val="24"/>
        </w:rPr>
        <w:t>The effect of this is that the current declaration of a state of emergency is due to expire on 21 October 2021. On that date, the Minister for Health could theoretically extend the declaration again, as he has done many times. However, we note that;</w:t>
      </w:r>
    </w:p>
    <w:p w14:paraId="748953D2" w14:textId="77777777" w:rsidR="0081456D" w:rsidRDefault="0081456D" w:rsidP="00705A06">
      <w:pPr>
        <w:pStyle w:val="ListParagraph"/>
        <w:numPr>
          <w:ilvl w:val="0"/>
          <w:numId w:val="7"/>
        </w:numPr>
        <w:spacing w:line="276" w:lineRule="auto"/>
        <w:jc w:val="both"/>
        <w:rPr>
          <w:rFonts w:ascii="Garamond" w:hAnsi="Garamond"/>
          <w:sz w:val="24"/>
          <w:szCs w:val="24"/>
        </w:rPr>
      </w:pPr>
      <w:r>
        <w:rPr>
          <w:rFonts w:ascii="Garamond" w:hAnsi="Garamond"/>
          <w:sz w:val="24"/>
          <w:szCs w:val="24"/>
        </w:rPr>
        <w:t xml:space="preserve">Extending the state of emergency is not a given, nor is it automatic; and </w:t>
      </w:r>
    </w:p>
    <w:p w14:paraId="5361A137" w14:textId="77777777" w:rsidR="0081456D" w:rsidRPr="007952B9" w:rsidRDefault="0081456D" w:rsidP="00705A06">
      <w:pPr>
        <w:pStyle w:val="ListParagraph"/>
        <w:numPr>
          <w:ilvl w:val="0"/>
          <w:numId w:val="7"/>
        </w:numPr>
        <w:spacing w:line="276" w:lineRule="auto"/>
        <w:jc w:val="both"/>
        <w:rPr>
          <w:rFonts w:ascii="Garamond" w:hAnsi="Garamond"/>
          <w:sz w:val="24"/>
          <w:szCs w:val="24"/>
        </w:rPr>
      </w:pPr>
      <w:r>
        <w:rPr>
          <w:rFonts w:ascii="Garamond" w:hAnsi="Garamond"/>
          <w:sz w:val="24"/>
          <w:szCs w:val="24"/>
        </w:rPr>
        <w:t>The Minister cannot</w:t>
      </w:r>
      <w:r w:rsidRPr="007952B9">
        <w:rPr>
          <w:rFonts w:ascii="Garamond" w:hAnsi="Garamond"/>
          <w:sz w:val="24"/>
          <w:szCs w:val="24"/>
        </w:rPr>
        <w:t xml:space="preserve"> </w:t>
      </w:r>
      <w:r>
        <w:rPr>
          <w:rFonts w:ascii="Garamond" w:hAnsi="Garamond"/>
          <w:sz w:val="24"/>
          <w:szCs w:val="24"/>
        </w:rPr>
        <w:t>extend the state of emergency</w:t>
      </w:r>
      <w:r w:rsidRPr="007952B9">
        <w:rPr>
          <w:rFonts w:ascii="Garamond" w:hAnsi="Garamond"/>
          <w:sz w:val="24"/>
          <w:szCs w:val="24"/>
        </w:rPr>
        <w:t xml:space="preserve"> indefinitely, given that, as quoted above, s198(7)(c) of the PHW Act sets a maximum total period for a state of emergency in the case of Covid-19 of 21 months, being 16 December 2021.</w:t>
      </w:r>
    </w:p>
    <w:p w14:paraId="0A1E9FE3" w14:textId="42957316" w:rsidR="00A833B6" w:rsidRDefault="00A833B6" w:rsidP="00705A06">
      <w:pPr>
        <w:spacing w:line="276" w:lineRule="auto"/>
        <w:jc w:val="both"/>
        <w:rPr>
          <w:rFonts w:ascii="Garamond" w:hAnsi="Garamond"/>
          <w:sz w:val="24"/>
          <w:szCs w:val="24"/>
        </w:rPr>
      </w:pPr>
      <w:r>
        <w:rPr>
          <w:rFonts w:ascii="Garamond" w:hAnsi="Garamond"/>
          <w:sz w:val="24"/>
          <w:szCs w:val="24"/>
        </w:rPr>
        <w:t xml:space="preserve">On the same day the Media Release was issued, being 1 October 2021, Professor Benjamin Cowie, Acting Chief Health Officer also issued the </w:t>
      </w:r>
      <w:r w:rsidRPr="00A833B6">
        <w:rPr>
          <w:rFonts w:ascii="Garamond" w:hAnsi="Garamond"/>
          <w:i/>
          <w:iCs/>
          <w:sz w:val="24"/>
          <w:szCs w:val="24"/>
        </w:rPr>
        <w:t>Covid-19 Mandatory Vaccination Directions (No 5)</w:t>
      </w:r>
      <w:r>
        <w:rPr>
          <w:rFonts w:ascii="Garamond" w:hAnsi="Garamond"/>
          <w:sz w:val="24"/>
          <w:szCs w:val="24"/>
        </w:rPr>
        <w:t xml:space="preserve"> instrument (</w:t>
      </w:r>
      <w:r w:rsidRPr="00A833B6">
        <w:rPr>
          <w:rFonts w:ascii="Garamond" w:hAnsi="Garamond"/>
          <w:b/>
          <w:bCs/>
          <w:sz w:val="24"/>
          <w:szCs w:val="24"/>
        </w:rPr>
        <w:t>the Mandatory Vaccination Direction</w:t>
      </w:r>
      <w:r>
        <w:rPr>
          <w:rFonts w:ascii="Garamond" w:hAnsi="Garamond"/>
          <w:sz w:val="24"/>
          <w:szCs w:val="24"/>
        </w:rPr>
        <w:t>). Like prior directions before it, the Mandatory Vaccination Direction is stated to be issued pursuant to s200(1)(d) of the</w:t>
      </w:r>
      <w:r w:rsidR="00D57B68">
        <w:rPr>
          <w:rFonts w:ascii="Garamond" w:hAnsi="Garamond"/>
          <w:sz w:val="24"/>
          <w:szCs w:val="24"/>
        </w:rPr>
        <w:t xml:space="preserve"> PHW Act</w:t>
      </w:r>
      <w:r>
        <w:rPr>
          <w:rFonts w:ascii="Garamond" w:hAnsi="Garamond"/>
          <w:sz w:val="24"/>
          <w:szCs w:val="24"/>
        </w:rPr>
        <w:t>.</w:t>
      </w:r>
    </w:p>
    <w:p w14:paraId="66ADBC45" w14:textId="208CD292" w:rsidR="00A833B6" w:rsidRDefault="00A833B6" w:rsidP="00705A06">
      <w:pPr>
        <w:spacing w:line="276" w:lineRule="auto"/>
        <w:jc w:val="both"/>
        <w:rPr>
          <w:rFonts w:ascii="Garamond" w:hAnsi="Garamond"/>
          <w:sz w:val="24"/>
          <w:szCs w:val="24"/>
        </w:rPr>
      </w:pPr>
      <w:r>
        <w:rPr>
          <w:rFonts w:ascii="Garamond" w:hAnsi="Garamond"/>
          <w:sz w:val="24"/>
          <w:szCs w:val="24"/>
        </w:rPr>
        <w:t>The Mandatory Vaccination Direction imposes “obligations upon operators of specified facilities in relation to the vaccination of workers”.</w:t>
      </w:r>
      <w:r>
        <w:rPr>
          <w:rStyle w:val="FootnoteReference"/>
          <w:rFonts w:ascii="Garamond" w:hAnsi="Garamond"/>
          <w:sz w:val="24"/>
          <w:szCs w:val="24"/>
        </w:rPr>
        <w:footnoteReference w:id="3"/>
      </w:r>
      <w:r w:rsidR="00854356">
        <w:rPr>
          <w:rFonts w:ascii="Garamond" w:hAnsi="Garamond"/>
          <w:sz w:val="24"/>
          <w:szCs w:val="24"/>
        </w:rPr>
        <w:t xml:space="preserve"> Specifically, the Mandatory Vaccination Direction applies to operators of residential aged care facilities, construction sites, healthcare facilities and education facilities.</w:t>
      </w:r>
      <w:r w:rsidR="00854356">
        <w:rPr>
          <w:rStyle w:val="FootnoteReference"/>
          <w:rFonts w:ascii="Garamond" w:hAnsi="Garamond"/>
          <w:sz w:val="24"/>
          <w:szCs w:val="24"/>
        </w:rPr>
        <w:footnoteReference w:id="4"/>
      </w:r>
      <w:r w:rsidR="00854356">
        <w:rPr>
          <w:rFonts w:ascii="Garamond" w:hAnsi="Garamond"/>
          <w:sz w:val="24"/>
          <w:szCs w:val="24"/>
        </w:rPr>
        <w:t xml:space="preserve"> </w:t>
      </w:r>
      <w:r w:rsidR="007952B9">
        <w:rPr>
          <w:rFonts w:ascii="Garamond" w:hAnsi="Garamond"/>
          <w:sz w:val="24"/>
          <w:szCs w:val="24"/>
        </w:rPr>
        <w:t xml:space="preserve">It does not, in conflict with the Media Release, mandate vaccination for </w:t>
      </w:r>
      <w:r w:rsidR="00F55B09">
        <w:rPr>
          <w:rFonts w:ascii="Garamond" w:hAnsi="Garamond"/>
          <w:sz w:val="24"/>
          <w:szCs w:val="24"/>
        </w:rPr>
        <w:t xml:space="preserve">all </w:t>
      </w:r>
      <w:r w:rsidR="007952B9">
        <w:rPr>
          <w:rFonts w:ascii="Garamond" w:hAnsi="Garamond"/>
          <w:sz w:val="24"/>
          <w:szCs w:val="24"/>
        </w:rPr>
        <w:t xml:space="preserve">authorised workers. </w:t>
      </w:r>
      <w:r w:rsidR="00854356">
        <w:rPr>
          <w:rFonts w:ascii="Garamond" w:hAnsi="Garamond"/>
          <w:sz w:val="24"/>
          <w:szCs w:val="24"/>
        </w:rPr>
        <w:t>The Mandatory Vaccination Direction commenced at 11.59PM on 1 October 2021 and ends at 11.59PM on 21 October 2021.</w:t>
      </w:r>
      <w:r w:rsidR="00854356">
        <w:rPr>
          <w:rStyle w:val="FootnoteReference"/>
          <w:rFonts w:ascii="Garamond" w:hAnsi="Garamond"/>
          <w:sz w:val="24"/>
          <w:szCs w:val="24"/>
        </w:rPr>
        <w:footnoteReference w:id="5"/>
      </w:r>
    </w:p>
    <w:p w14:paraId="7785F9A3" w14:textId="164CAC5A" w:rsidR="00854356" w:rsidRDefault="003A5F97" w:rsidP="00705A06">
      <w:pPr>
        <w:spacing w:line="276" w:lineRule="auto"/>
        <w:jc w:val="both"/>
        <w:rPr>
          <w:rFonts w:ascii="Garamond" w:hAnsi="Garamond"/>
          <w:i/>
          <w:iCs/>
          <w:sz w:val="24"/>
          <w:szCs w:val="24"/>
        </w:rPr>
      </w:pPr>
      <w:bookmarkStart w:id="0" w:name="_Hlk84356130"/>
      <w:r>
        <w:rPr>
          <w:rFonts w:ascii="Garamond" w:hAnsi="Garamond"/>
          <w:i/>
          <w:iCs/>
          <w:sz w:val="24"/>
          <w:szCs w:val="24"/>
        </w:rPr>
        <w:t>The Media Release is not law</w:t>
      </w:r>
      <w:r w:rsidR="00F55B09">
        <w:rPr>
          <w:rFonts w:ascii="Garamond" w:hAnsi="Garamond"/>
          <w:i/>
          <w:iCs/>
          <w:sz w:val="24"/>
          <w:szCs w:val="24"/>
        </w:rPr>
        <w:t xml:space="preserve"> and the Mandatory Vaccination Direction denies Procedural Fairness and Natural Justice</w:t>
      </w:r>
    </w:p>
    <w:bookmarkEnd w:id="0"/>
    <w:p w14:paraId="0E44CCB6" w14:textId="30EEF1A7" w:rsidR="00FE2891" w:rsidRDefault="00D76820" w:rsidP="00705A06">
      <w:pPr>
        <w:spacing w:line="276" w:lineRule="auto"/>
        <w:jc w:val="both"/>
        <w:rPr>
          <w:rFonts w:ascii="Garamond" w:hAnsi="Garamond"/>
          <w:sz w:val="24"/>
          <w:szCs w:val="24"/>
        </w:rPr>
      </w:pPr>
      <w:r>
        <w:rPr>
          <w:rFonts w:ascii="Garamond" w:hAnsi="Garamond"/>
          <w:sz w:val="24"/>
          <w:szCs w:val="24"/>
        </w:rPr>
        <w:t>The Media Release asks me to direct my staff to receive a vaccine which many of them do not wish to receive</w:t>
      </w:r>
      <w:r w:rsidR="00D57B68">
        <w:rPr>
          <w:rFonts w:ascii="Garamond" w:hAnsi="Garamond"/>
          <w:sz w:val="24"/>
          <w:szCs w:val="24"/>
        </w:rPr>
        <w:t>.</w:t>
      </w:r>
      <w:r w:rsidR="003A5F97">
        <w:rPr>
          <w:rFonts w:ascii="Garamond" w:hAnsi="Garamond"/>
          <w:sz w:val="24"/>
          <w:szCs w:val="24"/>
        </w:rPr>
        <w:t xml:space="preserve"> </w:t>
      </w:r>
      <w:r w:rsidR="00D57B68">
        <w:rPr>
          <w:rFonts w:ascii="Garamond" w:hAnsi="Garamond"/>
          <w:sz w:val="24"/>
          <w:szCs w:val="24"/>
        </w:rPr>
        <w:t>T</w:t>
      </w:r>
      <w:r w:rsidR="003A5F97">
        <w:rPr>
          <w:rFonts w:ascii="Garamond" w:hAnsi="Garamond"/>
          <w:sz w:val="24"/>
          <w:szCs w:val="24"/>
        </w:rPr>
        <w:t>here is no lawful basis</w:t>
      </w:r>
      <w:r w:rsidR="00D57B68">
        <w:rPr>
          <w:rFonts w:ascii="Garamond" w:hAnsi="Garamond"/>
          <w:sz w:val="24"/>
          <w:szCs w:val="24"/>
        </w:rPr>
        <w:t xml:space="preserve"> for such a direction</w:t>
      </w:r>
      <w:r>
        <w:rPr>
          <w:rFonts w:ascii="Garamond" w:hAnsi="Garamond"/>
          <w:sz w:val="24"/>
          <w:szCs w:val="24"/>
        </w:rPr>
        <w:t xml:space="preserve">. As I said above, there is no public health order or direction made under s200 of the PHW Act which mandates vaccination for </w:t>
      </w:r>
      <w:r>
        <w:rPr>
          <w:rFonts w:ascii="Garamond" w:hAnsi="Garamond"/>
          <w:sz w:val="24"/>
          <w:szCs w:val="24"/>
        </w:rPr>
        <w:lastRenderedPageBreak/>
        <w:t xml:space="preserve">authorised workers. So, on what basis am I supposed to implement this? </w:t>
      </w:r>
      <w:r w:rsidR="003A5F97">
        <w:rPr>
          <w:rFonts w:ascii="Garamond" w:hAnsi="Garamond"/>
          <w:sz w:val="24"/>
          <w:szCs w:val="24"/>
        </w:rPr>
        <w:t>Respectfully, a</w:t>
      </w:r>
      <w:r>
        <w:rPr>
          <w:rFonts w:ascii="Garamond" w:hAnsi="Garamond"/>
          <w:sz w:val="24"/>
          <w:szCs w:val="24"/>
        </w:rPr>
        <w:t xml:space="preserve"> media release</w:t>
      </w:r>
      <w:r w:rsidR="003A5F97">
        <w:rPr>
          <w:rFonts w:ascii="Garamond" w:hAnsi="Garamond"/>
          <w:sz w:val="24"/>
          <w:szCs w:val="24"/>
        </w:rPr>
        <w:t xml:space="preserve"> </w:t>
      </w:r>
      <w:r>
        <w:rPr>
          <w:rFonts w:ascii="Garamond" w:hAnsi="Garamond"/>
          <w:sz w:val="24"/>
          <w:szCs w:val="24"/>
        </w:rPr>
        <w:t>is not law.</w:t>
      </w:r>
    </w:p>
    <w:p w14:paraId="0D8F4BFC" w14:textId="6CCDE530" w:rsidR="007C6254" w:rsidRDefault="00D76820" w:rsidP="00705A06">
      <w:pPr>
        <w:spacing w:line="276" w:lineRule="auto"/>
        <w:jc w:val="both"/>
        <w:rPr>
          <w:rFonts w:ascii="Garamond" w:hAnsi="Garamond"/>
          <w:sz w:val="24"/>
          <w:szCs w:val="24"/>
        </w:rPr>
      </w:pPr>
      <w:r>
        <w:rPr>
          <w:rFonts w:ascii="Garamond" w:hAnsi="Garamond"/>
          <w:sz w:val="24"/>
          <w:szCs w:val="24"/>
        </w:rPr>
        <w:t xml:space="preserve">Secondly, if there </w:t>
      </w:r>
      <w:r>
        <w:rPr>
          <w:rFonts w:ascii="Garamond" w:hAnsi="Garamond"/>
          <w:i/>
          <w:iCs/>
          <w:sz w:val="24"/>
          <w:szCs w:val="24"/>
        </w:rPr>
        <w:t xml:space="preserve">was </w:t>
      </w:r>
      <w:r>
        <w:rPr>
          <w:rFonts w:ascii="Garamond" w:hAnsi="Garamond"/>
          <w:sz w:val="24"/>
          <w:szCs w:val="24"/>
        </w:rPr>
        <w:t>a valid direction made under s200 of the PHW Act</w:t>
      </w:r>
      <w:r w:rsidR="00F55B09">
        <w:rPr>
          <w:rFonts w:ascii="Garamond" w:hAnsi="Garamond"/>
          <w:sz w:val="24"/>
          <w:szCs w:val="24"/>
        </w:rPr>
        <w:t xml:space="preserve"> for operators of residential aged care facilities, construction sites, healthcare facilities and education facilities</w:t>
      </w:r>
      <w:r>
        <w:rPr>
          <w:rFonts w:ascii="Garamond" w:hAnsi="Garamond"/>
          <w:sz w:val="24"/>
          <w:szCs w:val="24"/>
        </w:rPr>
        <w:t xml:space="preserve">, </w:t>
      </w:r>
      <w:r w:rsidR="003A5F97">
        <w:rPr>
          <w:rFonts w:ascii="Garamond" w:hAnsi="Garamond"/>
          <w:sz w:val="24"/>
          <w:szCs w:val="24"/>
        </w:rPr>
        <w:t>the assertion</w:t>
      </w:r>
      <w:r>
        <w:rPr>
          <w:rFonts w:ascii="Garamond" w:hAnsi="Garamond"/>
          <w:sz w:val="24"/>
          <w:szCs w:val="24"/>
        </w:rPr>
        <w:t xml:space="preserve"> that authorised workers must receive a first </w:t>
      </w:r>
      <w:r w:rsidRPr="00C85B41">
        <w:rPr>
          <w:rFonts w:ascii="Garamond" w:hAnsi="Garamond"/>
          <w:sz w:val="24"/>
          <w:szCs w:val="24"/>
        </w:rPr>
        <w:t xml:space="preserve">vaccine dose by Friday, 15 October </w:t>
      </w:r>
      <w:r>
        <w:rPr>
          <w:rFonts w:ascii="Garamond" w:hAnsi="Garamond"/>
          <w:sz w:val="24"/>
          <w:szCs w:val="24"/>
        </w:rPr>
        <w:t>“</w:t>
      </w:r>
      <w:r w:rsidRPr="00C85B41">
        <w:rPr>
          <w:rFonts w:ascii="Garamond" w:hAnsi="Garamond"/>
          <w:sz w:val="24"/>
          <w:szCs w:val="24"/>
        </w:rPr>
        <w:t>in order to continue working onsite</w:t>
      </w:r>
      <w:r>
        <w:rPr>
          <w:rFonts w:ascii="Garamond" w:hAnsi="Garamond"/>
          <w:sz w:val="24"/>
          <w:szCs w:val="24"/>
        </w:rPr>
        <w:t>”, and that “t</w:t>
      </w:r>
      <w:r w:rsidRPr="00C85B41">
        <w:rPr>
          <w:rFonts w:ascii="Garamond" w:hAnsi="Garamond"/>
          <w:sz w:val="24"/>
          <w:szCs w:val="24"/>
        </w:rPr>
        <w:t>hey will need to be fully vaccinated by 26 November</w:t>
      </w:r>
      <w:r>
        <w:rPr>
          <w:rFonts w:ascii="Garamond" w:hAnsi="Garamond"/>
          <w:sz w:val="24"/>
          <w:szCs w:val="24"/>
        </w:rPr>
        <w:t>”</w:t>
      </w:r>
      <w:r w:rsidR="003A5F97">
        <w:rPr>
          <w:rFonts w:ascii="Garamond" w:hAnsi="Garamond"/>
          <w:sz w:val="24"/>
          <w:szCs w:val="24"/>
        </w:rPr>
        <w:t xml:space="preserve"> implies an assumption that the state of emergency will be extended beyond 21 October. We do not yet know, and cannot yet know, whether this is the case. The most recent extension itself notes that it was made “on the further advice of the Acting Chief Health Officer and after further consultation with the Minister and the Emergency Management Commissioner under the </w:t>
      </w:r>
      <w:r w:rsidR="003A5F97">
        <w:rPr>
          <w:rFonts w:ascii="Garamond" w:hAnsi="Garamond"/>
          <w:i/>
          <w:iCs/>
          <w:sz w:val="24"/>
          <w:szCs w:val="24"/>
        </w:rPr>
        <w:t>Emergency Management Act 2013 (Vic)”.</w:t>
      </w:r>
      <w:r w:rsidR="003A5F97">
        <w:rPr>
          <w:rStyle w:val="FootnoteReference"/>
          <w:rFonts w:ascii="Garamond" w:hAnsi="Garamond"/>
          <w:i/>
          <w:iCs/>
          <w:sz w:val="24"/>
          <w:szCs w:val="24"/>
        </w:rPr>
        <w:footnoteReference w:id="6"/>
      </w:r>
      <w:r w:rsidR="007C6254">
        <w:rPr>
          <w:rFonts w:ascii="Garamond" w:hAnsi="Garamond"/>
          <w:sz w:val="24"/>
          <w:szCs w:val="24"/>
        </w:rPr>
        <w:t xml:space="preserve"> This must occur again before a further extension is applied. Obviously, the pandemic is ever changing and the response must match that change. In particular, restrictive and mandatory measures should only be implemented as a last resort and when absolutely necessary. So, it is unclear how I can recommend or direct my staff to receive a vaccine in order to continue working for me based on a direction which is;</w:t>
      </w:r>
    </w:p>
    <w:p w14:paraId="37DA8906" w14:textId="1B7463DF" w:rsidR="00F55B09" w:rsidRDefault="00F437C4" w:rsidP="00705A06">
      <w:pPr>
        <w:pStyle w:val="ListParagraph"/>
        <w:numPr>
          <w:ilvl w:val="0"/>
          <w:numId w:val="8"/>
        </w:numPr>
        <w:spacing w:line="276" w:lineRule="auto"/>
        <w:jc w:val="both"/>
        <w:rPr>
          <w:rFonts w:ascii="Garamond" w:hAnsi="Garamond"/>
          <w:sz w:val="24"/>
          <w:szCs w:val="24"/>
        </w:rPr>
      </w:pPr>
      <w:r>
        <w:rPr>
          <w:rFonts w:ascii="Garamond" w:hAnsi="Garamond"/>
          <w:sz w:val="24"/>
          <w:szCs w:val="24"/>
        </w:rPr>
        <w:t xml:space="preserve">seemingly </w:t>
      </w:r>
      <w:r w:rsidR="007C6254">
        <w:rPr>
          <w:rFonts w:ascii="Garamond" w:hAnsi="Garamond"/>
          <w:sz w:val="24"/>
          <w:szCs w:val="24"/>
        </w:rPr>
        <w:t xml:space="preserve">made </w:t>
      </w:r>
      <w:r>
        <w:rPr>
          <w:rFonts w:ascii="Garamond" w:hAnsi="Garamond"/>
          <w:sz w:val="24"/>
          <w:szCs w:val="24"/>
        </w:rPr>
        <w:t>via</w:t>
      </w:r>
      <w:r w:rsidR="007C6254">
        <w:rPr>
          <w:rFonts w:ascii="Garamond" w:hAnsi="Garamond"/>
          <w:sz w:val="24"/>
          <w:szCs w:val="24"/>
        </w:rPr>
        <w:t xml:space="preserve"> a Media Release</w:t>
      </w:r>
      <w:r w:rsidR="00F55B09">
        <w:rPr>
          <w:rFonts w:ascii="Garamond" w:hAnsi="Garamond"/>
          <w:sz w:val="24"/>
          <w:szCs w:val="24"/>
        </w:rPr>
        <w:t>; and/or</w:t>
      </w:r>
      <w:r w:rsidR="007C6254">
        <w:rPr>
          <w:rFonts w:ascii="Garamond" w:hAnsi="Garamond"/>
          <w:sz w:val="24"/>
          <w:szCs w:val="24"/>
        </w:rPr>
        <w:t xml:space="preserve"> </w:t>
      </w:r>
    </w:p>
    <w:p w14:paraId="2BA0DAB9" w14:textId="6FA66B49" w:rsidR="00D76820" w:rsidRDefault="00F55B09" w:rsidP="00705A06">
      <w:pPr>
        <w:pStyle w:val="ListParagraph"/>
        <w:numPr>
          <w:ilvl w:val="0"/>
          <w:numId w:val="8"/>
        </w:numPr>
        <w:spacing w:line="276" w:lineRule="auto"/>
        <w:jc w:val="both"/>
        <w:rPr>
          <w:rFonts w:ascii="Garamond" w:hAnsi="Garamond"/>
          <w:sz w:val="24"/>
          <w:szCs w:val="24"/>
        </w:rPr>
      </w:pPr>
      <w:r>
        <w:rPr>
          <w:rFonts w:ascii="Garamond" w:hAnsi="Garamond"/>
          <w:sz w:val="24"/>
          <w:szCs w:val="24"/>
        </w:rPr>
        <w:t>made under the Mandatory Vaccination Direction that appear unenforceable; and</w:t>
      </w:r>
    </w:p>
    <w:p w14:paraId="19688B97" w14:textId="12C7B12C" w:rsidR="007C6254" w:rsidRDefault="007C6254" w:rsidP="00705A06">
      <w:pPr>
        <w:pStyle w:val="ListParagraph"/>
        <w:numPr>
          <w:ilvl w:val="0"/>
          <w:numId w:val="8"/>
        </w:numPr>
        <w:spacing w:line="276" w:lineRule="auto"/>
        <w:jc w:val="both"/>
        <w:rPr>
          <w:rFonts w:ascii="Garamond" w:hAnsi="Garamond"/>
          <w:sz w:val="24"/>
          <w:szCs w:val="24"/>
        </w:rPr>
      </w:pPr>
      <w:r>
        <w:rPr>
          <w:rFonts w:ascii="Garamond" w:hAnsi="Garamond"/>
          <w:sz w:val="24"/>
          <w:szCs w:val="24"/>
        </w:rPr>
        <w:t>which requires them to take actions which are beyond the scope of the</w:t>
      </w:r>
      <w:r w:rsidR="00D57B68">
        <w:rPr>
          <w:rFonts w:ascii="Garamond" w:hAnsi="Garamond"/>
          <w:sz w:val="24"/>
          <w:szCs w:val="24"/>
        </w:rPr>
        <w:t xml:space="preserve"> current</w:t>
      </w:r>
      <w:r>
        <w:rPr>
          <w:rFonts w:ascii="Garamond" w:hAnsi="Garamond"/>
          <w:sz w:val="24"/>
          <w:szCs w:val="24"/>
        </w:rPr>
        <w:t xml:space="preserve"> state of emergency anyway.</w:t>
      </w:r>
    </w:p>
    <w:p w14:paraId="615008FC" w14:textId="040A365E" w:rsidR="007C6254" w:rsidRDefault="007C6254" w:rsidP="00705A06">
      <w:pPr>
        <w:spacing w:line="276" w:lineRule="auto"/>
        <w:jc w:val="both"/>
        <w:rPr>
          <w:rFonts w:ascii="Garamond" w:hAnsi="Garamond"/>
          <w:sz w:val="24"/>
          <w:szCs w:val="24"/>
        </w:rPr>
      </w:pPr>
      <w:r>
        <w:rPr>
          <w:rFonts w:ascii="Garamond" w:hAnsi="Garamond"/>
          <w:sz w:val="24"/>
          <w:szCs w:val="24"/>
        </w:rPr>
        <w:t xml:space="preserve">Finally, even if the state of emergency is extended on 21 October, it could not be extended beyond 16 December absent legislative change, which is obviously a matter for Parliament, but which would, if passed, be dramatic and unprecedented. Although you </w:t>
      </w:r>
      <w:r w:rsidR="00D57B68">
        <w:rPr>
          <w:rFonts w:ascii="Garamond" w:hAnsi="Garamond"/>
          <w:sz w:val="24"/>
          <w:szCs w:val="24"/>
        </w:rPr>
        <w:t>may</w:t>
      </w:r>
      <w:r>
        <w:rPr>
          <w:rFonts w:ascii="Garamond" w:hAnsi="Garamond"/>
          <w:sz w:val="24"/>
          <w:szCs w:val="24"/>
        </w:rPr>
        <w:t xml:space="preserve"> say that a vaccine mandate is temporary, several of my staff have pointed out to me that the act of receiving a vaccine is not. Once a vaccine is administered, it can never be removed. This puts </w:t>
      </w:r>
      <w:r w:rsidR="00D57B68">
        <w:rPr>
          <w:rFonts w:ascii="Garamond" w:hAnsi="Garamond"/>
          <w:sz w:val="24"/>
          <w:szCs w:val="24"/>
        </w:rPr>
        <w:t xml:space="preserve">my </w:t>
      </w:r>
      <w:r>
        <w:rPr>
          <w:rFonts w:ascii="Garamond" w:hAnsi="Garamond"/>
          <w:sz w:val="24"/>
          <w:szCs w:val="24"/>
        </w:rPr>
        <w:t xml:space="preserve">staff as well as myself in an impossible position. </w:t>
      </w:r>
      <w:r w:rsidR="00D57B68">
        <w:rPr>
          <w:rFonts w:ascii="Garamond" w:hAnsi="Garamond"/>
          <w:sz w:val="24"/>
          <w:szCs w:val="24"/>
        </w:rPr>
        <w:t>Some s</w:t>
      </w:r>
      <w:r>
        <w:rPr>
          <w:rFonts w:ascii="Garamond" w:hAnsi="Garamond"/>
          <w:sz w:val="24"/>
          <w:szCs w:val="24"/>
        </w:rPr>
        <w:t>taff may choose to take leave until December until such a power will be unlawful; others may undergo the vaccination due to a lack of leave or an inability to get by without their job in the meantime. All in all, there is an impression in the community that the Victorian Government has issued this Media Release</w:t>
      </w:r>
      <w:r w:rsidR="00F55B09">
        <w:rPr>
          <w:rFonts w:ascii="Garamond" w:hAnsi="Garamond"/>
          <w:sz w:val="24"/>
          <w:szCs w:val="24"/>
        </w:rPr>
        <w:t xml:space="preserve"> and the Mandatory Vaccination Direction </w:t>
      </w:r>
      <w:r>
        <w:rPr>
          <w:rFonts w:ascii="Garamond" w:hAnsi="Garamond"/>
          <w:sz w:val="24"/>
          <w:szCs w:val="24"/>
        </w:rPr>
        <w:t>as a means of coercion: to pressure as many people as possible into getting the vaccine before the impending deadlines of 21 October and 16 December. As an employer, I will not participate in said coercion.</w:t>
      </w:r>
      <w:r w:rsidR="00F437C4">
        <w:rPr>
          <w:rFonts w:ascii="Garamond" w:hAnsi="Garamond"/>
          <w:sz w:val="24"/>
          <w:szCs w:val="24"/>
        </w:rPr>
        <w:t xml:space="preserve"> I am not an accessory to Government policy, particularly when that policy is improperly made and ill-conceived. </w:t>
      </w:r>
    </w:p>
    <w:p w14:paraId="2F865C5E" w14:textId="6468DBF0" w:rsidR="007C6254" w:rsidRDefault="007C6254" w:rsidP="00705A06">
      <w:pPr>
        <w:spacing w:line="276" w:lineRule="auto"/>
        <w:jc w:val="both"/>
        <w:rPr>
          <w:rFonts w:ascii="Garamond" w:hAnsi="Garamond"/>
          <w:b/>
          <w:bCs/>
          <w:sz w:val="24"/>
          <w:szCs w:val="24"/>
        </w:rPr>
      </w:pPr>
      <w:r w:rsidRPr="007C6254">
        <w:rPr>
          <w:rFonts w:ascii="Garamond" w:hAnsi="Garamond"/>
          <w:b/>
          <w:bCs/>
          <w:sz w:val="24"/>
          <w:szCs w:val="24"/>
        </w:rPr>
        <w:lastRenderedPageBreak/>
        <w:t>To be clear; I refuse to terminate staff</w:t>
      </w:r>
      <w:r>
        <w:rPr>
          <w:rFonts w:ascii="Garamond" w:hAnsi="Garamond"/>
          <w:sz w:val="24"/>
          <w:szCs w:val="24"/>
        </w:rPr>
        <w:t xml:space="preserve"> </w:t>
      </w:r>
      <w:r>
        <w:rPr>
          <w:rFonts w:ascii="Garamond" w:hAnsi="Garamond"/>
          <w:b/>
          <w:bCs/>
          <w:sz w:val="24"/>
          <w:szCs w:val="24"/>
        </w:rPr>
        <w:t>who refuse to undergo vaccination, particularly in circumstances where I lack the lawful authority to do so.</w:t>
      </w:r>
    </w:p>
    <w:p w14:paraId="25CA6C9E" w14:textId="3C5F6C26" w:rsidR="007C6254" w:rsidRPr="007C6254" w:rsidRDefault="007C6254" w:rsidP="00705A06">
      <w:pPr>
        <w:spacing w:line="276" w:lineRule="auto"/>
        <w:jc w:val="both"/>
        <w:rPr>
          <w:rFonts w:ascii="Garamond" w:hAnsi="Garamond"/>
          <w:sz w:val="24"/>
          <w:szCs w:val="24"/>
        </w:rPr>
      </w:pPr>
      <w:r>
        <w:rPr>
          <w:rFonts w:ascii="Garamond" w:hAnsi="Garamond"/>
          <w:sz w:val="24"/>
          <w:szCs w:val="24"/>
        </w:rPr>
        <w:t xml:space="preserve">On this note, </w:t>
      </w:r>
      <w:r w:rsidR="00F437C4">
        <w:rPr>
          <w:rFonts w:ascii="Garamond" w:hAnsi="Garamond"/>
          <w:sz w:val="24"/>
          <w:szCs w:val="24"/>
        </w:rPr>
        <w:t xml:space="preserve">there are several other issues with the legality of </w:t>
      </w:r>
      <w:r w:rsidR="00D57B68">
        <w:rPr>
          <w:rFonts w:ascii="Garamond" w:hAnsi="Garamond"/>
          <w:sz w:val="24"/>
          <w:szCs w:val="24"/>
        </w:rPr>
        <w:t>your approach to vaccination</w:t>
      </w:r>
      <w:r w:rsidR="00F437C4">
        <w:rPr>
          <w:rFonts w:ascii="Garamond" w:hAnsi="Garamond"/>
          <w:sz w:val="24"/>
          <w:szCs w:val="24"/>
        </w:rPr>
        <w:t>.</w:t>
      </w:r>
    </w:p>
    <w:p w14:paraId="16B5C29C" w14:textId="62165869" w:rsidR="007C6254" w:rsidRPr="00F437C4" w:rsidRDefault="00F437C4" w:rsidP="00705A06">
      <w:pPr>
        <w:pStyle w:val="ListParagraph"/>
        <w:numPr>
          <w:ilvl w:val="0"/>
          <w:numId w:val="10"/>
        </w:numPr>
        <w:spacing w:line="276" w:lineRule="auto"/>
        <w:jc w:val="both"/>
        <w:rPr>
          <w:rFonts w:ascii="Garamond" w:hAnsi="Garamond"/>
          <w:b/>
          <w:bCs/>
          <w:sz w:val="24"/>
          <w:szCs w:val="24"/>
        </w:rPr>
      </w:pPr>
      <w:r w:rsidRPr="00F437C4">
        <w:rPr>
          <w:rFonts w:ascii="Garamond" w:hAnsi="Garamond"/>
          <w:b/>
          <w:bCs/>
          <w:sz w:val="24"/>
          <w:szCs w:val="24"/>
        </w:rPr>
        <w:t xml:space="preserve">You are asking me to breach </w:t>
      </w:r>
      <w:r>
        <w:rPr>
          <w:rFonts w:ascii="Garamond" w:hAnsi="Garamond"/>
          <w:b/>
          <w:bCs/>
          <w:sz w:val="24"/>
          <w:szCs w:val="24"/>
        </w:rPr>
        <w:t>Work Health and Safety law</w:t>
      </w:r>
      <w:r w:rsidRPr="00F437C4">
        <w:rPr>
          <w:rFonts w:ascii="Garamond" w:hAnsi="Garamond"/>
          <w:b/>
          <w:bCs/>
          <w:sz w:val="24"/>
          <w:szCs w:val="24"/>
        </w:rPr>
        <w:t xml:space="preserve"> and enterprise agreements</w:t>
      </w:r>
    </w:p>
    <w:p w14:paraId="3670016F" w14:textId="2F2EDE44" w:rsidR="007C6254" w:rsidRDefault="00F437C4" w:rsidP="00705A06">
      <w:pPr>
        <w:spacing w:line="276" w:lineRule="auto"/>
        <w:jc w:val="both"/>
        <w:rPr>
          <w:rFonts w:ascii="Garamond" w:hAnsi="Garamond"/>
          <w:sz w:val="24"/>
          <w:szCs w:val="24"/>
        </w:rPr>
      </w:pPr>
      <w:r>
        <w:rPr>
          <w:rFonts w:ascii="Garamond" w:hAnsi="Garamond"/>
          <w:sz w:val="24"/>
          <w:szCs w:val="24"/>
        </w:rPr>
        <w:t xml:space="preserve">As an employer, I cannot </w:t>
      </w:r>
      <w:r w:rsidR="00A65B3C">
        <w:rPr>
          <w:rFonts w:ascii="Garamond" w:hAnsi="Garamond"/>
          <w:sz w:val="24"/>
          <w:szCs w:val="24"/>
        </w:rPr>
        <w:t>make sweeping changes to the workplace, or the requirements my employees are subject to, without notice. Any directions I give must also be lawful and reasonable. It is well known that there is “a legal requirement to consult with employees about significant changes in the workplace” and that these “are set out in legislation, awards and enterprise agreements”.</w:t>
      </w:r>
      <w:r w:rsidR="00A65B3C">
        <w:rPr>
          <w:rStyle w:val="FootnoteReference"/>
          <w:rFonts w:ascii="Garamond" w:hAnsi="Garamond"/>
          <w:sz w:val="24"/>
          <w:szCs w:val="24"/>
        </w:rPr>
        <w:footnoteReference w:id="7"/>
      </w:r>
    </w:p>
    <w:p w14:paraId="3411A814" w14:textId="169B2DC1" w:rsidR="00A65B3C" w:rsidRDefault="00A65B3C" w:rsidP="00705A06">
      <w:pPr>
        <w:spacing w:line="276" w:lineRule="auto"/>
        <w:jc w:val="both"/>
        <w:rPr>
          <w:rFonts w:ascii="Garamond" w:hAnsi="Garamond"/>
          <w:sz w:val="24"/>
          <w:szCs w:val="24"/>
        </w:rPr>
      </w:pPr>
      <w:r>
        <w:rPr>
          <w:rFonts w:ascii="Garamond" w:hAnsi="Garamond"/>
          <w:sz w:val="24"/>
          <w:szCs w:val="24"/>
        </w:rPr>
        <w:t xml:space="preserve">Specifically, in Victoria, s35 of the </w:t>
      </w:r>
      <w:r>
        <w:rPr>
          <w:rFonts w:ascii="Garamond" w:hAnsi="Garamond"/>
          <w:i/>
          <w:iCs/>
          <w:sz w:val="24"/>
          <w:szCs w:val="24"/>
        </w:rPr>
        <w:t xml:space="preserve">Occupational Health and Safety Act 2004 (Vic) </w:t>
      </w:r>
      <w:r>
        <w:rPr>
          <w:rFonts w:ascii="Garamond" w:hAnsi="Garamond"/>
          <w:sz w:val="24"/>
          <w:szCs w:val="24"/>
        </w:rPr>
        <w:t>(</w:t>
      </w:r>
      <w:r w:rsidRPr="00A65B3C">
        <w:rPr>
          <w:rFonts w:ascii="Garamond" w:hAnsi="Garamond"/>
          <w:b/>
          <w:bCs/>
          <w:sz w:val="24"/>
          <w:szCs w:val="24"/>
        </w:rPr>
        <w:t>the OHSA</w:t>
      </w:r>
      <w:r>
        <w:rPr>
          <w:rFonts w:ascii="Garamond" w:hAnsi="Garamond"/>
          <w:sz w:val="24"/>
          <w:szCs w:val="24"/>
        </w:rPr>
        <w:t xml:space="preserve">) implements a duty for employers to consult with employees who are likely to be directly affected when doing any of the following </w:t>
      </w:r>
      <w:r w:rsidR="00D57B68">
        <w:rPr>
          <w:rFonts w:ascii="Garamond" w:hAnsi="Garamond"/>
          <w:sz w:val="24"/>
          <w:szCs w:val="24"/>
        </w:rPr>
        <w:t>(</w:t>
      </w:r>
      <w:r>
        <w:rPr>
          <w:rFonts w:ascii="Garamond" w:hAnsi="Garamond"/>
          <w:sz w:val="24"/>
          <w:szCs w:val="24"/>
        </w:rPr>
        <w:t>which</w:t>
      </w:r>
      <w:r w:rsidR="00D57B68">
        <w:rPr>
          <w:rFonts w:ascii="Garamond" w:hAnsi="Garamond"/>
          <w:sz w:val="24"/>
          <w:szCs w:val="24"/>
        </w:rPr>
        <w:t xml:space="preserve"> clearly</w:t>
      </w:r>
      <w:r>
        <w:rPr>
          <w:rFonts w:ascii="Garamond" w:hAnsi="Garamond"/>
          <w:sz w:val="24"/>
          <w:szCs w:val="24"/>
        </w:rPr>
        <w:t xml:space="preserve"> appl</w:t>
      </w:r>
      <w:r w:rsidR="00D57B68">
        <w:rPr>
          <w:rFonts w:ascii="Garamond" w:hAnsi="Garamond"/>
          <w:sz w:val="24"/>
          <w:szCs w:val="24"/>
        </w:rPr>
        <w:t>ies</w:t>
      </w:r>
      <w:r>
        <w:rPr>
          <w:rFonts w:ascii="Garamond" w:hAnsi="Garamond"/>
          <w:sz w:val="24"/>
          <w:szCs w:val="24"/>
        </w:rPr>
        <w:t xml:space="preserve"> to </w:t>
      </w:r>
      <w:r w:rsidR="00D57B68">
        <w:rPr>
          <w:rFonts w:ascii="Garamond" w:hAnsi="Garamond"/>
          <w:sz w:val="24"/>
          <w:szCs w:val="24"/>
        </w:rPr>
        <w:t>the introduction of a</w:t>
      </w:r>
      <w:r>
        <w:rPr>
          <w:rFonts w:ascii="Garamond" w:hAnsi="Garamond"/>
          <w:sz w:val="24"/>
          <w:szCs w:val="24"/>
        </w:rPr>
        <w:t xml:space="preserve"> vaccine mandate</w:t>
      </w:r>
      <w:r w:rsidR="00D57B68">
        <w:rPr>
          <w:rFonts w:ascii="Garamond" w:hAnsi="Garamond"/>
          <w:sz w:val="24"/>
          <w:szCs w:val="24"/>
        </w:rPr>
        <w:t>)</w:t>
      </w:r>
      <w:r>
        <w:rPr>
          <w:rFonts w:ascii="Garamond" w:hAnsi="Garamond"/>
          <w:sz w:val="24"/>
          <w:szCs w:val="24"/>
        </w:rPr>
        <w:t>:</w:t>
      </w:r>
      <w:r>
        <w:rPr>
          <w:rStyle w:val="FootnoteReference"/>
          <w:rFonts w:ascii="Garamond" w:hAnsi="Garamond"/>
          <w:sz w:val="24"/>
          <w:szCs w:val="24"/>
        </w:rPr>
        <w:footnoteReference w:id="8"/>
      </w:r>
    </w:p>
    <w:p w14:paraId="31FE50F7" w14:textId="2DAA655B" w:rsidR="00A65B3C" w:rsidRDefault="00A65B3C" w:rsidP="00705A06">
      <w:pPr>
        <w:pStyle w:val="ListParagraph"/>
        <w:numPr>
          <w:ilvl w:val="0"/>
          <w:numId w:val="11"/>
        </w:numPr>
        <w:spacing w:line="276" w:lineRule="auto"/>
        <w:jc w:val="both"/>
        <w:rPr>
          <w:rFonts w:ascii="Garamond" w:hAnsi="Garamond"/>
          <w:sz w:val="24"/>
          <w:szCs w:val="24"/>
        </w:rPr>
      </w:pPr>
      <w:r>
        <w:rPr>
          <w:rFonts w:ascii="Garamond" w:hAnsi="Garamond"/>
          <w:sz w:val="24"/>
          <w:szCs w:val="24"/>
        </w:rPr>
        <w:t>making decisions about measures to be taken to control risks to health or safety at a workplace;</w:t>
      </w:r>
    </w:p>
    <w:p w14:paraId="7CFF0E20" w14:textId="4FCB9232" w:rsidR="00A65B3C" w:rsidRDefault="00A65B3C" w:rsidP="00705A06">
      <w:pPr>
        <w:pStyle w:val="ListParagraph"/>
        <w:numPr>
          <w:ilvl w:val="0"/>
          <w:numId w:val="11"/>
        </w:numPr>
        <w:spacing w:line="276" w:lineRule="auto"/>
        <w:jc w:val="both"/>
        <w:rPr>
          <w:rFonts w:ascii="Garamond" w:hAnsi="Garamond"/>
          <w:sz w:val="24"/>
          <w:szCs w:val="24"/>
        </w:rPr>
      </w:pPr>
      <w:r>
        <w:rPr>
          <w:rFonts w:ascii="Garamond" w:hAnsi="Garamond"/>
          <w:sz w:val="24"/>
          <w:szCs w:val="24"/>
        </w:rPr>
        <w:t>making decisions about resolving health or safety issues at a workplace;</w:t>
      </w:r>
    </w:p>
    <w:p w14:paraId="4FB47110" w14:textId="1F233E30" w:rsidR="00A65B3C" w:rsidRDefault="00A65B3C" w:rsidP="00705A06">
      <w:pPr>
        <w:pStyle w:val="ListParagraph"/>
        <w:numPr>
          <w:ilvl w:val="0"/>
          <w:numId w:val="11"/>
        </w:numPr>
        <w:spacing w:line="276" w:lineRule="auto"/>
        <w:jc w:val="both"/>
        <w:rPr>
          <w:rFonts w:ascii="Garamond" w:hAnsi="Garamond"/>
          <w:sz w:val="24"/>
          <w:szCs w:val="24"/>
        </w:rPr>
      </w:pPr>
      <w:r>
        <w:rPr>
          <w:rFonts w:ascii="Garamond" w:hAnsi="Garamond"/>
          <w:sz w:val="24"/>
          <w:szCs w:val="24"/>
        </w:rPr>
        <w:t>monitoring the health of employees and the conditions of the workplace; and</w:t>
      </w:r>
    </w:p>
    <w:p w14:paraId="0B502E63" w14:textId="26157CE6" w:rsidR="00A65B3C" w:rsidRDefault="00A65B3C" w:rsidP="00705A06">
      <w:pPr>
        <w:pStyle w:val="ListParagraph"/>
        <w:numPr>
          <w:ilvl w:val="0"/>
          <w:numId w:val="11"/>
        </w:numPr>
        <w:spacing w:line="276" w:lineRule="auto"/>
        <w:jc w:val="both"/>
        <w:rPr>
          <w:rFonts w:ascii="Garamond" w:hAnsi="Garamond"/>
          <w:sz w:val="24"/>
          <w:szCs w:val="24"/>
        </w:rPr>
      </w:pPr>
      <w:r>
        <w:rPr>
          <w:rFonts w:ascii="Garamond" w:hAnsi="Garamond"/>
          <w:sz w:val="24"/>
          <w:szCs w:val="24"/>
        </w:rPr>
        <w:t>proposing changes that may affect the health or safety of employees.</w:t>
      </w:r>
    </w:p>
    <w:p w14:paraId="33636ECF" w14:textId="410F485B" w:rsidR="00A65B3C" w:rsidRDefault="00A65B3C" w:rsidP="00705A06">
      <w:pPr>
        <w:spacing w:line="276" w:lineRule="auto"/>
        <w:jc w:val="both"/>
        <w:rPr>
          <w:rFonts w:ascii="Garamond" w:hAnsi="Garamond"/>
          <w:sz w:val="24"/>
          <w:szCs w:val="24"/>
        </w:rPr>
      </w:pPr>
      <w:r>
        <w:rPr>
          <w:rFonts w:ascii="Garamond" w:hAnsi="Garamond"/>
          <w:sz w:val="24"/>
          <w:szCs w:val="24"/>
        </w:rPr>
        <w:t>In addition, the OHSA clearly states the form that this consultation must take, which includes:</w:t>
      </w:r>
      <w:r>
        <w:rPr>
          <w:rStyle w:val="FootnoteReference"/>
          <w:rFonts w:ascii="Garamond" w:hAnsi="Garamond"/>
          <w:sz w:val="24"/>
          <w:szCs w:val="24"/>
        </w:rPr>
        <w:footnoteReference w:id="9"/>
      </w:r>
    </w:p>
    <w:p w14:paraId="4C02CBFE" w14:textId="42FCA67B" w:rsidR="00A65B3C" w:rsidRDefault="00A65B3C" w:rsidP="00705A06">
      <w:pPr>
        <w:pStyle w:val="ListParagraph"/>
        <w:numPr>
          <w:ilvl w:val="0"/>
          <w:numId w:val="12"/>
        </w:numPr>
        <w:spacing w:line="276" w:lineRule="auto"/>
        <w:jc w:val="both"/>
        <w:rPr>
          <w:rFonts w:ascii="Garamond" w:hAnsi="Garamond"/>
          <w:sz w:val="24"/>
          <w:szCs w:val="24"/>
        </w:rPr>
      </w:pPr>
      <w:r w:rsidRPr="00A65B3C">
        <w:rPr>
          <w:rFonts w:ascii="Garamond" w:hAnsi="Garamond"/>
          <w:sz w:val="24"/>
          <w:szCs w:val="24"/>
        </w:rPr>
        <w:t>“</w:t>
      </w:r>
      <w:proofErr w:type="gramStart"/>
      <w:r w:rsidRPr="00A65B3C">
        <w:rPr>
          <w:rFonts w:ascii="Garamond" w:hAnsi="Garamond"/>
          <w:sz w:val="24"/>
          <w:szCs w:val="24"/>
        </w:rPr>
        <w:t>sharing</w:t>
      </w:r>
      <w:proofErr w:type="gramEnd"/>
      <w:r w:rsidRPr="00A65B3C">
        <w:rPr>
          <w:rFonts w:ascii="Garamond" w:hAnsi="Garamond"/>
          <w:sz w:val="24"/>
          <w:szCs w:val="24"/>
        </w:rPr>
        <w:t xml:space="preserve"> with employees information about the matter on which the employer is required to consult”</w:t>
      </w:r>
      <w:r>
        <w:rPr>
          <w:rFonts w:ascii="Garamond" w:hAnsi="Garamond"/>
          <w:sz w:val="24"/>
          <w:szCs w:val="24"/>
        </w:rPr>
        <w:t>;</w:t>
      </w:r>
    </w:p>
    <w:p w14:paraId="718B861C" w14:textId="2519DCA9" w:rsidR="00A65B3C" w:rsidRDefault="00A65B3C" w:rsidP="00705A06">
      <w:pPr>
        <w:pStyle w:val="ListParagraph"/>
        <w:numPr>
          <w:ilvl w:val="0"/>
          <w:numId w:val="12"/>
        </w:numPr>
        <w:spacing w:line="276" w:lineRule="auto"/>
        <w:jc w:val="both"/>
        <w:rPr>
          <w:rFonts w:ascii="Garamond" w:hAnsi="Garamond"/>
          <w:sz w:val="24"/>
          <w:szCs w:val="24"/>
        </w:rPr>
      </w:pPr>
      <w:r>
        <w:rPr>
          <w:rFonts w:ascii="Garamond" w:hAnsi="Garamond"/>
          <w:sz w:val="24"/>
          <w:szCs w:val="24"/>
        </w:rPr>
        <w:t>“giving the employees a reasonable opportunity to express their views about the matter”; and</w:t>
      </w:r>
    </w:p>
    <w:p w14:paraId="6C330B4B" w14:textId="3465C859" w:rsidR="00A65B3C" w:rsidRDefault="00A65B3C" w:rsidP="00705A06">
      <w:pPr>
        <w:pStyle w:val="ListParagraph"/>
        <w:numPr>
          <w:ilvl w:val="0"/>
          <w:numId w:val="12"/>
        </w:numPr>
        <w:spacing w:line="276" w:lineRule="auto"/>
        <w:jc w:val="both"/>
        <w:rPr>
          <w:rFonts w:ascii="Garamond" w:hAnsi="Garamond"/>
          <w:sz w:val="24"/>
          <w:szCs w:val="24"/>
        </w:rPr>
      </w:pPr>
      <w:r>
        <w:rPr>
          <w:rFonts w:ascii="Garamond" w:hAnsi="Garamond"/>
          <w:sz w:val="24"/>
          <w:szCs w:val="24"/>
        </w:rPr>
        <w:t>“taking into account those views”.</w:t>
      </w:r>
    </w:p>
    <w:p w14:paraId="34EDB983" w14:textId="3E5C0ECE" w:rsidR="00E51737" w:rsidRDefault="00C37D25" w:rsidP="00705A06">
      <w:pPr>
        <w:spacing w:line="276" w:lineRule="auto"/>
        <w:jc w:val="both"/>
        <w:rPr>
          <w:rFonts w:ascii="Garamond" w:hAnsi="Garamond"/>
          <w:sz w:val="24"/>
          <w:szCs w:val="24"/>
        </w:rPr>
      </w:pPr>
      <w:r>
        <w:rPr>
          <w:rFonts w:ascii="Garamond" w:hAnsi="Garamond"/>
          <w:sz w:val="24"/>
          <w:szCs w:val="24"/>
        </w:rPr>
        <w:t>Your Media Release</w:t>
      </w:r>
      <w:r w:rsidR="00A876AC">
        <w:rPr>
          <w:rFonts w:ascii="Garamond" w:hAnsi="Garamond"/>
          <w:sz w:val="24"/>
          <w:szCs w:val="24"/>
        </w:rPr>
        <w:t>, the Mandatory Vaccination Direction</w:t>
      </w:r>
      <w:r>
        <w:rPr>
          <w:rFonts w:ascii="Garamond" w:hAnsi="Garamond"/>
          <w:sz w:val="24"/>
          <w:szCs w:val="24"/>
        </w:rPr>
        <w:t xml:space="preserve"> and the assertion within it that authorised workers must be vaccinated in order to continue their work completely ignores these provisions. I am unable to “share information about the matter” with employees when the matter is a medical </w:t>
      </w:r>
      <w:proofErr w:type="gramStart"/>
      <w:r>
        <w:rPr>
          <w:rFonts w:ascii="Garamond" w:hAnsi="Garamond"/>
          <w:sz w:val="24"/>
          <w:szCs w:val="24"/>
        </w:rPr>
        <w:t>procedure</w:t>
      </w:r>
      <w:proofErr w:type="gramEnd"/>
      <w:r>
        <w:rPr>
          <w:rFonts w:ascii="Garamond" w:hAnsi="Garamond"/>
          <w:sz w:val="24"/>
          <w:szCs w:val="24"/>
        </w:rPr>
        <w:t xml:space="preserve"> I am not qualified to share information about. I am unable to give employees a “reasonable opportunity to express their views”, or to “tak[e] into account those </w:t>
      </w:r>
      <w:r>
        <w:rPr>
          <w:rFonts w:ascii="Garamond" w:hAnsi="Garamond"/>
          <w:sz w:val="24"/>
          <w:szCs w:val="24"/>
        </w:rPr>
        <w:lastRenderedPageBreak/>
        <w:t xml:space="preserve">views” in circumstances where you have given employers no notice of the Vaccination Requirement, nor have you consulted with us before implementing it. Importantly, you have also not given us an opportunity to consider the alternative measures which the OHSA and regulations actually authorise (vaccination not being one of them) to reduce workplace risk, which we are statutorily obligated to do at risk of significant penalty. </w:t>
      </w:r>
    </w:p>
    <w:p w14:paraId="3FC3BCC0" w14:textId="580DEA6F" w:rsidR="00A65B3C" w:rsidRDefault="00C37D25" w:rsidP="00705A06">
      <w:pPr>
        <w:spacing w:line="276" w:lineRule="auto"/>
        <w:jc w:val="both"/>
        <w:rPr>
          <w:rFonts w:ascii="Garamond" w:hAnsi="Garamond"/>
          <w:sz w:val="24"/>
          <w:szCs w:val="24"/>
        </w:rPr>
      </w:pPr>
      <w:r>
        <w:rPr>
          <w:rFonts w:ascii="Garamond" w:hAnsi="Garamond"/>
          <w:sz w:val="24"/>
          <w:szCs w:val="24"/>
        </w:rPr>
        <w:t>In other words, you are putting us in between a rock and a hard place</w:t>
      </w:r>
      <w:r w:rsidR="004C21FC">
        <w:rPr>
          <w:rFonts w:ascii="Garamond" w:hAnsi="Garamond"/>
          <w:sz w:val="24"/>
          <w:szCs w:val="24"/>
        </w:rPr>
        <w:t>. You are asking us to choose between</w:t>
      </w:r>
      <w:r>
        <w:rPr>
          <w:rFonts w:ascii="Garamond" w:hAnsi="Garamond"/>
          <w:sz w:val="24"/>
          <w:szCs w:val="24"/>
        </w:rPr>
        <w:t>:</w:t>
      </w:r>
    </w:p>
    <w:p w14:paraId="3F6EB8A3" w14:textId="3DE06FA2" w:rsidR="00C37D25" w:rsidRDefault="00C37D25" w:rsidP="00705A06">
      <w:pPr>
        <w:pStyle w:val="ListParagraph"/>
        <w:numPr>
          <w:ilvl w:val="0"/>
          <w:numId w:val="13"/>
        </w:numPr>
        <w:spacing w:line="276" w:lineRule="auto"/>
        <w:jc w:val="both"/>
        <w:rPr>
          <w:rFonts w:ascii="Garamond" w:hAnsi="Garamond"/>
          <w:sz w:val="24"/>
          <w:szCs w:val="24"/>
        </w:rPr>
      </w:pPr>
      <w:r>
        <w:rPr>
          <w:rFonts w:ascii="Garamond" w:hAnsi="Garamond"/>
          <w:sz w:val="24"/>
          <w:szCs w:val="24"/>
        </w:rPr>
        <w:t xml:space="preserve">telling our </w:t>
      </w:r>
      <w:proofErr w:type="gramStart"/>
      <w:r>
        <w:rPr>
          <w:rFonts w:ascii="Garamond" w:hAnsi="Garamond"/>
          <w:sz w:val="24"/>
          <w:szCs w:val="24"/>
        </w:rPr>
        <w:t>staff</w:t>
      </w:r>
      <w:proofErr w:type="gramEnd"/>
      <w:r>
        <w:rPr>
          <w:rFonts w:ascii="Garamond" w:hAnsi="Garamond"/>
          <w:sz w:val="24"/>
          <w:szCs w:val="24"/>
        </w:rPr>
        <w:t xml:space="preserve"> they must get vaccinated and breaching Victorian Work Health and Safety law as a result;</w:t>
      </w:r>
      <w:r>
        <w:rPr>
          <w:rStyle w:val="FootnoteReference"/>
          <w:rFonts w:ascii="Garamond" w:hAnsi="Garamond"/>
          <w:sz w:val="24"/>
          <w:szCs w:val="24"/>
        </w:rPr>
        <w:footnoteReference w:id="10"/>
      </w:r>
      <w:r>
        <w:rPr>
          <w:rFonts w:ascii="Garamond" w:hAnsi="Garamond"/>
          <w:sz w:val="24"/>
          <w:szCs w:val="24"/>
        </w:rPr>
        <w:t xml:space="preserve"> or</w:t>
      </w:r>
    </w:p>
    <w:p w14:paraId="4D3CAE62" w14:textId="1D665079" w:rsidR="00C37D25" w:rsidRDefault="00C37D25" w:rsidP="00705A06">
      <w:pPr>
        <w:pStyle w:val="ListParagraph"/>
        <w:numPr>
          <w:ilvl w:val="0"/>
          <w:numId w:val="13"/>
        </w:numPr>
        <w:spacing w:line="276" w:lineRule="auto"/>
        <w:jc w:val="both"/>
        <w:rPr>
          <w:rFonts w:ascii="Garamond" w:hAnsi="Garamond"/>
          <w:sz w:val="24"/>
          <w:szCs w:val="24"/>
        </w:rPr>
      </w:pPr>
      <w:r>
        <w:rPr>
          <w:rFonts w:ascii="Garamond" w:hAnsi="Garamond"/>
          <w:sz w:val="24"/>
          <w:szCs w:val="24"/>
        </w:rPr>
        <w:t xml:space="preserve">telling our </w:t>
      </w:r>
      <w:proofErr w:type="gramStart"/>
      <w:r>
        <w:rPr>
          <w:rFonts w:ascii="Garamond" w:hAnsi="Garamond"/>
          <w:sz w:val="24"/>
          <w:szCs w:val="24"/>
        </w:rPr>
        <w:t>staff</w:t>
      </w:r>
      <w:proofErr w:type="gramEnd"/>
      <w:r>
        <w:rPr>
          <w:rFonts w:ascii="Garamond" w:hAnsi="Garamond"/>
          <w:sz w:val="24"/>
          <w:szCs w:val="24"/>
        </w:rPr>
        <w:t xml:space="preserve"> they do not need to be vaccinated despite your confusing Media Release which says otherwise.</w:t>
      </w:r>
    </w:p>
    <w:p w14:paraId="0CAD8799" w14:textId="0314D9A6" w:rsidR="009A2820" w:rsidRPr="009A2820" w:rsidRDefault="009A2820" w:rsidP="00705A06">
      <w:pPr>
        <w:spacing w:line="276" w:lineRule="auto"/>
        <w:jc w:val="both"/>
        <w:rPr>
          <w:rFonts w:ascii="Garamond" w:hAnsi="Garamond"/>
          <w:sz w:val="24"/>
          <w:szCs w:val="24"/>
        </w:rPr>
      </w:pPr>
      <w:r>
        <w:rPr>
          <w:rFonts w:ascii="Garamond" w:hAnsi="Garamond"/>
          <w:sz w:val="24"/>
          <w:szCs w:val="24"/>
        </w:rPr>
        <w:t>It is also unclear whether a direction I make for my staff to be vaccinated could be “lawful and reasonable”. The OHSA and the Occupational Health and Safety Regulations 2017 (</w:t>
      </w:r>
      <w:r w:rsidRPr="009A2820">
        <w:rPr>
          <w:rFonts w:ascii="Garamond" w:hAnsi="Garamond"/>
          <w:b/>
          <w:bCs/>
          <w:sz w:val="24"/>
          <w:szCs w:val="24"/>
        </w:rPr>
        <w:t>the OHSR</w:t>
      </w:r>
      <w:r>
        <w:rPr>
          <w:rFonts w:ascii="Garamond" w:hAnsi="Garamond"/>
          <w:sz w:val="24"/>
          <w:szCs w:val="24"/>
        </w:rPr>
        <w:t xml:space="preserve">) form a comprehensive and exhaustive statutory framework for workplace law in Victoria. The degree of specificity in the OHSR in particular, which has 560 sections and 20 schedules, indicates that they are clearly intended to cover the field. Those legislative instruments clearly delegate to employers several means of mitigating workplace risk. </w:t>
      </w:r>
      <w:r>
        <w:rPr>
          <w:rFonts w:ascii="Garamond" w:hAnsi="Garamond"/>
          <w:b/>
          <w:bCs/>
          <w:sz w:val="24"/>
          <w:szCs w:val="24"/>
        </w:rPr>
        <w:t xml:space="preserve">None of those means contain a requirement for employees to undergo any kind of medical intervention. </w:t>
      </w:r>
      <w:r>
        <w:rPr>
          <w:rFonts w:ascii="Garamond" w:hAnsi="Garamond"/>
          <w:sz w:val="24"/>
          <w:szCs w:val="24"/>
        </w:rPr>
        <w:t xml:space="preserve">The issue of </w:t>
      </w:r>
      <w:r w:rsidRPr="009A2820">
        <w:rPr>
          <w:rFonts w:ascii="Garamond" w:hAnsi="Garamond"/>
          <w:sz w:val="24"/>
          <w:szCs w:val="24"/>
        </w:rPr>
        <w:t>whether an employer can direct an employee to attend a medical examination has been explored quite extensively, and can provide guidance here despite</w:t>
      </w:r>
      <w:r>
        <w:rPr>
          <w:rFonts w:ascii="Garamond" w:hAnsi="Garamond"/>
          <w:sz w:val="24"/>
          <w:szCs w:val="24"/>
        </w:rPr>
        <w:t xml:space="preserve"> </w:t>
      </w:r>
      <w:r w:rsidRPr="009A2820">
        <w:rPr>
          <w:rFonts w:ascii="Garamond" w:hAnsi="Garamond"/>
          <w:sz w:val="24"/>
          <w:szCs w:val="24"/>
        </w:rPr>
        <w:t xml:space="preserve">the requirement to undergo a medical intervention being a much more onerous one. In particular, in </w:t>
      </w:r>
      <w:r w:rsidRPr="009A2820">
        <w:rPr>
          <w:rFonts w:ascii="Garamond" w:hAnsi="Garamond"/>
          <w:i/>
          <w:iCs/>
          <w:sz w:val="24"/>
          <w:szCs w:val="24"/>
        </w:rPr>
        <w:t>Grant v BHP Coal Pty Ltd</w:t>
      </w:r>
      <w:r w:rsidRPr="009A2820">
        <w:rPr>
          <w:rFonts w:ascii="Garamond" w:hAnsi="Garamond"/>
          <w:sz w:val="24"/>
          <w:szCs w:val="24"/>
        </w:rPr>
        <w:t>,</w:t>
      </w:r>
      <w:r>
        <w:rPr>
          <w:rStyle w:val="FootnoteReference"/>
          <w:rFonts w:ascii="Garamond" w:hAnsi="Garamond"/>
          <w:sz w:val="24"/>
          <w:szCs w:val="24"/>
        </w:rPr>
        <w:footnoteReference w:id="11"/>
      </w:r>
      <w:r w:rsidRPr="009A2820">
        <w:rPr>
          <w:rFonts w:ascii="Garamond" w:hAnsi="Garamond"/>
          <w:sz w:val="24"/>
          <w:szCs w:val="24"/>
        </w:rPr>
        <w:t xml:space="preserve">  Dowsett, Barker and Rangiah JJ referred to the ‘principle of legality’, exploring its limits with reference to other authorities. They said (with emphasis added:</w:t>
      </w:r>
    </w:p>
    <w:p w14:paraId="4D0703F6" w14:textId="7837B3FF" w:rsidR="009A2820" w:rsidRPr="009A2820" w:rsidRDefault="009A2820" w:rsidP="00705A06">
      <w:pPr>
        <w:spacing w:line="276" w:lineRule="auto"/>
        <w:ind w:left="720"/>
        <w:jc w:val="both"/>
        <w:rPr>
          <w:rFonts w:ascii="Garamond" w:hAnsi="Garamond"/>
          <w:sz w:val="24"/>
          <w:szCs w:val="24"/>
        </w:rPr>
      </w:pPr>
      <w:r w:rsidRPr="009A2820">
        <w:rPr>
          <w:rFonts w:ascii="Garamond" w:hAnsi="Garamond"/>
          <w:sz w:val="24"/>
          <w:szCs w:val="24"/>
        </w:rPr>
        <w:t>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privileges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5BC66AAF" w14:textId="0FAB06D0" w:rsidR="009A2820" w:rsidRDefault="009A2820" w:rsidP="00705A06">
      <w:pPr>
        <w:spacing w:line="276" w:lineRule="auto"/>
        <w:jc w:val="both"/>
        <w:rPr>
          <w:rFonts w:ascii="Garamond" w:hAnsi="Garamond"/>
          <w:sz w:val="24"/>
          <w:szCs w:val="24"/>
        </w:rPr>
      </w:pPr>
      <w:r>
        <w:rPr>
          <w:rFonts w:ascii="Garamond" w:hAnsi="Garamond"/>
          <w:sz w:val="24"/>
          <w:szCs w:val="24"/>
        </w:rPr>
        <w:lastRenderedPageBreak/>
        <w:t xml:space="preserve">The OHSA and OHSR lack such “clear words or necessary implication”, and, as </w:t>
      </w:r>
      <w:r w:rsidR="00D57B68">
        <w:rPr>
          <w:rFonts w:ascii="Garamond" w:hAnsi="Garamond"/>
          <w:sz w:val="24"/>
          <w:szCs w:val="24"/>
        </w:rPr>
        <w:t>I</w:t>
      </w:r>
      <w:r>
        <w:rPr>
          <w:rFonts w:ascii="Garamond" w:hAnsi="Garamond"/>
          <w:sz w:val="24"/>
          <w:szCs w:val="24"/>
        </w:rPr>
        <w:t xml:space="preserve"> noted above, there isn’t even a valid public health order or direction which mandates vaccination in my field of work</w:t>
      </w:r>
      <w:r w:rsidR="00D57B68">
        <w:rPr>
          <w:rFonts w:ascii="Garamond" w:hAnsi="Garamond"/>
          <w:sz w:val="24"/>
          <w:szCs w:val="24"/>
        </w:rPr>
        <w:t xml:space="preserve"> (</w:t>
      </w:r>
      <w:r w:rsidR="00D57B68" w:rsidRPr="00D57B68">
        <w:rPr>
          <w:rFonts w:ascii="Garamond" w:hAnsi="Garamond"/>
          <w:sz w:val="24"/>
          <w:szCs w:val="24"/>
          <w:highlight w:val="yellow"/>
        </w:rPr>
        <w:t>DELETE OR AMEND IF NOT ACCURATE</w:t>
      </w:r>
      <w:r w:rsidR="00D57B68">
        <w:rPr>
          <w:rFonts w:ascii="Garamond" w:hAnsi="Garamond"/>
          <w:sz w:val="24"/>
          <w:szCs w:val="24"/>
        </w:rPr>
        <w:t>)</w:t>
      </w:r>
      <w:r>
        <w:rPr>
          <w:rFonts w:ascii="Garamond" w:hAnsi="Garamond"/>
          <w:sz w:val="24"/>
          <w:szCs w:val="24"/>
        </w:rPr>
        <w:t>.</w:t>
      </w:r>
    </w:p>
    <w:p w14:paraId="7929E92D" w14:textId="39628A2F" w:rsidR="00C37D25" w:rsidRDefault="00C37D25" w:rsidP="00705A06">
      <w:pPr>
        <w:spacing w:line="276" w:lineRule="auto"/>
        <w:jc w:val="both"/>
        <w:rPr>
          <w:rFonts w:ascii="Garamond" w:hAnsi="Garamond"/>
          <w:sz w:val="24"/>
          <w:szCs w:val="24"/>
        </w:rPr>
      </w:pPr>
      <w:r>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w:t>
      </w:r>
      <w:r w:rsidR="00D57B68">
        <w:rPr>
          <w:rFonts w:ascii="Garamond" w:hAnsi="Garamond"/>
          <w:sz w:val="24"/>
          <w:szCs w:val="24"/>
        </w:rPr>
        <w:t>s</w:t>
      </w:r>
      <w:r>
        <w:rPr>
          <w:rFonts w:ascii="Garamond" w:hAnsi="Garamond"/>
          <w:sz w:val="24"/>
          <w:szCs w:val="24"/>
        </w:rPr>
        <w:t>tate’s legislative frameworks. The lack of any kind of transitional arrangement or consideration as to the consequences of such a Vaccination Requirement is reckless, at least. You are</w:t>
      </w:r>
      <w:r w:rsidRPr="00C37D25">
        <w:rPr>
          <w:rFonts w:ascii="Garamond" w:hAnsi="Garamond"/>
          <w:sz w:val="24"/>
          <w:szCs w:val="24"/>
        </w:rPr>
        <w:t xml:space="preserve"> forcing us</w:t>
      </w:r>
      <w:r w:rsidR="00D57B68">
        <w:rPr>
          <w:rFonts w:ascii="Garamond" w:hAnsi="Garamond"/>
          <w:sz w:val="24"/>
          <w:szCs w:val="24"/>
        </w:rPr>
        <w:t xml:space="preserve"> as employers</w:t>
      </w:r>
      <w:r w:rsidRPr="00C37D25">
        <w:rPr>
          <w:rFonts w:ascii="Garamond" w:hAnsi="Garamond"/>
          <w:sz w:val="24"/>
          <w:szCs w:val="24"/>
        </w:rPr>
        <w:t xml:space="preserve"> to breach the laws we have to comply with without any thought or consideration for that. </w:t>
      </w:r>
      <w:r>
        <w:rPr>
          <w:rFonts w:ascii="Garamond" w:hAnsi="Garamond"/>
          <w:sz w:val="24"/>
          <w:szCs w:val="24"/>
        </w:rPr>
        <w:t>I believe that I have no choice but to say no</w:t>
      </w:r>
      <w:r w:rsidR="00E51737">
        <w:rPr>
          <w:rFonts w:ascii="Garamond" w:hAnsi="Garamond"/>
          <w:sz w:val="24"/>
          <w:szCs w:val="24"/>
        </w:rPr>
        <w:t xml:space="preserve">. In such circumstances, I have the right not to follow what you’re telling me to do. </w:t>
      </w:r>
    </w:p>
    <w:p w14:paraId="0959567F" w14:textId="10EEABF1" w:rsidR="00E51737" w:rsidRPr="00AF4CD4" w:rsidRDefault="00AF4CD4" w:rsidP="00705A06">
      <w:pPr>
        <w:pStyle w:val="ListParagraph"/>
        <w:numPr>
          <w:ilvl w:val="0"/>
          <w:numId w:val="10"/>
        </w:numPr>
        <w:spacing w:line="276" w:lineRule="auto"/>
        <w:jc w:val="both"/>
        <w:rPr>
          <w:rFonts w:ascii="Garamond" w:hAnsi="Garamond"/>
          <w:b/>
          <w:bCs/>
          <w:sz w:val="24"/>
          <w:szCs w:val="24"/>
        </w:rPr>
      </w:pPr>
      <w:r w:rsidRPr="00AF4CD4">
        <w:rPr>
          <w:rFonts w:ascii="Garamond" w:hAnsi="Garamond"/>
          <w:b/>
          <w:bCs/>
          <w:sz w:val="24"/>
          <w:szCs w:val="24"/>
        </w:rPr>
        <w:t>The PHW Act is being otherwise misused</w:t>
      </w:r>
    </w:p>
    <w:p w14:paraId="76E52E2D" w14:textId="40DF4CE9" w:rsidR="00D76820" w:rsidRDefault="00AF4CD4" w:rsidP="00705A06">
      <w:pPr>
        <w:spacing w:line="276" w:lineRule="auto"/>
        <w:jc w:val="both"/>
        <w:rPr>
          <w:rFonts w:ascii="Garamond" w:hAnsi="Garamond"/>
          <w:sz w:val="24"/>
          <w:szCs w:val="24"/>
        </w:rPr>
      </w:pPr>
      <w:r>
        <w:rPr>
          <w:rFonts w:ascii="Garamond" w:hAnsi="Garamond"/>
          <w:sz w:val="24"/>
          <w:szCs w:val="24"/>
        </w:rPr>
        <w:t>As noted above, the Mandatory Vaccination Direction</w:t>
      </w:r>
      <w:r w:rsidR="0080464E">
        <w:rPr>
          <w:rFonts w:ascii="Garamond" w:hAnsi="Garamond"/>
          <w:sz w:val="24"/>
          <w:szCs w:val="24"/>
        </w:rPr>
        <w:t>, and other public health orders in Victoria,</w:t>
      </w:r>
      <w:r>
        <w:rPr>
          <w:rFonts w:ascii="Garamond" w:hAnsi="Garamond"/>
          <w:sz w:val="24"/>
          <w:szCs w:val="24"/>
        </w:rPr>
        <w:t xml:space="preserve"> </w:t>
      </w:r>
      <w:r w:rsidR="0080464E">
        <w:rPr>
          <w:rFonts w:ascii="Garamond" w:hAnsi="Garamond"/>
          <w:sz w:val="24"/>
          <w:szCs w:val="24"/>
        </w:rPr>
        <w:t>have been</w:t>
      </w:r>
      <w:r>
        <w:rPr>
          <w:rFonts w:ascii="Garamond" w:hAnsi="Garamond"/>
          <w:sz w:val="24"/>
          <w:szCs w:val="24"/>
        </w:rPr>
        <w:t xml:space="preserve"> made pursuant to s200(d) of the PHW Act. </w:t>
      </w:r>
      <w:r w:rsidR="0080464E">
        <w:rPr>
          <w:rFonts w:ascii="Garamond" w:hAnsi="Garamond"/>
          <w:sz w:val="24"/>
          <w:szCs w:val="24"/>
        </w:rPr>
        <w:t>This is an over simplification and a misuse of the broader public health legislative framework in Victoria</w:t>
      </w:r>
      <w:r w:rsidR="00D57B68">
        <w:rPr>
          <w:rFonts w:ascii="Garamond" w:hAnsi="Garamond"/>
          <w:sz w:val="24"/>
          <w:szCs w:val="24"/>
        </w:rPr>
        <w:t>,</w:t>
      </w:r>
      <w:r w:rsidR="0080464E">
        <w:rPr>
          <w:rFonts w:ascii="Garamond" w:hAnsi="Garamond"/>
          <w:sz w:val="24"/>
          <w:szCs w:val="24"/>
        </w:rPr>
        <w:t xml:space="preserve"> as well as nationally.</w:t>
      </w:r>
    </w:p>
    <w:p w14:paraId="1C203232" w14:textId="35A3AB39" w:rsidR="0080464E" w:rsidRDefault="0080464E" w:rsidP="00705A06">
      <w:pPr>
        <w:spacing w:line="276" w:lineRule="auto"/>
        <w:jc w:val="both"/>
        <w:rPr>
          <w:rFonts w:ascii="Garamond" w:hAnsi="Garamond"/>
          <w:i/>
          <w:iCs/>
          <w:sz w:val="24"/>
          <w:szCs w:val="24"/>
        </w:rPr>
      </w:pPr>
      <w:r>
        <w:rPr>
          <w:rFonts w:ascii="Garamond" w:hAnsi="Garamond"/>
          <w:i/>
          <w:iCs/>
          <w:sz w:val="24"/>
          <w:szCs w:val="24"/>
        </w:rPr>
        <w:t>Inconsistency with the Biosecurity Act</w:t>
      </w:r>
    </w:p>
    <w:p w14:paraId="08F2118C" w14:textId="72DA7993" w:rsidR="0080464E" w:rsidRDefault="0080464E" w:rsidP="00705A06">
      <w:pPr>
        <w:spacing w:line="276" w:lineRule="auto"/>
        <w:jc w:val="both"/>
        <w:rPr>
          <w:rFonts w:ascii="Garamond" w:hAnsi="Garamond"/>
          <w:sz w:val="24"/>
          <w:szCs w:val="24"/>
        </w:rPr>
      </w:pPr>
      <w:r>
        <w:rPr>
          <w:rFonts w:ascii="Garamond" w:hAnsi="Garamond"/>
          <w:sz w:val="24"/>
          <w:szCs w:val="24"/>
        </w:rPr>
        <w:t xml:space="preserve">Section 477 of the </w:t>
      </w:r>
      <w:r w:rsidRPr="0080464E">
        <w:rPr>
          <w:rFonts w:ascii="Garamond" w:hAnsi="Garamond"/>
          <w:i/>
          <w:iCs/>
          <w:sz w:val="24"/>
          <w:szCs w:val="24"/>
        </w:rPr>
        <w:t>Biosecurity Act 2015</w:t>
      </w:r>
      <w:r>
        <w:rPr>
          <w:rFonts w:ascii="Garamond" w:hAnsi="Garamond"/>
          <w:sz w:val="24"/>
          <w:szCs w:val="24"/>
        </w:rPr>
        <w:t xml:space="preserve"> (Cth) (</w:t>
      </w:r>
      <w:r w:rsidRPr="0080464E">
        <w:rPr>
          <w:rFonts w:ascii="Garamond" w:hAnsi="Garamond"/>
          <w:b/>
          <w:bCs/>
          <w:sz w:val="24"/>
          <w:szCs w:val="24"/>
        </w:rPr>
        <w:t>the BSA</w:t>
      </w:r>
      <w:r>
        <w:rPr>
          <w:rFonts w:ascii="Garamond" w:hAnsi="Garamond"/>
          <w:sz w:val="24"/>
          <w:szCs w:val="24"/>
        </w:rPr>
        <w:t>) allows the Federal Health Minister to determine emergency requirements during a human biosecurity emergency period. Australia has at all material times been in such a period</w:t>
      </w:r>
      <w:r w:rsidR="0030300A">
        <w:rPr>
          <w:rFonts w:ascii="Garamond" w:hAnsi="Garamond"/>
          <w:sz w:val="24"/>
          <w:szCs w:val="24"/>
        </w:rPr>
        <w:t xml:space="preserve"> pursuant to the BSA</w:t>
      </w:r>
      <w:r>
        <w:rPr>
          <w:rFonts w:ascii="Garamond" w:hAnsi="Garamond"/>
          <w:sz w:val="24"/>
          <w:szCs w:val="24"/>
        </w:rPr>
        <w:t xml:space="preserve">. </w:t>
      </w:r>
    </w:p>
    <w:p w14:paraId="2F1807FB" w14:textId="3AD77F40" w:rsidR="00A3360E" w:rsidRPr="0080464E" w:rsidRDefault="00A3360E" w:rsidP="00705A06">
      <w:pPr>
        <w:spacing w:line="276" w:lineRule="auto"/>
        <w:jc w:val="both"/>
        <w:rPr>
          <w:rFonts w:ascii="Garamond" w:hAnsi="Garamond"/>
          <w:sz w:val="24"/>
          <w:szCs w:val="24"/>
        </w:rPr>
      </w:pPr>
      <w:r w:rsidRPr="0080464E">
        <w:rPr>
          <w:rFonts w:ascii="Garamond" w:hAnsi="Garamond"/>
          <w:sz w:val="24"/>
          <w:szCs w:val="24"/>
        </w:rPr>
        <w:t>Section 477(1)</w:t>
      </w:r>
      <w:r w:rsidR="0030300A">
        <w:rPr>
          <w:rFonts w:ascii="Garamond" w:hAnsi="Garamond"/>
          <w:sz w:val="24"/>
          <w:szCs w:val="24"/>
        </w:rPr>
        <w:t xml:space="preserve"> of the BSA</w:t>
      </w:r>
      <w:r w:rsidRPr="0080464E">
        <w:rPr>
          <w:rFonts w:ascii="Garamond" w:hAnsi="Garamond"/>
          <w:sz w:val="24"/>
          <w:szCs w:val="24"/>
        </w:rPr>
        <w:t xml:space="preserve"> says:</w:t>
      </w:r>
    </w:p>
    <w:p w14:paraId="47F700C0" w14:textId="77777777" w:rsidR="00A3360E" w:rsidRPr="0080464E" w:rsidRDefault="00A3360E" w:rsidP="00705A06">
      <w:pPr>
        <w:spacing w:line="276" w:lineRule="auto"/>
        <w:ind w:left="720"/>
        <w:jc w:val="both"/>
        <w:rPr>
          <w:rFonts w:ascii="Garamond" w:hAnsi="Garamond"/>
          <w:sz w:val="24"/>
          <w:szCs w:val="24"/>
        </w:rPr>
      </w:pPr>
      <w:r w:rsidRPr="0080464E">
        <w:rPr>
          <w:rFonts w:ascii="Garamond" w:hAnsi="Garamond"/>
          <w:sz w:val="24"/>
          <w:szCs w:val="24"/>
        </w:rPr>
        <w:t>“(1) During a human biosecurity emergency period, the Health Minister may determine any</w:t>
      </w:r>
      <w:r>
        <w:rPr>
          <w:rFonts w:ascii="Garamond" w:hAnsi="Garamond"/>
          <w:sz w:val="24"/>
          <w:szCs w:val="24"/>
        </w:rPr>
        <w:t xml:space="preserve"> </w:t>
      </w:r>
      <w:r w:rsidRPr="0080464E">
        <w:rPr>
          <w:rFonts w:ascii="Garamond" w:hAnsi="Garamond"/>
          <w:sz w:val="24"/>
          <w:szCs w:val="24"/>
        </w:rPr>
        <w:t>requirement that he or she is satisfied is necessary:</w:t>
      </w:r>
    </w:p>
    <w:p w14:paraId="69E4940C" w14:textId="77777777" w:rsidR="00A3360E" w:rsidRPr="0080464E" w:rsidRDefault="00A3360E" w:rsidP="00705A06">
      <w:pPr>
        <w:spacing w:line="276" w:lineRule="auto"/>
        <w:ind w:left="720" w:firstLine="720"/>
        <w:jc w:val="both"/>
        <w:rPr>
          <w:rFonts w:ascii="Garamond" w:hAnsi="Garamond"/>
          <w:sz w:val="24"/>
          <w:szCs w:val="24"/>
        </w:rPr>
      </w:pPr>
      <w:r w:rsidRPr="0080464E">
        <w:rPr>
          <w:rFonts w:ascii="Garamond" w:hAnsi="Garamond"/>
          <w:sz w:val="24"/>
          <w:szCs w:val="24"/>
        </w:rPr>
        <w:t>(a) to prevent or control:</w:t>
      </w:r>
    </w:p>
    <w:p w14:paraId="01108973" w14:textId="77777777" w:rsidR="00A3360E" w:rsidRPr="0080464E" w:rsidRDefault="00A3360E" w:rsidP="00705A06">
      <w:pPr>
        <w:spacing w:line="276" w:lineRule="auto"/>
        <w:ind w:left="2160"/>
        <w:jc w:val="both"/>
        <w:rPr>
          <w:rFonts w:ascii="Garamond" w:hAnsi="Garamond"/>
          <w:sz w:val="24"/>
          <w:szCs w:val="24"/>
        </w:rPr>
      </w:pPr>
      <w:r w:rsidRPr="0080464E">
        <w:rPr>
          <w:rFonts w:ascii="Garamond" w:hAnsi="Garamond"/>
          <w:sz w:val="24"/>
          <w:szCs w:val="24"/>
        </w:rPr>
        <w:t>(i) the entry of the declaration listed human disease into Australian territory or part of Australian territory; or</w:t>
      </w:r>
    </w:p>
    <w:p w14:paraId="7275A244" w14:textId="77777777" w:rsidR="00A3360E" w:rsidRDefault="00A3360E" w:rsidP="00705A06">
      <w:pPr>
        <w:spacing w:line="276" w:lineRule="auto"/>
        <w:ind w:left="2160"/>
        <w:jc w:val="both"/>
        <w:rPr>
          <w:rFonts w:ascii="Garamond" w:hAnsi="Garamond"/>
          <w:sz w:val="24"/>
          <w:szCs w:val="24"/>
        </w:rPr>
      </w:pPr>
      <w:r w:rsidRPr="0080464E">
        <w:rPr>
          <w:rFonts w:ascii="Garamond" w:hAnsi="Garamond"/>
          <w:sz w:val="24"/>
          <w:szCs w:val="24"/>
        </w:rPr>
        <w:t>(ii) the emergence, establishment or spread of the declaration listed human diseas</w:t>
      </w:r>
      <w:r>
        <w:rPr>
          <w:rFonts w:ascii="Garamond" w:hAnsi="Garamond"/>
          <w:sz w:val="24"/>
          <w:szCs w:val="24"/>
        </w:rPr>
        <w:t xml:space="preserve">e </w:t>
      </w:r>
      <w:r w:rsidRPr="0080464E">
        <w:rPr>
          <w:rFonts w:ascii="Garamond" w:hAnsi="Garamond"/>
          <w:sz w:val="24"/>
          <w:szCs w:val="24"/>
        </w:rPr>
        <w:t>in Australian territory or a part of Australian territory …”</w:t>
      </w:r>
    </w:p>
    <w:p w14:paraId="4C3F95E4" w14:textId="2CB6DC1A" w:rsidR="0080464E" w:rsidRPr="0080464E" w:rsidRDefault="0080464E" w:rsidP="00705A06">
      <w:pPr>
        <w:spacing w:line="276" w:lineRule="auto"/>
        <w:jc w:val="both"/>
        <w:rPr>
          <w:rFonts w:ascii="Garamond" w:hAnsi="Garamond"/>
          <w:sz w:val="24"/>
          <w:szCs w:val="24"/>
        </w:rPr>
      </w:pPr>
      <w:r>
        <w:rPr>
          <w:rFonts w:ascii="Garamond" w:hAnsi="Garamond"/>
          <w:sz w:val="24"/>
          <w:szCs w:val="24"/>
        </w:rPr>
        <w:t xml:space="preserve">In addition, Section 8 of the BSA </w:t>
      </w:r>
      <w:r w:rsidRPr="0080464E">
        <w:rPr>
          <w:rFonts w:ascii="Garamond" w:hAnsi="Garamond"/>
          <w:sz w:val="24"/>
          <w:szCs w:val="24"/>
        </w:rPr>
        <w:t>provides</w:t>
      </w:r>
      <w:r>
        <w:rPr>
          <w:rFonts w:ascii="Garamond" w:hAnsi="Garamond"/>
          <w:sz w:val="24"/>
          <w:szCs w:val="24"/>
        </w:rPr>
        <w:t xml:space="preserve"> that</w:t>
      </w:r>
      <w:r w:rsidRPr="0080464E">
        <w:rPr>
          <w:rFonts w:ascii="Garamond" w:hAnsi="Garamond"/>
          <w:sz w:val="24"/>
          <w:szCs w:val="24"/>
        </w:rPr>
        <w:t>:</w:t>
      </w:r>
    </w:p>
    <w:p w14:paraId="70555C11" w14:textId="5484FAAA" w:rsidR="0080464E" w:rsidRPr="0080464E" w:rsidRDefault="0080464E" w:rsidP="00705A06">
      <w:pPr>
        <w:spacing w:line="276" w:lineRule="auto"/>
        <w:ind w:left="720"/>
        <w:jc w:val="both"/>
        <w:rPr>
          <w:rFonts w:ascii="Garamond" w:hAnsi="Garamond"/>
          <w:sz w:val="24"/>
          <w:szCs w:val="24"/>
        </w:rPr>
      </w:pPr>
      <w:r w:rsidRPr="0080464E">
        <w:rPr>
          <w:rFonts w:ascii="Garamond" w:hAnsi="Garamond"/>
          <w:sz w:val="24"/>
          <w:szCs w:val="24"/>
        </w:rPr>
        <w:t>(1) This Act does not exclude or limit the operation of a law of a State or Territory that is</w:t>
      </w:r>
      <w:r>
        <w:rPr>
          <w:rFonts w:ascii="Garamond" w:hAnsi="Garamond"/>
          <w:sz w:val="24"/>
          <w:szCs w:val="24"/>
        </w:rPr>
        <w:t xml:space="preserve"> </w:t>
      </w:r>
      <w:r w:rsidRPr="0080464E">
        <w:rPr>
          <w:rFonts w:ascii="Garamond" w:hAnsi="Garamond"/>
          <w:sz w:val="24"/>
          <w:szCs w:val="24"/>
        </w:rPr>
        <w:t>capable of operating concurrently with this Act (except as referred to in subsection (2)).</w:t>
      </w:r>
    </w:p>
    <w:p w14:paraId="15B9E174" w14:textId="77777777" w:rsidR="0080464E" w:rsidRPr="0080464E" w:rsidRDefault="0080464E" w:rsidP="00705A06">
      <w:pPr>
        <w:spacing w:line="276" w:lineRule="auto"/>
        <w:ind w:firstLine="720"/>
        <w:jc w:val="both"/>
        <w:rPr>
          <w:rFonts w:ascii="Garamond" w:hAnsi="Garamond"/>
          <w:sz w:val="24"/>
          <w:szCs w:val="24"/>
        </w:rPr>
      </w:pPr>
      <w:r w:rsidRPr="0080464E">
        <w:rPr>
          <w:rFonts w:ascii="Garamond" w:hAnsi="Garamond"/>
          <w:sz w:val="24"/>
          <w:szCs w:val="24"/>
        </w:rPr>
        <w:t>(2) Subsection (1) is subject to the following provisions:</w:t>
      </w:r>
    </w:p>
    <w:p w14:paraId="166F7B5D" w14:textId="298663B9" w:rsidR="0080464E" w:rsidRPr="0080464E" w:rsidRDefault="0080464E" w:rsidP="00705A06">
      <w:pPr>
        <w:spacing w:line="276" w:lineRule="auto"/>
        <w:ind w:left="1440"/>
        <w:jc w:val="both"/>
        <w:rPr>
          <w:rFonts w:ascii="Garamond" w:hAnsi="Garamond"/>
          <w:sz w:val="24"/>
          <w:szCs w:val="24"/>
        </w:rPr>
      </w:pPr>
      <w:r w:rsidRPr="0080464E">
        <w:rPr>
          <w:rFonts w:ascii="Garamond" w:hAnsi="Garamond"/>
          <w:sz w:val="24"/>
          <w:szCs w:val="24"/>
        </w:rPr>
        <w:lastRenderedPageBreak/>
        <w:t>(c) subsections … 477(5) and 478(4) (biosecurity emergencies and human biosecurity</w:t>
      </w:r>
      <w:r>
        <w:rPr>
          <w:rFonts w:ascii="Garamond" w:hAnsi="Garamond"/>
          <w:sz w:val="24"/>
          <w:szCs w:val="24"/>
        </w:rPr>
        <w:t xml:space="preserve"> </w:t>
      </w:r>
      <w:r w:rsidRPr="0080464E">
        <w:rPr>
          <w:rFonts w:ascii="Garamond" w:hAnsi="Garamond"/>
          <w:sz w:val="24"/>
          <w:szCs w:val="24"/>
        </w:rPr>
        <w:t>emergencies).”</w:t>
      </w:r>
    </w:p>
    <w:p w14:paraId="4A7787B4" w14:textId="67D4FEC9" w:rsidR="00A3360E" w:rsidRPr="00A3360E" w:rsidRDefault="00A3360E" w:rsidP="00705A06">
      <w:pPr>
        <w:spacing w:line="276" w:lineRule="auto"/>
        <w:jc w:val="both"/>
        <w:rPr>
          <w:rFonts w:ascii="Garamond" w:hAnsi="Garamond"/>
          <w:sz w:val="24"/>
          <w:szCs w:val="24"/>
        </w:rPr>
      </w:pPr>
      <w:r>
        <w:rPr>
          <w:rFonts w:ascii="Garamond" w:hAnsi="Garamond"/>
          <w:sz w:val="24"/>
          <w:szCs w:val="24"/>
        </w:rPr>
        <w:t xml:space="preserve">So, </w:t>
      </w:r>
      <w:r w:rsidRPr="00A3360E">
        <w:rPr>
          <w:rFonts w:ascii="Garamond" w:hAnsi="Garamond"/>
          <w:sz w:val="24"/>
          <w:szCs w:val="24"/>
        </w:rPr>
        <w:t xml:space="preserve">if the (state) </w:t>
      </w:r>
      <w:r>
        <w:rPr>
          <w:rFonts w:ascii="Garamond" w:hAnsi="Garamond"/>
          <w:sz w:val="24"/>
          <w:szCs w:val="24"/>
        </w:rPr>
        <w:t>PHW Act</w:t>
      </w:r>
      <w:r w:rsidRPr="00A3360E">
        <w:rPr>
          <w:rFonts w:ascii="Garamond" w:hAnsi="Garamond"/>
          <w:sz w:val="24"/>
          <w:szCs w:val="24"/>
        </w:rPr>
        <w:t xml:space="preserve"> is incapable of operating concurrently with the (federal) BSA, then the (federal) BSA excludes or limits the operation of the (state) PH</w:t>
      </w:r>
      <w:r>
        <w:rPr>
          <w:rFonts w:ascii="Garamond" w:hAnsi="Garamond"/>
          <w:sz w:val="24"/>
          <w:szCs w:val="24"/>
        </w:rPr>
        <w:t>W Act</w:t>
      </w:r>
      <w:r w:rsidRPr="00A3360E">
        <w:rPr>
          <w:rFonts w:ascii="Garamond" w:hAnsi="Garamond"/>
          <w:sz w:val="24"/>
          <w:szCs w:val="24"/>
        </w:rPr>
        <w:t>.</w:t>
      </w:r>
    </w:p>
    <w:p w14:paraId="35BB46F6" w14:textId="783986E6" w:rsidR="00A3360E" w:rsidRDefault="00A3360E" w:rsidP="00705A06">
      <w:pPr>
        <w:spacing w:line="276" w:lineRule="auto"/>
        <w:jc w:val="both"/>
        <w:rPr>
          <w:rFonts w:ascii="Garamond" w:hAnsi="Garamond"/>
          <w:sz w:val="24"/>
          <w:szCs w:val="24"/>
        </w:rPr>
      </w:pPr>
      <w:r w:rsidRPr="00A3360E">
        <w:rPr>
          <w:rFonts w:ascii="Garamond" w:hAnsi="Garamond"/>
          <w:sz w:val="24"/>
          <w:szCs w:val="24"/>
        </w:rPr>
        <w:t>Second, even if the PH</w:t>
      </w:r>
      <w:r>
        <w:rPr>
          <w:rFonts w:ascii="Garamond" w:hAnsi="Garamond"/>
          <w:sz w:val="24"/>
          <w:szCs w:val="24"/>
        </w:rPr>
        <w:t>W Act</w:t>
      </w:r>
      <w:r w:rsidRPr="00A3360E">
        <w:rPr>
          <w:rFonts w:ascii="Garamond" w:hAnsi="Garamond"/>
          <w:sz w:val="24"/>
          <w:szCs w:val="24"/>
        </w:rPr>
        <w:t xml:space="preserve"> is capable of operating concurrently with the BSA, Subsection 2(c) notes that, in the case of </w:t>
      </w:r>
      <w:r w:rsidR="005F5648">
        <w:rPr>
          <w:rFonts w:ascii="Garamond" w:hAnsi="Garamond"/>
          <w:sz w:val="24"/>
          <w:szCs w:val="24"/>
        </w:rPr>
        <w:t>“</w:t>
      </w:r>
      <w:r w:rsidRPr="00A3360E">
        <w:rPr>
          <w:rFonts w:ascii="Garamond" w:hAnsi="Garamond"/>
          <w:sz w:val="24"/>
          <w:szCs w:val="24"/>
        </w:rPr>
        <w:t>human biosecurity emergencies</w:t>
      </w:r>
      <w:r w:rsidR="005F5648">
        <w:rPr>
          <w:rFonts w:ascii="Garamond" w:hAnsi="Garamond"/>
          <w:sz w:val="24"/>
          <w:szCs w:val="24"/>
        </w:rPr>
        <w:t>” (which the Covid-19 pandemic is)</w:t>
      </w:r>
      <w:r w:rsidRPr="00A3360E">
        <w:rPr>
          <w:rFonts w:ascii="Garamond" w:hAnsi="Garamond"/>
          <w:sz w:val="24"/>
          <w:szCs w:val="24"/>
        </w:rPr>
        <w:t>, the BSA limits the operation of the PHA anyway.</w:t>
      </w:r>
      <w:r>
        <w:rPr>
          <w:rFonts w:ascii="Garamond" w:hAnsi="Garamond"/>
          <w:sz w:val="24"/>
          <w:szCs w:val="24"/>
        </w:rPr>
        <w:t xml:space="preserve"> </w:t>
      </w:r>
    </w:p>
    <w:p w14:paraId="51F91ECA" w14:textId="6A8240FD" w:rsidR="0030300A" w:rsidRDefault="0030300A" w:rsidP="00705A06">
      <w:pPr>
        <w:spacing w:line="276" w:lineRule="auto"/>
        <w:jc w:val="both"/>
        <w:rPr>
          <w:rFonts w:ascii="Garamond" w:hAnsi="Garamond"/>
          <w:sz w:val="24"/>
          <w:szCs w:val="24"/>
        </w:rPr>
      </w:pPr>
      <w:r>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19CD18BA" w14:textId="3F572737" w:rsidR="0080464E" w:rsidRDefault="00A3360E" w:rsidP="00705A06">
      <w:pPr>
        <w:spacing w:line="276" w:lineRule="auto"/>
        <w:jc w:val="both"/>
        <w:rPr>
          <w:rFonts w:ascii="Garamond" w:hAnsi="Garamond"/>
          <w:sz w:val="24"/>
          <w:szCs w:val="24"/>
        </w:rPr>
      </w:pPr>
      <w:r>
        <w:rPr>
          <w:rFonts w:ascii="Garamond" w:hAnsi="Garamond"/>
          <w:sz w:val="24"/>
          <w:szCs w:val="24"/>
        </w:rPr>
        <w:t>We also note</w:t>
      </w:r>
      <w:r w:rsidR="0080464E">
        <w:rPr>
          <w:rFonts w:ascii="Garamond" w:hAnsi="Garamond"/>
          <w:sz w:val="24"/>
          <w:szCs w:val="24"/>
        </w:rPr>
        <w:t xml:space="preserve"> Section 477(5) of the BSA, which says that:</w:t>
      </w:r>
    </w:p>
    <w:p w14:paraId="5CC2086F" w14:textId="55B37A21" w:rsidR="0080464E" w:rsidRDefault="0080464E" w:rsidP="00705A06">
      <w:pPr>
        <w:spacing w:line="276" w:lineRule="auto"/>
        <w:ind w:left="720"/>
        <w:jc w:val="both"/>
        <w:rPr>
          <w:rFonts w:ascii="Garamond" w:hAnsi="Garamond"/>
          <w:sz w:val="24"/>
          <w:szCs w:val="24"/>
        </w:rPr>
      </w:pPr>
      <w:r>
        <w:rPr>
          <w:rFonts w:ascii="Garamond" w:hAnsi="Garamond"/>
          <w:sz w:val="24"/>
          <w:szCs w:val="24"/>
        </w:rPr>
        <w:t>(5) A requirement determined under subsection (1) applies despite any provision of any other Australian law.</w:t>
      </w:r>
    </w:p>
    <w:p w14:paraId="652D6064" w14:textId="2C9DD989" w:rsidR="002F7D4D" w:rsidRDefault="002F7D4D" w:rsidP="00705A06">
      <w:pPr>
        <w:spacing w:line="276" w:lineRule="auto"/>
        <w:jc w:val="both"/>
        <w:rPr>
          <w:rFonts w:ascii="Garamond" w:hAnsi="Garamond"/>
          <w:sz w:val="24"/>
          <w:szCs w:val="24"/>
        </w:rPr>
      </w:pPr>
      <w:r>
        <w:rPr>
          <w:rFonts w:ascii="Garamond" w:hAnsi="Garamond"/>
          <w:sz w:val="24"/>
          <w:szCs w:val="24"/>
        </w:rPr>
        <w:t xml:space="preserve">Significantly, </w:t>
      </w:r>
      <w:r w:rsidR="005F5648">
        <w:rPr>
          <w:rFonts w:ascii="Garamond" w:hAnsi="Garamond"/>
          <w:sz w:val="24"/>
          <w:szCs w:val="24"/>
        </w:rPr>
        <w:t>s</w:t>
      </w:r>
      <w:r>
        <w:rPr>
          <w:rFonts w:ascii="Garamond" w:hAnsi="Garamond"/>
          <w:sz w:val="24"/>
          <w:szCs w:val="24"/>
        </w:rPr>
        <w:t>477(6)</w:t>
      </w:r>
      <w:r w:rsidR="005F5648">
        <w:rPr>
          <w:rFonts w:ascii="Garamond" w:hAnsi="Garamond"/>
          <w:sz w:val="24"/>
          <w:szCs w:val="24"/>
        </w:rPr>
        <w:t xml:space="preserve"> also</w:t>
      </w:r>
      <w:r>
        <w:rPr>
          <w:rFonts w:ascii="Garamond" w:hAnsi="Garamond"/>
          <w:sz w:val="24"/>
          <w:szCs w:val="24"/>
        </w:rPr>
        <w:t xml:space="preserve"> says that:</w:t>
      </w:r>
    </w:p>
    <w:p w14:paraId="5A3939B7" w14:textId="57E9EB21" w:rsidR="002F7D4D" w:rsidRPr="002F7D4D" w:rsidRDefault="002F7D4D" w:rsidP="00705A06">
      <w:pPr>
        <w:spacing w:line="276" w:lineRule="auto"/>
        <w:ind w:left="720"/>
        <w:jc w:val="both"/>
        <w:rPr>
          <w:rFonts w:ascii="Garamond" w:hAnsi="Garamond"/>
          <w:sz w:val="24"/>
          <w:szCs w:val="24"/>
        </w:rPr>
      </w:pPr>
      <w:r w:rsidRPr="002F7D4D">
        <w:rPr>
          <w:rFonts w:ascii="Garamond" w:hAnsi="Garamond"/>
          <w:sz w:val="24"/>
          <w:szCs w:val="24"/>
        </w:rPr>
        <w:t xml:space="preserve">(6) A determination made under subsection (1) must not require an individual to be </w:t>
      </w:r>
      <w:r>
        <w:rPr>
          <w:rFonts w:ascii="Garamond" w:hAnsi="Garamond"/>
          <w:sz w:val="24"/>
          <w:szCs w:val="24"/>
        </w:rPr>
        <w:t xml:space="preserve">subject </w:t>
      </w:r>
      <w:r w:rsidRPr="002F7D4D">
        <w:rPr>
          <w:rFonts w:ascii="Garamond" w:hAnsi="Garamond"/>
          <w:sz w:val="24"/>
          <w:szCs w:val="24"/>
        </w:rPr>
        <w:t>to a biosecurity measure of a kind set out in Subdivision B of Division 3 of Part 3 of</w:t>
      </w:r>
      <w:r>
        <w:rPr>
          <w:rFonts w:ascii="Garamond" w:hAnsi="Garamond"/>
          <w:sz w:val="24"/>
          <w:szCs w:val="24"/>
        </w:rPr>
        <w:t xml:space="preserve"> </w:t>
      </w:r>
      <w:r w:rsidRPr="002F7D4D">
        <w:rPr>
          <w:rFonts w:ascii="Garamond" w:hAnsi="Garamond"/>
          <w:sz w:val="24"/>
          <w:szCs w:val="24"/>
        </w:rPr>
        <w:t>Chapter 2.</w:t>
      </w:r>
    </w:p>
    <w:p w14:paraId="120FB438" w14:textId="235DF3A5" w:rsidR="002F7D4D" w:rsidRPr="002F7D4D" w:rsidRDefault="002F7D4D" w:rsidP="00705A06">
      <w:pPr>
        <w:spacing w:line="276" w:lineRule="auto"/>
        <w:ind w:left="720"/>
        <w:jc w:val="both"/>
        <w:rPr>
          <w:rFonts w:ascii="Garamond" w:hAnsi="Garamond"/>
          <w:sz w:val="24"/>
          <w:szCs w:val="24"/>
        </w:rPr>
      </w:pPr>
      <w:r w:rsidRPr="002F7D4D">
        <w:rPr>
          <w:rFonts w:ascii="Garamond" w:hAnsi="Garamond"/>
          <w:sz w:val="24"/>
          <w:szCs w:val="24"/>
        </w:rPr>
        <w:t>Note: Subdivision B of Division 3 of Part 3 of Chapter 2 sets out the biosecurity</w:t>
      </w:r>
      <w:r>
        <w:rPr>
          <w:rFonts w:ascii="Garamond" w:hAnsi="Garamond"/>
          <w:sz w:val="24"/>
          <w:szCs w:val="24"/>
        </w:rPr>
        <w:t xml:space="preserve"> </w:t>
      </w:r>
      <w:r w:rsidRPr="002F7D4D">
        <w:rPr>
          <w:rFonts w:ascii="Garamond" w:hAnsi="Garamond"/>
          <w:sz w:val="24"/>
          <w:szCs w:val="24"/>
        </w:rPr>
        <w:t>measures that may be included in a human biosecurity control order.”</w:t>
      </w:r>
    </w:p>
    <w:p w14:paraId="2DB84DD2" w14:textId="0B39C689" w:rsidR="002F7D4D" w:rsidRPr="002F7D4D" w:rsidRDefault="00A3360E" w:rsidP="00705A06">
      <w:pPr>
        <w:spacing w:line="276" w:lineRule="auto"/>
        <w:jc w:val="both"/>
        <w:rPr>
          <w:rFonts w:ascii="Garamond" w:hAnsi="Garamond"/>
          <w:sz w:val="24"/>
          <w:szCs w:val="24"/>
        </w:rPr>
      </w:pPr>
      <w:r>
        <w:rPr>
          <w:rFonts w:ascii="Garamond" w:hAnsi="Garamond"/>
          <w:sz w:val="24"/>
          <w:szCs w:val="24"/>
        </w:rPr>
        <w:t>Overall, the intention of the</w:t>
      </w:r>
      <w:r w:rsidR="0030300A">
        <w:rPr>
          <w:rFonts w:ascii="Garamond" w:hAnsi="Garamond"/>
          <w:sz w:val="24"/>
          <w:szCs w:val="24"/>
        </w:rPr>
        <w:t xml:space="preserve"> comprehensive and exhaustive</w:t>
      </w:r>
      <w:r>
        <w:rPr>
          <w:rFonts w:ascii="Garamond" w:hAnsi="Garamond"/>
          <w:sz w:val="24"/>
          <w:szCs w:val="24"/>
        </w:rPr>
        <w:t xml:space="preserve"> BSA is clear</w:t>
      </w:r>
      <w:r w:rsidR="005F5648">
        <w:rPr>
          <w:rFonts w:ascii="Garamond" w:hAnsi="Garamond"/>
          <w:sz w:val="24"/>
          <w:szCs w:val="24"/>
        </w:rPr>
        <w:t>ly to cover the field in relation to the management of human biosecurity emergencies</w:t>
      </w:r>
      <w:r>
        <w:rPr>
          <w:rFonts w:ascii="Garamond" w:hAnsi="Garamond"/>
          <w:sz w:val="24"/>
          <w:szCs w:val="24"/>
        </w:rPr>
        <w:t>. W</w:t>
      </w:r>
      <w:r w:rsidR="002F7D4D" w:rsidRPr="002F7D4D">
        <w:rPr>
          <w:rFonts w:ascii="Garamond" w:hAnsi="Garamond"/>
          <w:sz w:val="24"/>
          <w:szCs w:val="24"/>
        </w:rPr>
        <w:t>hen (as now) Australia is in a human</w:t>
      </w:r>
      <w:r w:rsidR="002F7D4D">
        <w:rPr>
          <w:rFonts w:ascii="Garamond" w:hAnsi="Garamond"/>
          <w:sz w:val="24"/>
          <w:szCs w:val="24"/>
        </w:rPr>
        <w:t xml:space="preserve"> </w:t>
      </w:r>
      <w:r w:rsidR="002F7D4D" w:rsidRPr="002F7D4D">
        <w:rPr>
          <w:rFonts w:ascii="Garamond" w:hAnsi="Garamond"/>
          <w:sz w:val="24"/>
          <w:szCs w:val="24"/>
        </w:rPr>
        <w:t xml:space="preserve">biosecurity emergency period, </w:t>
      </w:r>
      <w:r w:rsidR="005F5648">
        <w:rPr>
          <w:rFonts w:ascii="Garamond" w:hAnsi="Garamond"/>
          <w:sz w:val="24"/>
          <w:szCs w:val="24"/>
        </w:rPr>
        <w:t>due to section</w:t>
      </w:r>
      <w:r w:rsidR="002F7D4D" w:rsidRPr="002F7D4D">
        <w:rPr>
          <w:rFonts w:ascii="Garamond" w:hAnsi="Garamond"/>
          <w:sz w:val="24"/>
          <w:szCs w:val="24"/>
        </w:rPr>
        <w:t xml:space="preserve"> s8(2), </w:t>
      </w:r>
      <w:r w:rsidR="005F5648">
        <w:rPr>
          <w:rFonts w:ascii="Garamond" w:hAnsi="Garamond"/>
          <w:sz w:val="24"/>
          <w:szCs w:val="24"/>
        </w:rPr>
        <w:t>s</w:t>
      </w:r>
      <w:r w:rsidR="002F7D4D" w:rsidRPr="002F7D4D">
        <w:rPr>
          <w:rFonts w:ascii="Garamond" w:hAnsi="Garamond"/>
          <w:sz w:val="24"/>
          <w:szCs w:val="24"/>
        </w:rPr>
        <w:t>tate laws on</w:t>
      </w:r>
      <w:r w:rsidR="002F7D4D">
        <w:rPr>
          <w:rFonts w:ascii="Garamond" w:hAnsi="Garamond"/>
          <w:sz w:val="24"/>
          <w:szCs w:val="24"/>
        </w:rPr>
        <w:t xml:space="preserve"> </w:t>
      </w:r>
      <w:r w:rsidR="002F7D4D" w:rsidRPr="002F7D4D">
        <w:rPr>
          <w:rFonts w:ascii="Garamond" w:hAnsi="Garamond"/>
          <w:sz w:val="24"/>
          <w:szCs w:val="24"/>
        </w:rPr>
        <w:t>that subject, even if they are capable of operating concurrently with the Biosecurity Act, are</w:t>
      </w:r>
      <w:r w:rsidR="002F7D4D">
        <w:rPr>
          <w:rFonts w:ascii="Garamond" w:hAnsi="Garamond"/>
          <w:sz w:val="24"/>
          <w:szCs w:val="24"/>
        </w:rPr>
        <w:t xml:space="preserve"> </w:t>
      </w:r>
      <w:r w:rsidR="002F7D4D" w:rsidRPr="002F7D4D">
        <w:rPr>
          <w:rFonts w:ascii="Garamond" w:hAnsi="Garamond"/>
          <w:sz w:val="24"/>
          <w:szCs w:val="24"/>
        </w:rPr>
        <w:t>excluded and inoperative.</w:t>
      </w:r>
    </w:p>
    <w:p w14:paraId="06CB1F25" w14:textId="2084FF1D" w:rsidR="002F7D4D" w:rsidRPr="0080464E" w:rsidRDefault="0030300A" w:rsidP="00705A06">
      <w:pPr>
        <w:spacing w:line="276" w:lineRule="auto"/>
        <w:jc w:val="both"/>
        <w:rPr>
          <w:rFonts w:ascii="Garamond" w:hAnsi="Garamond"/>
          <w:sz w:val="24"/>
          <w:szCs w:val="24"/>
        </w:rPr>
      </w:pPr>
      <w:r>
        <w:rPr>
          <w:rFonts w:ascii="Garamond" w:hAnsi="Garamond"/>
          <w:sz w:val="24"/>
          <w:szCs w:val="24"/>
        </w:rPr>
        <w:t>It is also important to note that i</w:t>
      </w:r>
      <w:r w:rsidR="005F5648">
        <w:rPr>
          <w:rFonts w:ascii="Garamond" w:hAnsi="Garamond"/>
          <w:sz w:val="24"/>
          <w:szCs w:val="24"/>
        </w:rPr>
        <w:t xml:space="preserve">n the BSA, </w:t>
      </w:r>
      <w:r w:rsidR="002F7D4D" w:rsidRPr="002F7D4D">
        <w:rPr>
          <w:rFonts w:ascii="Garamond" w:hAnsi="Garamond"/>
          <w:sz w:val="24"/>
          <w:szCs w:val="24"/>
        </w:rPr>
        <w:t>emergency requirements are qualified and restricted by the significant fact that biosecurity</w:t>
      </w:r>
      <w:r w:rsidR="002F7D4D">
        <w:rPr>
          <w:rFonts w:ascii="Garamond" w:hAnsi="Garamond"/>
          <w:sz w:val="24"/>
          <w:szCs w:val="24"/>
        </w:rPr>
        <w:t xml:space="preserve"> </w:t>
      </w:r>
      <w:r w:rsidR="002F7D4D" w:rsidRPr="002F7D4D">
        <w:rPr>
          <w:rFonts w:ascii="Garamond" w:hAnsi="Garamond"/>
          <w:sz w:val="24"/>
          <w:szCs w:val="24"/>
        </w:rPr>
        <w:t>measures cannot request an individual to be isolated, detained, tested, vaccinated, medically</w:t>
      </w:r>
      <w:r w:rsidR="002F7D4D">
        <w:rPr>
          <w:rFonts w:ascii="Garamond" w:hAnsi="Garamond"/>
          <w:sz w:val="24"/>
          <w:szCs w:val="24"/>
        </w:rPr>
        <w:t xml:space="preserve"> </w:t>
      </w:r>
      <w:r w:rsidR="002F7D4D" w:rsidRPr="002F7D4D">
        <w:rPr>
          <w:rFonts w:ascii="Garamond" w:hAnsi="Garamond"/>
          <w:sz w:val="24"/>
          <w:szCs w:val="24"/>
        </w:rPr>
        <w:t>treated or searched (amongst other actions) in the absence of a biosecurity control order</w:t>
      </w:r>
      <w:r w:rsidR="002F7D4D">
        <w:rPr>
          <w:rFonts w:ascii="Garamond" w:hAnsi="Garamond"/>
          <w:sz w:val="24"/>
          <w:szCs w:val="24"/>
        </w:rPr>
        <w:t xml:space="preserve"> </w:t>
      </w:r>
      <w:r w:rsidR="002F7D4D" w:rsidRPr="002F7D4D">
        <w:rPr>
          <w:rFonts w:ascii="Garamond" w:hAnsi="Garamond"/>
          <w:sz w:val="24"/>
          <w:szCs w:val="24"/>
        </w:rPr>
        <w:t xml:space="preserve">issued to the individual. </w:t>
      </w:r>
      <w:r w:rsidR="005F5648">
        <w:rPr>
          <w:rFonts w:ascii="Garamond" w:hAnsi="Garamond"/>
          <w:sz w:val="24"/>
          <w:szCs w:val="24"/>
        </w:rPr>
        <w:t>There are several checks and balances which apply to the issuing of such orders, in recognisance of their seriousness. In the face of such an exhaustive, carefully drafted and overriding federal legislative framework, it is inappropriate for e</w:t>
      </w:r>
      <w:r w:rsidR="002F7D4D" w:rsidRPr="002F7D4D">
        <w:rPr>
          <w:rFonts w:ascii="Garamond" w:hAnsi="Garamond"/>
          <w:sz w:val="24"/>
          <w:szCs w:val="24"/>
        </w:rPr>
        <w:t xml:space="preserve">mergency state powers </w:t>
      </w:r>
      <w:r w:rsidR="005F5648">
        <w:rPr>
          <w:rFonts w:ascii="Garamond" w:hAnsi="Garamond"/>
          <w:sz w:val="24"/>
          <w:szCs w:val="24"/>
        </w:rPr>
        <w:t xml:space="preserve">to be used as a bypass to these checks and balances, particularly in circumstances where these powers, issued at the discretion of one Government Minister, seek </w:t>
      </w:r>
      <w:r w:rsidR="002F7D4D" w:rsidRPr="002F7D4D">
        <w:rPr>
          <w:rFonts w:ascii="Garamond" w:hAnsi="Garamond"/>
          <w:sz w:val="24"/>
          <w:szCs w:val="24"/>
        </w:rPr>
        <w:t>to breach an</w:t>
      </w:r>
      <w:r w:rsidR="002F7D4D">
        <w:rPr>
          <w:rFonts w:ascii="Garamond" w:hAnsi="Garamond"/>
          <w:sz w:val="24"/>
          <w:szCs w:val="24"/>
        </w:rPr>
        <w:t xml:space="preserve"> </w:t>
      </w:r>
      <w:r w:rsidR="002F7D4D" w:rsidRPr="002F7D4D">
        <w:rPr>
          <w:rFonts w:ascii="Garamond" w:hAnsi="Garamond"/>
          <w:sz w:val="24"/>
          <w:szCs w:val="24"/>
        </w:rPr>
        <w:t>individual’s human rights by</w:t>
      </w:r>
      <w:r w:rsidR="002F7D4D">
        <w:rPr>
          <w:rFonts w:ascii="Garamond" w:hAnsi="Garamond"/>
          <w:sz w:val="24"/>
          <w:szCs w:val="24"/>
        </w:rPr>
        <w:t xml:space="preserve"> </w:t>
      </w:r>
      <w:r w:rsidR="00A3360E">
        <w:rPr>
          <w:rFonts w:ascii="Garamond" w:hAnsi="Garamond"/>
          <w:sz w:val="24"/>
          <w:szCs w:val="24"/>
        </w:rPr>
        <w:t>requiring them to undergo vaccination at short notice in order to continue to make a living.</w:t>
      </w:r>
    </w:p>
    <w:p w14:paraId="3EF310C3" w14:textId="5A9B7F53" w:rsidR="00D76820" w:rsidRDefault="00A3360E" w:rsidP="00705A06">
      <w:pPr>
        <w:spacing w:line="276" w:lineRule="auto"/>
        <w:jc w:val="both"/>
        <w:rPr>
          <w:rFonts w:ascii="Garamond" w:hAnsi="Garamond"/>
          <w:i/>
          <w:iCs/>
          <w:sz w:val="24"/>
          <w:szCs w:val="24"/>
        </w:rPr>
      </w:pPr>
      <w:r>
        <w:rPr>
          <w:rFonts w:ascii="Garamond" w:hAnsi="Garamond"/>
          <w:i/>
          <w:iCs/>
          <w:sz w:val="24"/>
          <w:szCs w:val="24"/>
        </w:rPr>
        <w:lastRenderedPageBreak/>
        <w:t>The PHW Act itself is being Misused</w:t>
      </w:r>
    </w:p>
    <w:p w14:paraId="1A70740A" w14:textId="45819582" w:rsidR="00A3360E" w:rsidRDefault="00A3360E" w:rsidP="00705A06">
      <w:pPr>
        <w:spacing w:line="276" w:lineRule="auto"/>
        <w:jc w:val="both"/>
        <w:rPr>
          <w:rFonts w:ascii="Garamond" w:hAnsi="Garamond"/>
          <w:sz w:val="24"/>
          <w:szCs w:val="24"/>
        </w:rPr>
      </w:pPr>
      <w:r>
        <w:rPr>
          <w:rFonts w:ascii="Garamond" w:hAnsi="Garamond"/>
          <w:sz w:val="24"/>
          <w:szCs w:val="24"/>
        </w:rPr>
        <w:t>Even if you reject the notion that the BSA excludes and limits the operation of state law in this way,</w:t>
      </w:r>
      <w:r w:rsidR="00A36772">
        <w:rPr>
          <w:rFonts w:ascii="Garamond" w:hAnsi="Garamond"/>
          <w:sz w:val="24"/>
          <w:szCs w:val="24"/>
        </w:rPr>
        <w:t xml:space="preserve"> and even if we leave the BSA aside entirely,</w:t>
      </w:r>
      <w:r>
        <w:rPr>
          <w:rFonts w:ascii="Garamond" w:hAnsi="Garamond"/>
          <w:sz w:val="24"/>
          <w:szCs w:val="24"/>
        </w:rPr>
        <w:t xml:space="preserve"> s200 of the PHW Act must be read and understood in the context of the PHW Act as a whole.</w:t>
      </w:r>
      <w:r w:rsidR="00A36772">
        <w:rPr>
          <w:rFonts w:ascii="Garamond" w:hAnsi="Garamond"/>
          <w:sz w:val="24"/>
          <w:szCs w:val="24"/>
        </w:rPr>
        <w:t xml:space="preserve"> </w:t>
      </w:r>
      <w:r w:rsidR="00F642FD">
        <w:rPr>
          <w:rFonts w:ascii="Garamond" w:hAnsi="Garamond"/>
          <w:sz w:val="24"/>
          <w:szCs w:val="24"/>
        </w:rPr>
        <w:t>Concerningly</w:t>
      </w:r>
      <w:r w:rsidR="00A36772">
        <w:rPr>
          <w:rFonts w:ascii="Garamond" w:hAnsi="Garamond"/>
          <w:sz w:val="24"/>
          <w:szCs w:val="24"/>
        </w:rPr>
        <w:t xml:space="preserve">, s200 is being used as if it stands alone as some kind of </w:t>
      </w:r>
      <w:r w:rsidR="00F642FD">
        <w:rPr>
          <w:rFonts w:ascii="Garamond" w:hAnsi="Garamond"/>
          <w:sz w:val="24"/>
          <w:szCs w:val="24"/>
        </w:rPr>
        <w:t xml:space="preserve">ultimate </w:t>
      </w:r>
      <w:r w:rsidR="00A36772">
        <w:rPr>
          <w:rFonts w:ascii="Garamond" w:hAnsi="Garamond"/>
          <w:sz w:val="24"/>
          <w:szCs w:val="24"/>
        </w:rPr>
        <w:t xml:space="preserve">discretionary executive </w:t>
      </w:r>
      <w:r w:rsidR="00F642FD">
        <w:rPr>
          <w:rFonts w:ascii="Garamond" w:hAnsi="Garamond"/>
          <w:sz w:val="24"/>
          <w:szCs w:val="24"/>
        </w:rPr>
        <w:t xml:space="preserve">super </w:t>
      </w:r>
      <w:r w:rsidR="00A36772">
        <w:rPr>
          <w:rFonts w:ascii="Garamond" w:hAnsi="Garamond"/>
          <w:sz w:val="24"/>
          <w:szCs w:val="24"/>
        </w:rPr>
        <w:t>power; immune from the checks and balances the remainder of the PHW Act carefully imposes on it.</w:t>
      </w:r>
    </w:p>
    <w:p w14:paraId="10122968" w14:textId="186C8378" w:rsidR="005F5648" w:rsidRDefault="0007708E" w:rsidP="00705A06">
      <w:pPr>
        <w:spacing w:line="276" w:lineRule="auto"/>
        <w:jc w:val="both"/>
        <w:rPr>
          <w:rFonts w:ascii="Garamond" w:hAnsi="Garamond"/>
          <w:sz w:val="24"/>
          <w:szCs w:val="24"/>
        </w:rPr>
      </w:pPr>
      <w:r>
        <w:rPr>
          <w:rFonts w:ascii="Garamond" w:hAnsi="Garamond"/>
          <w:sz w:val="24"/>
          <w:szCs w:val="24"/>
        </w:rPr>
        <w:t>This misinterpretation of the applicability of s200(d) likely comes from the words of that section, which says that the emergency powers include to “give any other direction that the authorised officer considers is reasonably necessary to protect public health”. However, this must be read in tandem with the various limitations the rest of the PHW Act places upon this section, and in tandem with the principles of statutory interpretation in general.</w:t>
      </w:r>
    </w:p>
    <w:p w14:paraId="15FC4360" w14:textId="50A72055" w:rsidR="0007708E" w:rsidRDefault="0007708E" w:rsidP="00705A06">
      <w:pPr>
        <w:spacing w:line="276" w:lineRule="auto"/>
        <w:jc w:val="both"/>
        <w:rPr>
          <w:rFonts w:ascii="Garamond" w:hAnsi="Garamond"/>
          <w:sz w:val="24"/>
          <w:szCs w:val="24"/>
        </w:rPr>
      </w:pPr>
      <w:r>
        <w:rPr>
          <w:rFonts w:ascii="Garamond" w:hAnsi="Garamond"/>
          <w:sz w:val="24"/>
          <w:szCs w:val="24"/>
        </w:rPr>
        <w:t>The following principles apply (with emphasis added):</w:t>
      </w:r>
    </w:p>
    <w:p w14:paraId="43A87850" w14:textId="573E71AE" w:rsidR="0007708E" w:rsidRDefault="0007708E" w:rsidP="00705A06">
      <w:pPr>
        <w:pStyle w:val="ListParagraph"/>
        <w:numPr>
          <w:ilvl w:val="0"/>
          <w:numId w:val="14"/>
        </w:numPr>
        <w:spacing w:line="276" w:lineRule="auto"/>
        <w:jc w:val="both"/>
        <w:rPr>
          <w:rFonts w:ascii="Garamond" w:hAnsi="Garamond"/>
          <w:sz w:val="24"/>
          <w:szCs w:val="24"/>
        </w:rPr>
      </w:pPr>
      <w:r w:rsidRPr="0007708E">
        <w:rPr>
          <w:rFonts w:ascii="Garamond" w:hAnsi="Garamond"/>
          <w:sz w:val="24"/>
          <w:szCs w:val="24"/>
        </w:rPr>
        <w:t xml:space="preserve">The task of construction must begin with a consideration of the text itself. </w:t>
      </w:r>
      <w:r w:rsidRPr="00694F51">
        <w:rPr>
          <w:rFonts w:ascii="Garamond" w:hAnsi="Garamond"/>
          <w:b/>
          <w:bCs/>
          <w:sz w:val="24"/>
          <w:szCs w:val="24"/>
        </w:rPr>
        <w:t>The language which has actually been employed in the text of legislation is the surest guide to legislative intention. The meaning of the text may require consideration of the context, which includes the general purpose and policy of a provision</w:t>
      </w:r>
      <w:r w:rsidRPr="0007708E">
        <w:rPr>
          <w:rFonts w:ascii="Garamond" w:hAnsi="Garamond"/>
          <w:sz w:val="24"/>
          <w:szCs w:val="24"/>
        </w:rPr>
        <w:t>, in particular the mischief it is seeking to remedy</w:t>
      </w:r>
      <w:r w:rsidR="00694F51">
        <w:rPr>
          <w:rFonts w:ascii="Garamond" w:hAnsi="Garamond"/>
          <w:sz w:val="24"/>
          <w:szCs w:val="24"/>
        </w:rPr>
        <w:t>;</w:t>
      </w:r>
      <w:r>
        <w:rPr>
          <w:rStyle w:val="FootnoteReference"/>
          <w:rFonts w:ascii="Garamond" w:hAnsi="Garamond"/>
          <w:sz w:val="24"/>
          <w:szCs w:val="24"/>
        </w:rPr>
        <w:footnoteReference w:id="12"/>
      </w:r>
      <w:r w:rsidR="00694F51">
        <w:rPr>
          <w:rFonts w:ascii="Garamond" w:hAnsi="Garamond"/>
          <w:sz w:val="24"/>
          <w:szCs w:val="24"/>
        </w:rPr>
        <w:t xml:space="preserve"> and</w:t>
      </w:r>
    </w:p>
    <w:p w14:paraId="2BA30A8E" w14:textId="381041C6" w:rsidR="00694F51" w:rsidRDefault="0007708E" w:rsidP="00705A06">
      <w:pPr>
        <w:pStyle w:val="ListParagraph"/>
        <w:numPr>
          <w:ilvl w:val="0"/>
          <w:numId w:val="14"/>
        </w:numPr>
        <w:spacing w:line="276" w:lineRule="auto"/>
        <w:jc w:val="both"/>
        <w:rPr>
          <w:rFonts w:ascii="Garamond" w:hAnsi="Garamond"/>
          <w:sz w:val="24"/>
          <w:szCs w:val="24"/>
        </w:rPr>
      </w:pPr>
      <w:r w:rsidRPr="00694F51">
        <w:rPr>
          <w:rFonts w:ascii="Garamond" w:hAnsi="Garamond"/>
          <w:b/>
          <w:bCs/>
          <w:sz w:val="24"/>
          <w:szCs w:val="24"/>
        </w:rPr>
        <w:t>The context in which the Section is construed includes the context of the wider legislation as a whole</w:t>
      </w:r>
      <w:r>
        <w:rPr>
          <w:rFonts w:ascii="Garamond" w:hAnsi="Garamond"/>
          <w:sz w:val="24"/>
          <w:szCs w:val="24"/>
        </w:rPr>
        <w:t>.</w:t>
      </w:r>
      <w:r w:rsidR="00767030">
        <w:rPr>
          <w:rFonts w:ascii="Garamond" w:hAnsi="Garamond"/>
          <w:sz w:val="24"/>
          <w:szCs w:val="24"/>
        </w:rPr>
        <w:t xml:space="preserve"> This also applies to delegated legislation (such as Directions made under s200) which must be read in the context of its enabling legislation, being the PHW Act.</w:t>
      </w:r>
      <w:r>
        <w:rPr>
          <w:rStyle w:val="FootnoteReference"/>
          <w:rFonts w:ascii="Garamond" w:hAnsi="Garamond"/>
          <w:sz w:val="24"/>
          <w:szCs w:val="24"/>
        </w:rPr>
        <w:footnoteReference w:id="13"/>
      </w:r>
    </w:p>
    <w:p w14:paraId="551A27D1" w14:textId="3BB60F7D" w:rsidR="0007708E" w:rsidRDefault="00694F51" w:rsidP="00705A06">
      <w:pPr>
        <w:spacing w:line="276" w:lineRule="auto"/>
        <w:jc w:val="both"/>
        <w:rPr>
          <w:rFonts w:ascii="Garamond" w:hAnsi="Garamond"/>
          <w:sz w:val="24"/>
          <w:szCs w:val="24"/>
        </w:rPr>
      </w:pPr>
      <w:r>
        <w:rPr>
          <w:rFonts w:ascii="Garamond" w:hAnsi="Garamond"/>
          <w:sz w:val="24"/>
          <w:szCs w:val="24"/>
        </w:rPr>
        <w:t>So, s200 must be read in context with the rest of the PHW Act. On this note, it should be said that, on the face of it, it would have been odd for Parliament to draft such a complex legislative framework for the facilitation and regulation of public health in Victoria, with so many checks and balances included, only for the Minister for Health to have the power</w:t>
      </w:r>
      <w:r w:rsidR="00767030">
        <w:rPr>
          <w:rFonts w:ascii="Garamond" w:hAnsi="Garamond"/>
          <w:sz w:val="24"/>
          <w:szCs w:val="24"/>
        </w:rPr>
        <w:t xml:space="preserve"> through s200</w:t>
      </w:r>
      <w:r>
        <w:rPr>
          <w:rFonts w:ascii="Garamond" w:hAnsi="Garamond"/>
          <w:sz w:val="24"/>
          <w:szCs w:val="24"/>
        </w:rPr>
        <w:t xml:space="preserve"> to ignore all of that entirely at his or her sole discretion. Indeed, Part 8 implements </w:t>
      </w:r>
      <w:r w:rsidR="00C61E20">
        <w:rPr>
          <w:rFonts w:ascii="Garamond" w:hAnsi="Garamond"/>
          <w:sz w:val="24"/>
          <w:szCs w:val="24"/>
        </w:rPr>
        <w:t>the following p</w:t>
      </w:r>
      <w:r>
        <w:rPr>
          <w:rFonts w:ascii="Garamond" w:hAnsi="Garamond"/>
          <w:sz w:val="24"/>
          <w:szCs w:val="24"/>
        </w:rPr>
        <w:t>rinciple which appl</w:t>
      </w:r>
      <w:r w:rsidR="00C61E20">
        <w:rPr>
          <w:rFonts w:ascii="Garamond" w:hAnsi="Garamond"/>
          <w:sz w:val="24"/>
          <w:szCs w:val="24"/>
        </w:rPr>
        <w:t>ies</w:t>
      </w:r>
      <w:r>
        <w:rPr>
          <w:rFonts w:ascii="Garamond" w:hAnsi="Garamond"/>
          <w:sz w:val="24"/>
          <w:szCs w:val="24"/>
        </w:rPr>
        <w:t xml:space="preserve"> “to the management and control of infectious diseases”</w:t>
      </w:r>
      <w:r w:rsidR="00C61E20">
        <w:rPr>
          <w:rFonts w:ascii="Garamond" w:hAnsi="Garamond"/>
          <w:sz w:val="24"/>
          <w:szCs w:val="24"/>
        </w:rPr>
        <w:t>:</w:t>
      </w:r>
    </w:p>
    <w:p w14:paraId="2F05B8C6" w14:textId="17B5285C" w:rsidR="00C61E20" w:rsidRDefault="00C61E20" w:rsidP="00705A06">
      <w:pPr>
        <w:spacing w:line="276" w:lineRule="auto"/>
        <w:ind w:left="720"/>
        <w:jc w:val="both"/>
        <w:rPr>
          <w:rFonts w:ascii="Garamond" w:hAnsi="Garamond"/>
          <w:b/>
          <w:bCs/>
          <w:sz w:val="24"/>
          <w:szCs w:val="24"/>
        </w:rPr>
      </w:pPr>
      <w:r w:rsidRPr="00C61E20">
        <w:rPr>
          <w:rFonts w:ascii="Garamond" w:hAnsi="Garamond"/>
          <w:b/>
          <w:bCs/>
          <w:sz w:val="24"/>
          <w:szCs w:val="24"/>
        </w:rPr>
        <w:t>the spread of an infectious disease should be prevented or minimised with the minimum restriction on the rights of any person</w:t>
      </w:r>
      <w:r w:rsidR="002153E3">
        <w:rPr>
          <w:rStyle w:val="FootnoteReference"/>
          <w:rFonts w:ascii="Garamond" w:hAnsi="Garamond"/>
          <w:b/>
          <w:bCs/>
          <w:sz w:val="24"/>
          <w:szCs w:val="24"/>
        </w:rPr>
        <w:footnoteReference w:id="14"/>
      </w:r>
    </w:p>
    <w:p w14:paraId="02465DF7" w14:textId="2D4A553F" w:rsidR="00767030" w:rsidRDefault="00767030" w:rsidP="00705A06">
      <w:pPr>
        <w:spacing w:line="276" w:lineRule="auto"/>
        <w:ind w:left="720"/>
        <w:jc w:val="both"/>
        <w:rPr>
          <w:rFonts w:ascii="Garamond" w:hAnsi="Garamond"/>
          <w:sz w:val="24"/>
          <w:szCs w:val="24"/>
        </w:rPr>
      </w:pPr>
      <w:r>
        <w:rPr>
          <w:rFonts w:ascii="Garamond" w:hAnsi="Garamond"/>
          <w:b/>
          <w:bCs/>
          <w:sz w:val="24"/>
          <w:szCs w:val="24"/>
        </w:rPr>
        <w:lastRenderedPageBreak/>
        <w:t xml:space="preserve">(the Principle of </w:t>
      </w:r>
      <w:r w:rsidR="002153E3">
        <w:rPr>
          <w:rFonts w:ascii="Garamond" w:hAnsi="Garamond"/>
          <w:b/>
          <w:bCs/>
          <w:sz w:val="24"/>
          <w:szCs w:val="24"/>
        </w:rPr>
        <w:t>Minimum Interference</w:t>
      </w:r>
      <w:r>
        <w:rPr>
          <w:rFonts w:ascii="Garamond" w:hAnsi="Garamond"/>
          <w:b/>
          <w:bCs/>
          <w:sz w:val="24"/>
          <w:szCs w:val="24"/>
        </w:rPr>
        <w:t>)</w:t>
      </w:r>
    </w:p>
    <w:p w14:paraId="4E01DB0F" w14:textId="30A146E0" w:rsidR="00C61E20" w:rsidRPr="00C61E20" w:rsidRDefault="00C61E20" w:rsidP="00705A06">
      <w:pPr>
        <w:spacing w:line="276" w:lineRule="auto"/>
        <w:jc w:val="both"/>
        <w:rPr>
          <w:rFonts w:ascii="Garamond" w:hAnsi="Garamond"/>
          <w:sz w:val="24"/>
          <w:szCs w:val="24"/>
        </w:rPr>
      </w:pPr>
      <w:r w:rsidRPr="00C61E20">
        <w:rPr>
          <w:rFonts w:ascii="Garamond" w:hAnsi="Garamond"/>
          <w:sz w:val="24"/>
          <w:szCs w:val="24"/>
        </w:rPr>
        <w:t xml:space="preserve">Furthermore, the recent inclusion </w:t>
      </w:r>
      <w:r>
        <w:rPr>
          <w:rFonts w:ascii="Garamond" w:hAnsi="Garamond"/>
          <w:sz w:val="24"/>
          <w:szCs w:val="24"/>
        </w:rPr>
        <w:t xml:space="preserve">in the PHW Act </w:t>
      </w:r>
      <w:r w:rsidRPr="00C61E20">
        <w:rPr>
          <w:rFonts w:ascii="Garamond" w:hAnsi="Garamond"/>
          <w:sz w:val="24"/>
          <w:szCs w:val="24"/>
        </w:rPr>
        <w:t xml:space="preserve">of </w:t>
      </w:r>
      <w:r>
        <w:rPr>
          <w:rFonts w:ascii="Garamond" w:hAnsi="Garamond"/>
          <w:sz w:val="24"/>
          <w:szCs w:val="24"/>
        </w:rPr>
        <w:t>s</w:t>
      </w:r>
      <w:r w:rsidRPr="00C61E20">
        <w:rPr>
          <w:rFonts w:ascii="Garamond" w:hAnsi="Garamond"/>
          <w:sz w:val="24"/>
          <w:szCs w:val="24"/>
        </w:rPr>
        <w:t xml:space="preserve">117 </w:t>
      </w:r>
      <w:r>
        <w:rPr>
          <w:rFonts w:ascii="Garamond" w:hAnsi="Garamond"/>
          <w:sz w:val="24"/>
          <w:szCs w:val="24"/>
        </w:rPr>
        <w:t>demonstrates</w:t>
      </w:r>
      <w:r w:rsidRPr="00C61E20">
        <w:rPr>
          <w:rFonts w:ascii="Garamond" w:hAnsi="Garamond"/>
          <w:sz w:val="24"/>
          <w:szCs w:val="24"/>
        </w:rPr>
        <w:t xml:space="preserve"> the intention of the legislature to</w:t>
      </w:r>
      <w:r>
        <w:rPr>
          <w:rFonts w:ascii="Garamond" w:hAnsi="Garamond"/>
          <w:sz w:val="24"/>
          <w:szCs w:val="24"/>
        </w:rPr>
        <w:t xml:space="preserve"> </w:t>
      </w:r>
      <w:r w:rsidRPr="00C61E20">
        <w:rPr>
          <w:rFonts w:ascii="Garamond" w:hAnsi="Garamond"/>
          <w:sz w:val="24"/>
          <w:szCs w:val="24"/>
        </w:rPr>
        <w:t xml:space="preserve">mirror the requirement </w:t>
      </w:r>
      <w:r>
        <w:rPr>
          <w:rFonts w:ascii="Garamond" w:hAnsi="Garamond"/>
          <w:sz w:val="24"/>
          <w:szCs w:val="24"/>
        </w:rPr>
        <w:t>within</w:t>
      </w:r>
      <w:r w:rsidRPr="00C61E20">
        <w:rPr>
          <w:rFonts w:ascii="Garamond" w:hAnsi="Garamond"/>
          <w:sz w:val="24"/>
          <w:szCs w:val="24"/>
        </w:rPr>
        <w:t xml:space="preserve"> the </w:t>
      </w:r>
      <w:r w:rsidR="00F642FD">
        <w:rPr>
          <w:rFonts w:ascii="Garamond" w:hAnsi="Garamond"/>
          <w:sz w:val="24"/>
          <w:szCs w:val="24"/>
        </w:rPr>
        <w:t>f</w:t>
      </w:r>
      <w:r w:rsidRPr="00C61E20">
        <w:rPr>
          <w:rFonts w:ascii="Garamond" w:hAnsi="Garamond"/>
          <w:sz w:val="24"/>
          <w:szCs w:val="24"/>
        </w:rPr>
        <w:t xml:space="preserve">ederal </w:t>
      </w:r>
      <w:r w:rsidR="00CD636B">
        <w:rPr>
          <w:rFonts w:ascii="Garamond" w:hAnsi="Garamond"/>
          <w:sz w:val="24"/>
          <w:szCs w:val="24"/>
        </w:rPr>
        <w:t>BSA</w:t>
      </w:r>
      <w:r w:rsidRPr="00C61E20">
        <w:rPr>
          <w:rFonts w:ascii="Garamond" w:hAnsi="Garamond"/>
          <w:sz w:val="24"/>
          <w:szCs w:val="24"/>
        </w:rPr>
        <w:t xml:space="preserve"> to issue a biosecurity control order at the </w:t>
      </w:r>
      <w:r w:rsidR="00F642FD">
        <w:rPr>
          <w:rFonts w:ascii="Garamond" w:hAnsi="Garamond"/>
          <w:sz w:val="24"/>
          <w:szCs w:val="24"/>
        </w:rPr>
        <w:t>s</w:t>
      </w:r>
      <w:r w:rsidRPr="00C61E20">
        <w:rPr>
          <w:rFonts w:ascii="Garamond" w:hAnsi="Garamond"/>
          <w:sz w:val="24"/>
          <w:szCs w:val="24"/>
        </w:rPr>
        <w:t>tate</w:t>
      </w:r>
      <w:r>
        <w:rPr>
          <w:rFonts w:ascii="Garamond" w:hAnsi="Garamond"/>
          <w:sz w:val="24"/>
          <w:szCs w:val="24"/>
        </w:rPr>
        <w:t xml:space="preserve"> </w:t>
      </w:r>
      <w:r w:rsidRPr="00C61E20">
        <w:rPr>
          <w:rFonts w:ascii="Garamond" w:hAnsi="Garamond"/>
          <w:sz w:val="24"/>
          <w:szCs w:val="24"/>
        </w:rPr>
        <w:t xml:space="preserve">level by </w:t>
      </w:r>
      <w:r>
        <w:rPr>
          <w:rFonts w:ascii="Garamond" w:hAnsi="Garamond"/>
          <w:sz w:val="24"/>
          <w:szCs w:val="24"/>
        </w:rPr>
        <w:t xml:space="preserve">authorising the </w:t>
      </w:r>
      <w:r w:rsidRPr="00C61E20">
        <w:rPr>
          <w:rFonts w:ascii="Garamond" w:hAnsi="Garamond"/>
          <w:sz w:val="24"/>
          <w:szCs w:val="24"/>
        </w:rPr>
        <w:t>issu</w:t>
      </w:r>
      <w:r>
        <w:rPr>
          <w:rFonts w:ascii="Garamond" w:hAnsi="Garamond"/>
          <w:sz w:val="24"/>
          <w:szCs w:val="24"/>
        </w:rPr>
        <w:t>ance of</w:t>
      </w:r>
      <w:r w:rsidRPr="00C61E20">
        <w:rPr>
          <w:rFonts w:ascii="Garamond" w:hAnsi="Garamond"/>
          <w:sz w:val="24"/>
          <w:szCs w:val="24"/>
        </w:rPr>
        <w:t xml:space="preserve"> a public health order to individual</w:t>
      </w:r>
      <w:r w:rsidR="00CD636B">
        <w:rPr>
          <w:rFonts w:ascii="Garamond" w:hAnsi="Garamond"/>
          <w:sz w:val="24"/>
          <w:szCs w:val="24"/>
        </w:rPr>
        <w:t>s on a similar basis</w:t>
      </w:r>
      <w:r w:rsidRPr="00C61E20">
        <w:rPr>
          <w:rFonts w:ascii="Garamond" w:hAnsi="Garamond"/>
          <w:sz w:val="24"/>
          <w:szCs w:val="24"/>
        </w:rPr>
        <w:t>.</w:t>
      </w:r>
      <w:r w:rsidR="00CD636B">
        <w:rPr>
          <w:rFonts w:ascii="Garamond" w:hAnsi="Garamond"/>
          <w:sz w:val="24"/>
          <w:szCs w:val="24"/>
        </w:rPr>
        <w:t xml:space="preserve"> I extract the entire section </w:t>
      </w:r>
      <w:r w:rsidR="00F642FD">
        <w:rPr>
          <w:rFonts w:ascii="Garamond" w:hAnsi="Garamond"/>
          <w:sz w:val="24"/>
          <w:szCs w:val="24"/>
        </w:rPr>
        <w:t xml:space="preserve">117 </w:t>
      </w:r>
      <w:r w:rsidR="00CD636B">
        <w:rPr>
          <w:rFonts w:ascii="Garamond" w:hAnsi="Garamond"/>
          <w:sz w:val="24"/>
          <w:szCs w:val="24"/>
        </w:rPr>
        <w:t>below, because it clearly institutes a comprehensive and carefully constructed decision making process for the decision maker, the reason being a recognisance that the restriction of a person’s liberty is something which should only be approached with extreme caution. I particularly draw your attention to 117(2) and 117(3), which institute specific requirements for the making of such orders.</w:t>
      </w:r>
    </w:p>
    <w:p w14:paraId="383DA3B8" w14:textId="6FF3B609" w:rsidR="00C61E20" w:rsidRPr="00C61E20" w:rsidRDefault="00C61E20" w:rsidP="00705A06">
      <w:pPr>
        <w:spacing w:line="276" w:lineRule="auto"/>
        <w:ind w:firstLine="720"/>
        <w:jc w:val="both"/>
        <w:rPr>
          <w:rFonts w:ascii="Garamond" w:hAnsi="Garamond"/>
          <w:sz w:val="24"/>
          <w:szCs w:val="24"/>
        </w:rPr>
      </w:pPr>
      <w:r w:rsidRPr="00C61E20">
        <w:rPr>
          <w:rFonts w:ascii="Garamond" w:hAnsi="Garamond"/>
          <w:sz w:val="24"/>
          <w:szCs w:val="24"/>
        </w:rPr>
        <w:t>117 Chief Health Officer may make public health order</w:t>
      </w:r>
    </w:p>
    <w:p w14:paraId="3DEB15A5" w14:textId="000BD558"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 xml:space="preserve">(1) The Chief Health Officer may, </w:t>
      </w:r>
      <w:r w:rsidRPr="00CD636B">
        <w:rPr>
          <w:rFonts w:ascii="Garamond" w:hAnsi="Garamond"/>
          <w:b/>
          <w:bCs/>
          <w:sz w:val="24"/>
          <w:szCs w:val="24"/>
        </w:rPr>
        <w:t>after having regard to the factors specified in subsection (2)</w:t>
      </w:r>
      <w:r w:rsidRPr="00C61E20">
        <w:rPr>
          <w:rFonts w:ascii="Garamond" w:hAnsi="Garamond"/>
          <w:sz w:val="24"/>
          <w:szCs w:val="24"/>
        </w:rPr>
        <w:t>, make a public health order if the Chief Health Officer believes that—</w:t>
      </w:r>
    </w:p>
    <w:p w14:paraId="634D279A" w14:textId="7A7DC9B3" w:rsidR="00C61E20" w:rsidRPr="00C61E20" w:rsidRDefault="00C61E20" w:rsidP="00705A06">
      <w:pPr>
        <w:spacing w:line="276" w:lineRule="auto"/>
        <w:ind w:left="2160"/>
        <w:jc w:val="both"/>
        <w:rPr>
          <w:rFonts w:ascii="Garamond" w:hAnsi="Garamond"/>
          <w:sz w:val="24"/>
          <w:szCs w:val="24"/>
        </w:rPr>
      </w:pPr>
      <w:r w:rsidRPr="00C61E20">
        <w:rPr>
          <w:rFonts w:ascii="Garamond" w:hAnsi="Garamond"/>
          <w:sz w:val="24"/>
          <w:szCs w:val="24"/>
        </w:rPr>
        <w:t>(a) a person has an infectious disease or has been exposed to an infectious disease</w:t>
      </w:r>
      <w:r>
        <w:rPr>
          <w:rFonts w:ascii="Garamond" w:hAnsi="Garamond"/>
          <w:sz w:val="24"/>
          <w:szCs w:val="24"/>
        </w:rPr>
        <w:t xml:space="preserve"> </w:t>
      </w:r>
      <w:r w:rsidRPr="00C61E20">
        <w:rPr>
          <w:rFonts w:ascii="Garamond" w:hAnsi="Garamond"/>
          <w:sz w:val="24"/>
          <w:szCs w:val="24"/>
        </w:rPr>
        <w:t>in circumstances where a person is likely to contract the disease; and</w:t>
      </w:r>
    </w:p>
    <w:p w14:paraId="551A8DCA" w14:textId="600D6386" w:rsidR="00C61E20" w:rsidRPr="00C61E20" w:rsidRDefault="00C61E20" w:rsidP="00705A06">
      <w:pPr>
        <w:spacing w:line="276" w:lineRule="auto"/>
        <w:ind w:left="2160"/>
        <w:jc w:val="both"/>
        <w:rPr>
          <w:rFonts w:ascii="Garamond" w:hAnsi="Garamond"/>
          <w:sz w:val="24"/>
          <w:szCs w:val="24"/>
        </w:rPr>
      </w:pPr>
      <w:r w:rsidRPr="00C61E20">
        <w:rPr>
          <w:rFonts w:ascii="Garamond" w:hAnsi="Garamond"/>
          <w:sz w:val="24"/>
          <w:szCs w:val="24"/>
        </w:rPr>
        <w:t>(b) if a person is infected with that infectious disease, a serious risk to public health</w:t>
      </w:r>
      <w:r>
        <w:rPr>
          <w:rFonts w:ascii="Garamond" w:hAnsi="Garamond"/>
          <w:sz w:val="24"/>
          <w:szCs w:val="24"/>
        </w:rPr>
        <w:t xml:space="preserve"> </w:t>
      </w:r>
      <w:r w:rsidRPr="00C61E20">
        <w:rPr>
          <w:rFonts w:ascii="Garamond" w:hAnsi="Garamond"/>
          <w:sz w:val="24"/>
          <w:szCs w:val="24"/>
        </w:rPr>
        <w:t>is constituted by—</w:t>
      </w:r>
    </w:p>
    <w:p w14:paraId="76BE70F2" w14:textId="77777777" w:rsidR="00C61E20" w:rsidRPr="00C61E20" w:rsidRDefault="00C61E20" w:rsidP="00705A06">
      <w:pPr>
        <w:spacing w:line="276" w:lineRule="auto"/>
        <w:ind w:left="2160" w:firstLine="720"/>
        <w:jc w:val="both"/>
        <w:rPr>
          <w:rFonts w:ascii="Garamond" w:hAnsi="Garamond"/>
          <w:sz w:val="24"/>
          <w:szCs w:val="24"/>
        </w:rPr>
      </w:pPr>
      <w:r w:rsidRPr="00C61E20">
        <w:rPr>
          <w:rFonts w:ascii="Garamond" w:hAnsi="Garamond"/>
          <w:sz w:val="24"/>
          <w:szCs w:val="24"/>
        </w:rPr>
        <w:t>(i) the infectious disease; or</w:t>
      </w:r>
    </w:p>
    <w:p w14:paraId="2EB5668C" w14:textId="11DC5261" w:rsidR="00C61E20" w:rsidRPr="00C61E20" w:rsidRDefault="00C61E20" w:rsidP="00705A06">
      <w:pPr>
        <w:spacing w:line="276" w:lineRule="auto"/>
        <w:ind w:left="2880"/>
        <w:jc w:val="both"/>
        <w:rPr>
          <w:rFonts w:ascii="Garamond" w:hAnsi="Garamond"/>
          <w:sz w:val="24"/>
          <w:szCs w:val="24"/>
        </w:rPr>
      </w:pPr>
      <w:r w:rsidRPr="00C61E20">
        <w:rPr>
          <w:rFonts w:ascii="Garamond" w:hAnsi="Garamond"/>
          <w:sz w:val="24"/>
          <w:szCs w:val="24"/>
        </w:rPr>
        <w:t>(ii) the combination of the infectious disease and the likely behavio</w:t>
      </w:r>
      <w:r>
        <w:rPr>
          <w:rFonts w:ascii="Garamond" w:hAnsi="Garamond"/>
          <w:sz w:val="24"/>
          <w:szCs w:val="24"/>
        </w:rPr>
        <w:t>u</w:t>
      </w:r>
      <w:r w:rsidRPr="00C61E20">
        <w:rPr>
          <w:rFonts w:ascii="Garamond" w:hAnsi="Garamond"/>
          <w:sz w:val="24"/>
          <w:szCs w:val="24"/>
        </w:rPr>
        <w:t>r of that</w:t>
      </w:r>
      <w:r>
        <w:rPr>
          <w:rFonts w:ascii="Garamond" w:hAnsi="Garamond"/>
          <w:sz w:val="24"/>
          <w:szCs w:val="24"/>
        </w:rPr>
        <w:t xml:space="preserve"> </w:t>
      </w:r>
      <w:r w:rsidRPr="00C61E20">
        <w:rPr>
          <w:rFonts w:ascii="Garamond" w:hAnsi="Garamond"/>
          <w:sz w:val="24"/>
          <w:szCs w:val="24"/>
        </w:rPr>
        <w:t>person; and</w:t>
      </w:r>
    </w:p>
    <w:p w14:paraId="5B603532" w14:textId="40D2EF36"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(c) if infected with that infectious disease, the person needs to take particular</w:t>
      </w:r>
      <w:r>
        <w:rPr>
          <w:rFonts w:ascii="Garamond" w:hAnsi="Garamond"/>
          <w:sz w:val="24"/>
          <w:szCs w:val="24"/>
        </w:rPr>
        <w:t xml:space="preserve"> </w:t>
      </w:r>
      <w:r w:rsidRPr="00C61E20">
        <w:rPr>
          <w:rFonts w:ascii="Garamond" w:hAnsi="Garamond"/>
          <w:sz w:val="24"/>
          <w:szCs w:val="24"/>
        </w:rPr>
        <w:t>action or refrain from taking particular action to prevent, as far as is reasonably</w:t>
      </w:r>
      <w:r>
        <w:rPr>
          <w:rFonts w:ascii="Garamond" w:hAnsi="Garamond"/>
          <w:sz w:val="24"/>
          <w:szCs w:val="24"/>
        </w:rPr>
        <w:t xml:space="preserve"> </w:t>
      </w:r>
      <w:r w:rsidRPr="00C61E20">
        <w:rPr>
          <w:rFonts w:ascii="Garamond" w:hAnsi="Garamond"/>
          <w:sz w:val="24"/>
          <w:szCs w:val="24"/>
        </w:rPr>
        <w:t>possible, that infectious disease constituting a serious risk to public health; and</w:t>
      </w:r>
    </w:p>
    <w:p w14:paraId="58D8389A" w14:textId="799EF5D0" w:rsidR="00C61E20" w:rsidRPr="00CD636B" w:rsidRDefault="00C61E20" w:rsidP="00705A06">
      <w:pPr>
        <w:spacing w:line="276" w:lineRule="auto"/>
        <w:ind w:left="1440"/>
        <w:jc w:val="both"/>
        <w:rPr>
          <w:rFonts w:ascii="Garamond" w:hAnsi="Garamond"/>
          <w:sz w:val="24"/>
          <w:szCs w:val="24"/>
        </w:rPr>
      </w:pPr>
      <w:r w:rsidRPr="00CD636B">
        <w:rPr>
          <w:rFonts w:ascii="Garamond" w:hAnsi="Garamond"/>
          <w:sz w:val="24"/>
          <w:szCs w:val="24"/>
        </w:rPr>
        <w:t>(d) a reasonable attempt has been made to provide that person with information relating to the effect of the infectious disease on the person's health and the risk posed to public health or it is not practicable to provide this information before making the order; and</w:t>
      </w:r>
    </w:p>
    <w:p w14:paraId="77C41EB7" w14:textId="2861B9C1" w:rsidR="00C61E20" w:rsidRPr="00CD636B" w:rsidRDefault="00C61E20" w:rsidP="00705A06">
      <w:pPr>
        <w:spacing w:line="276" w:lineRule="auto"/>
        <w:ind w:left="1440"/>
        <w:jc w:val="both"/>
        <w:rPr>
          <w:rFonts w:ascii="Garamond" w:hAnsi="Garamond"/>
          <w:sz w:val="24"/>
          <w:szCs w:val="24"/>
        </w:rPr>
      </w:pPr>
      <w:r w:rsidRPr="00CD636B">
        <w:rPr>
          <w:rFonts w:ascii="Garamond" w:hAnsi="Garamond"/>
          <w:sz w:val="24"/>
          <w:szCs w:val="24"/>
        </w:rPr>
        <w:t>(e) it is necessary to make the public health order to eliminate or reduce the risk of the person causing a serious risk to public health.</w:t>
      </w:r>
    </w:p>
    <w:p w14:paraId="39DB4040" w14:textId="77777777" w:rsidR="00C61E20" w:rsidRPr="00C61E20" w:rsidRDefault="00C61E20" w:rsidP="00705A06">
      <w:pPr>
        <w:spacing w:line="276" w:lineRule="auto"/>
        <w:ind w:firstLine="720"/>
        <w:jc w:val="both"/>
        <w:rPr>
          <w:rFonts w:ascii="Garamond" w:hAnsi="Garamond"/>
          <w:sz w:val="24"/>
          <w:szCs w:val="24"/>
        </w:rPr>
      </w:pPr>
      <w:r w:rsidRPr="00C61E20">
        <w:rPr>
          <w:rFonts w:ascii="Garamond" w:hAnsi="Garamond"/>
          <w:sz w:val="24"/>
          <w:szCs w:val="24"/>
        </w:rPr>
        <w:t>(2) The factors are—</w:t>
      </w:r>
    </w:p>
    <w:p w14:paraId="52FDCA0B" w14:textId="09AF8512"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lastRenderedPageBreak/>
        <w:t>(a) the nature of the infectious disease, including the ease with which it is</w:t>
      </w:r>
      <w:r>
        <w:rPr>
          <w:rFonts w:ascii="Garamond" w:hAnsi="Garamond"/>
          <w:sz w:val="24"/>
          <w:szCs w:val="24"/>
        </w:rPr>
        <w:t xml:space="preserve"> </w:t>
      </w:r>
      <w:r w:rsidRPr="00C61E20">
        <w:rPr>
          <w:rFonts w:ascii="Garamond" w:hAnsi="Garamond"/>
          <w:sz w:val="24"/>
          <w:szCs w:val="24"/>
        </w:rPr>
        <w:t>transmitted;</w:t>
      </w:r>
    </w:p>
    <w:p w14:paraId="6D3CE907"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(b) the availability and effectiveness of treatment for the infectious disease;</w:t>
      </w:r>
    </w:p>
    <w:p w14:paraId="5C835F9D" w14:textId="26EB676A"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(c) the possible side-effects and discomfort that may be caused to the person who is or may be infected with the infectious disease if he or she is required to undergo specified pharmacological treatment or prophylaxis for the infectious disease;</w:t>
      </w:r>
    </w:p>
    <w:p w14:paraId="6B77CE72" w14:textId="5F7D9394" w:rsid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(d) whether urgent action will significantly affect the public health outcome;</w:t>
      </w:r>
    </w:p>
    <w:p w14:paraId="13B4DC41" w14:textId="3F67F402"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(e) the capacity of the person who is or may be infected with the infectious disease</w:t>
      </w:r>
      <w:r>
        <w:rPr>
          <w:rFonts w:ascii="Garamond" w:hAnsi="Garamond"/>
          <w:sz w:val="24"/>
          <w:szCs w:val="24"/>
        </w:rPr>
        <w:t xml:space="preserve"> </w:t>
      </w:r>
      <w:r w:rsidRPr="00C61E20">
        <w:rPr>
          <w:rFonts w:ascii="Garamond" w:hAnsi="Garamond"/>
          <w:sz w:val="24"/>
          <w:szCs w:val="24"/>
        </w:rPr>
        <w:t>to understand the risk to public health constituted by the person having the</w:t>
      </w:r>
      <w:r>
        <w:rPr>
          <w:rFonts w:ascii="Garamond" w:hAnsi="Garamond"/>
          <w:sz w:val="24"/>
          <w:szCs w:val="24"/>
        </w:rPr>
        <w:t xml:space="preserve"> </w:t>
      </w:r>
      <w:r w:rsidRPr="00C61E20">
        <w:rPr>
          <w:rFonts w:ascii="Garamond" w:hAnsi="Garamond"/>
          <w:sz w:val="24"/>
          <w:szCs w:val="24"/>
        </w:rPr>
        <w:t>infectious disease;</w:t>
      </w:r>
    </w:p>
    <w:p w14:paraId="1C725380"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(f) any prescribed factors;</w:t>
      </w:r>
    </w:p>
    <w:p w14:paraId="5E4DACED" w14:textId="73D78ACC"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(g) any other factors that the Chief Health Officer considers are relevant in the</w:t>
      </w:r>
      <w:r>
        <w:rPr>
          <w:rFonts w:ascii="Garamond" w:hAnsi="Garamond"/>
          <w:sz w:val="24"/>
          <w:szCs w:val="24"/>
        </w:rPr>
        <w:t xml:space="preserve"> </w:t>
      </w:r>
      <w:r w:rsidRPr="00C61E20">
        <w:rPr>
          <w:rFonts w:ascii="Garamond" w:hAnsi="Garamond"/>
          <w:sz w:val="24"/>
          <w:szCs w:val="24"/>
        </w:rPr>
        <w:t>particular circumstances.</w:t>
      </w:r>
    </w:p>
    <w:p w14:paraId="64EFEB18" w14:textId="77777777" w:rsidR="00C61E20" w:rsidRPr="00767030" w:rsidRDefault="00C61E20" w:rsidP="00705A06">
      <w:pPr>
        <w:spacing w:line="276" w:lineRule="auto"/>
        <w:ind w:firstLine="720"/>
        <w:jc w:val="both"/>
        <w:rPr>
          <w:rFonts w:ascii="Garamond" w:hAnsi="Garamond"/>
          <w:b/>
          <w:bCs/>
          <w:sz w:val="24"/>
          <w:szCs w:val="24"/>
        </w:rPr>
      </w:pPr>
      <w:r w:rsidRPr="00767030">
        <w:rPr>
          <w:rFonts w:ascii="Garamond" w:hAnsi="Garamond"/>
          <w:b/>
          <w:bCs/>
          <w:sz w:val="24"/>
          <w:szCs w:val="24"/>
        </w:rPr>
        <w:t>(3) A public health order must—</w:t>
      </w:r>
    </w:p>
    <w:p w14:paraId="631AE03E" w14:textId="77777777" w:rsidR="00C61E20" w:rsidRPr="00767030" w:rsidRDefault="00C61E20" w:rsidP="00705A06">
      <w:pPr>
        <w:spacing w:line="276" w:lineRule="auto"/>
        <w:ind w:left="720" w:firstLine="720"/>
        <w:jc w:val="both"/>
        <w:rPr>
          <w:rFonts w:ascii="Garamond" w:hAnsi="Garamond"/>
          <w:b/>
          <w:bCs/>
          <w:sz w:val="24"/>
          <w:szCs w:val="24"/>
        </w:rPr>
      </w:pPr>
      <w:r w:rsidRPr="00767030">
        <w:rPr>
          <w:rFonts w:ascii="Garamond" w:hAnsi="Garamond"/>
          <w:b/>
          <w:bCs/>
          <w:sz w:val="24"/>
          <w:szCs w:val="24"/>
        </w:rPr>
        <w:t>(a) be in writing;</w:t>
      </w:r>
    </w:p>
    <w:p w14:paraId="19199347" w14:textId="77777777" w:rsidR="00C61E20" w:rsidRPr="00767030" w:rsidRDefault="00C61E20" w:rsidP="00705A06">
      <w:pPr>
        <w:spacing w:line="276" w:lineRule="auto"/>
        <w:ind w:left="720" w:firstLine="720"/>
        <w:jc w:val="both"/>
        <w:rPr>
          <w:rFonts w:ascii="Garamond" w:hAnsi="Garamond"/>
          <w:b/>
          <w:bCs/>
          <w:sz w:val="24"/>
          <w:szCs w:val="24"/>
        </w:rPr>
      </w:pPr>
      <w:r w:rsidRPr="00767030">
        <w:rPr>
          <w:rFonts w:ascii="Garamond" w:hAnsi="Garamond"/>
          <w:b/>
          <w:bCs/>
          <w:sz w:val="24"/>
          <w:szCs w:val="24"/>
        </w:rPr>
        <w:t>(b) identify the person to whom the order applies;</w:t>
      </w:r>
    </w:p>
    <w:p w14:paraId="0533BBBA" w14:textId="77777777" w:rsidR="00C61E20" w:rsidRPr="00767030" w:rsidRDefault="00C61E20" w:rsidP="00705A06">
      <w:pPr>
        <w:spacing w:line="276" w:lineRule="auto"/>
        <w:ind w:left="720" w:firstLine="720"/>
        <w:jc w:val="both"/>
        <w:rPr>
          <w:rFonts w:ascii="Garamond" w:hAnsi="Garamond"/>
          <w:b/>
          <w:bCs/>
          <w:sz w:val="24"/>
          <w:szCs w:val="24"/>
        </w:rPr>
      </w:pPr>
      <w:r w:rsidRPr="00767030">
        <w:rPr>
          <w:rFonts w:ascii="Garamond" w:hAnsi="Garamond"/>
          <w:b/>
          <w:bCs/>
          <w:sz w:val="24"/>
          <w:szCs w:val="24"/>
        </w:rPr>
        <w:t>(c) specify the purpose of the order;</w:t>
      </w:r>
    </w:p>
    <w:p w14:paraId="480ED1C4" w14:textId="7A888BE5"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(d) specify the infectious disease which the Chief Health Officer believes the person has or has been exposed to;</w:t>
      </w:r>
    </w:p>
    <w:p w14:paraId="684EE423" w14:textId="11D3C697"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(e) explain why the Chief Health Officer believes that the person is infected with the infectious disease or has been exposed to the infectious disease in circumstances where a person is likely to contract the infectious disease;</w:t>
      </w:r>
    </w:p>
    <w:p w14:paraId="64978692" w14:textId="48DB5D0A"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(f) subject to subsection (4), specify the period for which the public health order continues to have effect;</w:t>
      </w:r>
    </w:p>
    <w:p w14:paraId="7281E392" w14:textId="1DE5D14F"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(g) explain the person's rights and entitlements under this Act and the process for making an application for review to VCAT;</w:t>
      </w:r>
    </w:p>
    <w:p w14:paraId="7C0444D5" w14:textId="77777777" w:rsidR="00C61E20" w:rsidRPr="00767030" w:rsidRDefault="00C61E20" w:rsidP="00705A06">
      <w:pPr>
        <w:spacing w:line="276" w:lineRule="auto"/>
        <w:ind w:left="720" w:firstLine="720"/>
        <w:jc w:val="both"/>
        <w:rPr>
          <w:rFonts w:ascii="Garamond" w:hAnsi="Garamond"/>
          <w:b/>
          <w:bCs/>
          <w:sz w:val="24"/>
          <w:szCs w:val="24"/>
        </w:rPr>
      </w:pPr>
      <w:r w:rsidRPr="00767030">
        <w:rPr>
          <w:rFonts w:ascii="Garamond" w:hAnsi="Garamond"/>
          <w:b/>
          <w:bCs/>
          <w:sz w:val="24"/>
          <w:szCs w:val="24"/>
        </w:rPr>
        <w:t>(h) contain a statement that the person should seek legal advice;</w:t>
      </w:r>
    </w:p>
    <w:p w14:paraId="656879F2" w14:textId="2DE10C5F"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lastRenderedPageBreak/>
        <w:t>(i) explain that if the person does not comply with the order, the person commits an offence and is liable to a penalty not exceeding 120 penalty units.</w:t>
      </w:r>
    </w:p>
    <w:p w14:paraId="741B202A" w14:textId="77777777" w:rsidR="00C61E20" w:rsidRPr="00C61E20" w:rsidRDefault="00C61E20" w:rsidP="00705A06">
      <w:pPr>
        <w:spacing w:line="276" w:lineRule="auto"/>
        <w:ind w:firstLine="720"/>
        <w:jc w:val="both"/>
        <w:rPr>
          <w:rFonts w:ascii="Garamond" w:hAnsi="Garamond"/>
          <w:sz w:val="24"/>
          <w:szCs w:val="24"/>
        </w:rPr>
      </w:pPr>
      <w:r w:rsidRPr="00C61E20">
        <w:rPr>
          <w:rFonts w:ascii="Garamond" w:hAnsi="Garamond"/>
          <w:sz w:val="24"/>
          <w:szCs w:val="24"/>
        </w:rPr>
        <w:t>(4) The period for which a public health order continues to have effect must—</w:t>
      </w:r>
    </w:p>
    <w:p w14:paraId="4FADD0A3"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(a) not exceed 6 months from the day on which the order is made;</w:t>
      </w:r>
    </w:p>
    <w:p w14:paraId="5A29CDE9"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(b) be proportionate with the risk that the person poses to public health.</w:t>
      </w:r>
    </w:p>
    <w:p w14:paraId="64CB1704" w14:textId="7F60B1C6" w:rsidR="00767030" w:rsidRDefault="00767030" w:rsidP="00705A06">
      <w:pPr>
        <w:spacing w:line="276" w:lineRule="auto"/>
        <w:jc w:val="both"/>
        <w:rPr>
          <w:rFonts w:ascii="Garamond" w:hAnsi="Garamond"/>
          <w:sz w:val="24"/>
          <w:szCs w:val="24"/>
        </w:rPr>
      </w:pPr>
      <w:r>
        <w:rPr>
          <w:rFonts w:ascii="Garamond" w:hAnsi="Garamond"/>
          <w:sz w:val="24"/>
          <w:szCs w:val="24"/>
        </w:rPr>
        <w:t>With specific regard to the requirement for a citizen to undergo vaccination, s117(5) notes that:</w:t>
      </w:r>
    </w:p>
    <w:p w14:paraId="1F2D2623" w14:textId="045C5239" w:rsidR="00C61E20" w:rsidRPr="00C61E20" w:rsidRDefault="00C61E20" w:rsidP="00705A06">
      <w:pPr>
        <w:spacing w:line="276" w:lineRule="auto"/>
        <w:ind w:left="720"/>
        <w:jc w:val="both"/>
        <w:rPr>
          <w:rFonts w:ascii="Garamond" w:hAnsi="Garamond"/>
          <w:sz w:val="24"/>
          <w:szCs w:val="24"/>
        </w:rPr>
      </w:pPr>
      <w:r w:rsidRPr="00C61E20">
        <w:rPr>
          <w:rFonts w:ascii="Garamond" w:hAnsi="Garamond"/>
          <w:sz w:val="24"/>
          <w:szCs w:val="24"/>
        </w:rPr>
        <w:t>(5) A public health order may require the person to whom the public health order</w:t>
      </w:r>
      <w:r>
        <w:rPr>
          <w:rFonts w:ascii="Garamond" w:hAnsi="Garamond"/>
          <w:sz w:val="24"/>
          <w:szCs w:val="24"/>
        </w:rPr>
        <w:t xml:space="preserve"> </w:t>
      </w:r>
      <w:r w:rsidRPr="00C61E20">
        <w:rPr>
          <w:rFonts w:ascii="Garamond" w:hAnsi="Garamond"/>
          <w:sz w:val="24"/>
          <w:szCs w:val="24"/>
        </w:rPr>
        <w:t>applies to comply with any of the following as specified in the order and subject to</w:t>
      </w:r>
      <w:r>
        <w:rPr>
          <w:rFonts w:ascii="Garamond" w:hAnsi="Garamond"/>
          <w:sz w:val="24"/>
          <w:szCs w:val="24"/>
        </w:rPr>
        <w:t xml:space="preserve"> </w:t>
      </w:r>
      <w:r w:rsidRPr="00C61E20">
        <w:rPr>
          <w:rFonts w:ascii="Garamond" w:hAnsi="Garamond"/>
          <w:sz w:val="24"/>
          <w:szCs w:val="24"/>
        </w:rPr>
        <w:t>any specified conditions that the Chief Health Officer considers are appropriate—</w:t>
      </w:r>
    </w:p>
    <w:p w14:paraId="48CE7261" w14:textId="44F58A52"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(a) participate in counselling, education or other activities provided by a specified</w:t>
      </w:r>
      <w:r>
        <w:rPr>
          <w:rFonts w:ascii="Garamond" w:hAnsi="Garamond"/>
          <w:sz w:val="24"/>
          <w:szCs w:val="24"/>
        </w:rPr>
        <w:t xml:space="preserve"> </w:t>
      </w:r>
      <w:r w:rsidRPr="00C61E20">
        <w:rPr>
          <w:rFonts w:ascii="Garamond" w:hAnsi="Garamond"/>
          <w:sz w:val="24"/>
          <w:szCs w:val="24"/>
        </w:rPr>
        <w:t>person or specified class of person;</w:t>
      </w:r>
    </w:p>
    <w:p w14:paraId="3306D5C5"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(b) undergo an assessment by a specified psychiatrist or specified neurologist;</w:t>
      </w:r>
    </w:p>
    <w:p w14:paraId="496750E5" w14:textId="10C229EA"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(c) refrain from carrying out certain activities either absolutely or unless specified</w:t>
      </w:r>
      <w:r>
        <w:rPr>
          <w:rFonts w:ascii="Garamond" w:hAnsi="Garamond"/>
          <w:sz w:val="24"/>
          <w:szCs w:val="24"/>
        </w:rPr>
        <w:t xml:space="preserve"> </w:t>
      </w:r>
      <w:r w:rsidRPr="00C61E20">
        <w:rPr>
          <w:rFonts w:ascii="Garamond" w:hAnsi="Garamond"/>
          <w:sz w:val="24"/>
          <w:szCs w:val="24"/>
        </w:rPr>
        <w:t>conditions are complied with;</w:t>
      </w:r>
    </w:p>
    <w:p w14:paraId="12C65ED5" w14:textId="287720AC"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(d) refrain from specified forms of behavior either absolutely or unless specified</w:t>
      </w:r>
      <w:r>
        <w:rPr>
          <w:rFonts w:ascii="Garamond" w:hAnsi="Garamond"/>
          <w:sz w:val="24"/>
          <w:szCs w:val="24"/>
        </w:rPr>
        <w:t xml:space="preserve"> </w:t>
      </w:r>
      <w:r w:rsidRPr="00C61E20">
        <w:rPr>
          <w:rFonts w:ascii="Garamond" w:hAnsi="Garamond"/>
          <w:sz w:val="24"/>
          <w:szCs w:val="24"/>
        </w:rPr>
        <w:t>conditions are complied with;</w:t>
      </w:r>
    </w:p>
    <w:p w14:paraId="5F30D1AA"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(e) refrain from visiting a specified place or specified class of place;</w:t>
      </w:r>
    </w:p>
    <w:p w14:paraId="6EE8611D" w14:textId="77777777" w:rsidR="00C61E20" w:rsidRP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(f) reside at a specified place of residence at all times or during specified times;</w:t>
      </w:r>
    </w:p>
    <w:p w14:paraId="6F938648" w14:textId="05BD55B4" w:rsid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(g) notify the Chief Health Officer or a person nominated by the Chief Health</w:t>
      </w:r>
      <w:r>
        <w:rPr>
          <w:rFonts w:ascii="Garamond" w:hAnsi="Garamond"/>
          <w:sz w:val="24"/>
          <w:szCs w:val="24"/>
        </w:rPr>
        <w:t xml:space="preserve"> </w:t>
      </w:r>
      <w:r w:rsidRPr="00C61E20">
        <w:rPr>
          <w:rFonts w:ascii="Garamond" w:hAnsi="Garamond"/>
          <w:sz w:val="24"/>
          <w:szCs w:val="24"/>
        </w:rPr>
        <w:t>Officer in writing or in another specified form if the person changes his or her</w:t>
      </w:r>
      <w:r>
        <w:rPr>
          <w:rFonts w:ascii="Garamond" w:hAnsi="Garamond"/>
          <w:sz w:val="24"/>
          <w:szCs w:val="24"/>
        </w:rPr>
        <w:t xml:space="preserve"> </w:t>
      </w:r>
      <w:r w:rsidRPr="00C61E20">
        <w:rPr>
          <w:rFonts w:ascii="Garamond" w:hAnsi="Garamond"/>
          <w:sz w:val="24"/>
          <w:szCs w:val="24"/>
        </w:rPr>
        <w:t>name or place of residence within 3 days of doing so;</w:t>
      </w:r>
    </w:p>
    <w:p w14:paraId="3B13D1BB" w14:textId="0A772ABA" w:rsidR="00C61E20" w:rsidRPr="00C61E20" w:rsidRDefault="00C61E20" w:rsidP="00705A06">
      <w:pPr>
        <w:spacing w:line="276" w:lineRule="auto"/>
        <w:ind w:left="1440"/>
        <w:jc w:val="both"/>
        <w:rPr>
          <w:rFonts w:ascii="Garamond" w:hAnsi="Garamond"/>
          <w:sz w:val="24"/>
          <w:szCs w:val="24"/>
        </w:rPr>
      </w:pPr>
      <w:r w:rsidRPr="00C61E20">
        <w:rPr>
          <w:rFonts w:ascii="Garamond" w:hAnsi="Garamond"/>
          <w:sz w:val="24"/>
          <w:szCs w:val="24"/>
        </w:rPr>
        <w:t>(h) submit to the supervision of a person nominated by the Chief Health Officer,</w:t>
      </w:r>
      <w:r>
        <w:rPr>
          <w:rFonts w:ascii="Garamond" w:hAnsi="Garamond"/>
          <w:sz w:val="24"/>
          <w:szCs w:val="24"/>
        </w:rPr>
        <w:t xml:space="preserve"> </w:t>
      </w:r>
      <w:r w:rsidRPr="00C61E20">
        <w:rPr>
          <w:rFonts w:ascii="Garamond" w:hAnsi="Garamond"/>
          <w:sz w:val="24"/>
          <w:szCs w:val="24"/>
        </w:rPr>
        <w:t>including—</w:t>
      </w:r>
    </w:p>
    <w:p w14:paraId="0261BBB1" w14:textId="77777777" w:rsidR="00C61E20" w:rsidRPr="00C61E20" w:rsidRDefault="00C61E20" w:rsidP="00705A06">
      <w:pPr>
        <w:spacing w:line="276" w:lineRule="auto"/>
        <w:ind w:left="1440" w:firstLine="720"/>
        <w:jc w:val="both"/>
        <w:rPr>
          <w:rFonts w:ascii="Garamond" w:hAnsi="Garamond"/>
          <w:sz w:val="24"/>
          <w:szCs w:val="24"/>
        </w:rPr>
      </w:pPr>
      <w:r w:rsidRPr="00C61E20">
        <w:rPr>
          <w:rFonts w:ascii="Garamond" w:hAnsi="Garamond"/>
          <w:sz w:val="24"/>
          <w:szCs w:val="24"/>
        </w:rPr>
        <w:t>(i) attending meetings arranged by that person;</w:t>
      </w:r>
    </w:p>
    <w:p w14:paraId="7A6A3716" w14:textId="77777777" w:rsidR="00C61E20" w:rsidRPr="00C61E20" w:rsidRDefault="00C61E20" w:rsidP="00705A06">
      <w:pPr>
        <w:spacing w:line="276" w:lineRule="auto"/>
        <w:ind w:left="1440" w:firstLine="720"/>
        <w:jc w:val="both"/>
        <w:rPr>
          <w:rFonts w:ascii="Garamond" w:hAnsi="Garamond"/>
          <w:sz w:val="24"/>
          <w:szCs w:val="24"/>
        </w:rPr>
      </w:pPr>
      <w:r w:rsidRPr="00C61E20">
        <w:rPr>
          <w:rFonts w:ascii="Garamond" w:hAnsi="Garamond"/>
          <w:sz w:val="24"/>
          <w:szCs w:val="24"/>
        </w:rPr>
        <w:t>(ii) receiving visits from that person;</w:t>
      </w:r>
    </w:p>
    <w:p w14:paraId="1382CE84" w14:textId="3F446056" w:rsidR="00C61E20" w:rsidRPr="00C61E20" w:rsidRDefault="00C61E20" w:rsidP="00705A06">
      <w:pPr>
        <w:spacing w:line="276" w:lineRule="auto"/>
        <w:ind w:left="2160"/>
        <w:jc w:val="both"/>
        <w:rPr>
          <w:rFonts w:ascii="Garamond" w:hAnsi="Garamond"/>
          <w:sz w:val="24"/>
          <w:szCs w:val="24"/>
        </w:rPr>
      </w:pPr>
      <w:r w:rsidRPr="00C61E20">
        <w:rPr>
          <w:rFonts w:ascii="Garamond" w:hAnsi="Garamond"/>
          <w:sz w:val="24"/>
          <w:szCs w:val="24"/>
        </w:rPr>
        <w:t>(iii) providing that person with information relating to any action, occurrence</w:t>
      </w:r>
      <w:r>
        <w:rPr>
          <w:rFonts w:ascii="Garamond" w:hAnsi="Garamond"/>
          <w:sz w:val="24"/>
          <w:szCs w:val="24"/>
        </w:rPr>
        <w:t xml:space="preserve"> </w:t>
      </w:r>
      <w:r w:rsidRPr="00C61E20">
        <w:rPr>
          <w:rFonts w:ascii="Garamond" w:hAnsi="Garamond"/>
          <w:sz w:val="24"/>
          <w:szCs w:val="24"/>
        </w:rPr>
        <w:t>or plan relevant to the health risk posed by the person to whom the order</w:t>
      </w:r>
      <w:r>
        <w:rPr>
          <w:rFonts w:ascii="Garamond" w:hAnsi="Garamond"/>
          <w:sz w:val="24"/>
          <w:szCs w:val="24"/>
        </w:rPr>
        <w:t xml:space="preserve"> </w:t>
      </w:r>
      <w:r w:rsidRPr="00C61E20">
        <w:rPr>
          <w:rFonts w:ascii="Garamond" w:hAnsi="Garamond"/>
          <w:sz w:val="24"/>
          <w:szCs w:val="24"/>
        </w:rPr>
        <w:t>applies;</w:t>
      </w:r>
    </w:p>
    <w:p w14:paraId="5EA7F29D" w14:textId="0DECF5F5" w:rsidR="00C61E20" w:rsidRPr="00A876AC" w:rsidRDefault="00C61E20" w:rsidP="00705A06">
      <w:pPr>
        <w:spacing w:line="276" w:lineRule="auto"/>
        <w:ind w:left="2160"/>
        <w:jc w:val="both"/>
        <w:rPr>
          <w:rFonts w:ascii="Garamond" w:hAnsi="Garamond"/>
          <w:b/>
          <w:bCs/>
          <w:sz w:val="24"/>
          <w:szCs w:val="24"/>
        </w:rPr>
      </w:pPr>
      <w:r w:rsidRPr="00A876AC">
        <w:rPr>
          <w:rFonts w:ascii="Garamond" w:hAnsi="Garamond"/>
          <w:b/>
          <w:bCs/>
          <w:sz w:val="24"/>
          <w:szCs w:val="24"/>
        </w:rPr>
        <w:lastRenderedPageBreak/>
        <w:t>(i) receive specified prophylaxis, including a specified vaccination, within the specified period;</w:t>
      </w:r>
    </w:p>
    <w:p w14:paraId="3D0F2F52" w14:textId="7F00C53A" w:rsidR="00C61E20" w:rsidRPr="00767030" w:rsidRDefault="00C61E20" w:rsidP="00705A06">
      <w:pPr>
        <w:spacing w:line="276" w:lineRule="auto"/>
        <w:ind w:left="1440"/>
        <w:jc w:val="both"/>
        <w:rPr>
          <w:rFonts w:ascii="Garamond" w:hAnsi="Garamond"/>
          <w:b/>
          <w:bCs/>
          <w:sz w:val="24"/>
          <w:szCs w:val="24"/>
        </w:rPr>
      </w:pPr>
      <w:r w:rsidRPr="00767030">
        <w:rPr>
          <w:rFonts w:ascii="Garamond" w:hAnsi="Garamond"/>
          <w:b/>
          <w:bCs/>
          <w:sz w:val="24"/>
          <w:szCs w:val="24"/>
        </w:rPr>
        <w:t>(j) undergo specified pharmacological treatment for the infectious disease from a registered medical practitioner;</w:t>
      </w:r>
    </w:p>
    <w:p w14:paraId="182B8C1F" w14:textId="3B90F383" w:rsidR="00C61E20" w:rsidRDefault="00C61E20" w:rsidP="00705A06">
      <w:pPr>
        <w:spacing w:line="276" w:lineRule="auto"/>
        <w:ind w:left="720" w:firstLine="720"/>
        <w:jc w:val="both"/>
        <w:rPr>
          <w:rFonts w:ascii="Garamond" w:hAnsi="Garamond"/>
          <w:sz w:val="24"/>
          <w:szCs w:val="24"/>
        </w:rPr>
      </w:pPr>
      <w:r w:rsidRPr="00C61E20">
        <w:rPr>
          <w:rFonts w:ascii="Garamond" w:hAnsi="Garamond"/>
          <w:sz w:val="24"/>
          <w:szCs w:val="24"/>
        </w:rPr>
        <w:t>(k) submit to being detained or isolated or detained and isolated as specified.</w:t>
      </w:r>
    </w:p>
    <w:p w14:paraId="3A4F2A0F" w14:textId="0764B700" w:rsidR="00767030" w:rsidRPr="00694F51" w:rsidRDefault="00767030" w:rsidP="00705A06">
      <w:pPr>
        <w:spacing w:line="276" w:lineRule="auto"/>
        <w:jc w:val="both"/>
        <w:rPr>
          <w:rFonts w:ascii="Garamond" w:hAnsi="Garamond"/>
          <w:sz w:val="24"/>
          <w:szCs w:val="24"/>
        </w:rPr>
      </w:pPr>
      <w:r>
        <w:rPr>
          <w:rFonts w:ascii="Garamond" w:hAnsi="Garamond"/>
          <w:sz w:val="24"/>
          <w:szCs w:val="24"/>
        </w:rPr>
        <w:t>Again, such a requirement is therefore subject to the other stringent requirements above. It simply does not make sense for the PHW Act to go to such lengths to protect the rights of an individual against an unfair or unjust requirement to be vaccinated in the context of a public health order in the sense described under s117, but for those same checks and balances not to apply to blanket directions made under s200 of the same Act. This is a misuse of the Act, potentially for the purposes of avoiding said checks and balances. The intention of Parliament in this regard is irrelevant; good intentions do not render actions lawful.</w:t>
      </w:r>
    </w:p>
    <w:p w14:paraId="76EBC98C" w14:textId="392A90F5" w:rsidR="00A3360E" w:rsidRDefault="00767030" w:rsidP="00705A06">
      <w:pPr>
        <w:spacing w:line="276" w:lineRule="auto"/>
        <w:jc w:val="both"/>
        <w:rPr>
          <w:rFonts w:ascii="Garamond" w:hAnsi="Garamond"/>
          <w:i/>
          <w:iCs/>
          <w:sz w:val="24"/>
          <w:szCs w:val="24"/>
        </w:rPr>
      </w:pPr>
      <w:r>
        <w:rPr>
          <w:rFonts w:ascii="Garamond" w:hAnsi="Garamond"/>
          <w:i/>
          <w:iCs/>
          <w:sz w:val="24"/>
          <w:szCs w:val="24"/>
        </w:rPr>
        <w:t xml:space="preserve">The Principle of </w:t>
      </w:r>
      <w:r w:rsidR="002153E3">
        <w:rPr>
          <w:rFonts w:ascii="Garamond" w:hAnsi="Garamond"/>
          <w:i/>
          <w:iCs/>
          <w:sz w:val="24"/>
          <w:szCs w:val="24"/>
        </w:rPr>
        <w:t>Minimum Interference</w:t>
      </w:r>
      <w:r>
        <w:rPr>
          <w:rFonts w:ascii="Garamond" w:hAnsi="Garamond"/>
          <w:i/>
          <w:iCs/>
          <w:sz w:val="24"/>
          <w:szCs w:val="24"/>
        </w:rPr>
        <w:t>, and other Safeguards</w:t>
      </w:r>
    </w:p>
    <w:p w14:paraId="10452ECC" w14:textId="0C29A5FE" w:rsidR="00767030" w:rsidRDefault="00767030" w:rsidP="00705A06">
      <w:pPr>
        <w:spacing w:line="276" w:lineRule="auto"/>
        <w:jc w:val="both"/>
        <w:rPr>
          <w:rFonts w:ascii="Garamond" w:hAnsi="Garamond"/>
          <w:sz w:val="24"/>
          <w:szCs w:val="24"/>
        </w:rPr>
      </w:pPr>
      <w:r>
        <w:rPr>
          <w:rFonts w:ascii="Garamond" w:hAnsi="Garamond"/>
          <w:sz w:val="24"/>
          <w:szCs w:val="24"/>
        </w:rPr>
        <w:t>But there are other parts of the PHW Act which s200, and directions purported to be made under it, must be consistent with.</w:t>
      </w:r>
    </w:p>
    <w:p w14:paraId="476A392D" w14:textId="37952E22" w:rsidR="004C21FC" w:rsidRDefault="004C21FC" w:rsidP="00705A06">
      <w:pPr>
        <w:spacing w:line="276" w:lineRule="auto"/>
        <w:jc w:val="both"/>
        <w:rPr>
          <w:rFonts w:ascii="Garamond" w:hAnsi="Garamond"/>
          <w:sz w:val="24"/>
          <w:szCs w:val="24"/>
        </w:rPr>
      </w:pPr>
      <w:r>
        <w:rPr>
          <w:rFonts w:ascii="Garamond" w:hAnsi="Garamond"/>
          <w:sz w:val="24"/>
          <w:szCs w:val="24"/>
        </w:rPr>
        <w:t xml:space="preserve">I already noted above </w:t>
      </w:r>
      <w:r w:rsidRPr="004C21FC">
        <w:rPr>
          <w:rFonts w:ascii="Garamond" w:hAnsi="Garamond"/>
          <w:b/>
          <w:bCs/>
          <w:sz w:val="24"/>
          <w:szCs w:val="24"/>
        </w:rPr>
        <w:t>the Principle of Minimum Interference</w:t>
      </w:r>
      <w:r>
        <w:rPr>
          <w:rFonts w:ascii="Garamond" w:hAnsi="Garamond"/>
          <w:sz w:val="24"/>
          <w:szCs w:val="24"/>
        </w:rPr>
        <w:t>, which notes that “the spread of infectious disease should be prevented or minimised with the minimum restriction on the rights of any person”.</w:t>
      </w:r>
      <w:r>
        <w:rPr>
          <w:rStyle w:val="FootnoteReference"/>
          <w:rFonts w:ascii="Garamond" w:hAnsi="Garamond"/>
          <w:sz w:val="24"/>
          <w:szCs w:val="24"/>
        </w:rPr>
        <w:footnoteReference w:id="15"/>
      </w:r>
      <w:r>
        <w:rPr>
          <w:rFonts w:ascii="Garamond" w:hAnsi="Garamond"/>
          <w:sz w:val="24"/>
          <w:szCs w:val="24"/>
        </w:rPr>
        <w:t xml:space="preserve"> In addition to that principle, the PHW Act also includes the following safeguards:</w:t>
      </w:r>
    </w:p>
    <w:p w14:paraId="0BF614ED" w14:textId="74D8D9E5" w:rsidR="004C21FC" w:rsidRPr="004C21FC" w:rsidRDefault="004C21FC" w:rsidP="00705A06">
      <w:pPr>
        <w:pStyle w:val="ListParagraph"/>
        <w:numPr>
          <w:ilvl w:val="0"/>
          <w:numId w:val="15"/>
        </w:numPr>
        <w:spacing w:line="276" w:lineRule="auto"/>
        <w:jc w:val="both"/>
        <w:rPr>
          <w:rFonts w:ascii="Garamond" w:hAnsi="Garamond"/>
          <w:sz w:val="24"/>
          <w:szCs w:val="24"/>
        </w:rPr>
      </w:pPr>
      <w:r w:rsidRPr="004C21FC">
        <w:rPr>
          <w:rFonts w:ascii="Garamond" w:hAnsi="Garamond"/>
          <w:sz w:val="24"/>
          <w:szCs w:val="24"/>
        </w:rPr>
        <w:t>Decisions made and actions taken in the administration of this Act—</w:t>
      </w:r>
    </w:p>
    <w:p w14:paraId="214342A5" w14:textId="310E2460" w:rsidR="004C21FC" w:rsidRPr="004C21FC" w:rsidRDefault="004C21FC" w:rsidP="00705A06">
      <w:pPr>
        <w:spacing w:line="276" w:lineRule="auto"/>
        <w:ind w:left="1440"/>
        <w:jc w:val="both"/>
        <w:rPr>
          <w:rFonts w:ascii="Garamond" w:hAnsi="Garamond"/>
          <w:sz w:val="24"/>
          <w:szCs w:val="24"/>
        </w:rPr>
      </w:pPr>
      <w:r w:rsidRPr="004C21FC">
        <w:rPr>
          <w:rFonts w:ascii="Garamond" w:hAnsi="Garamond"/>
          <w:sz w:val="24"/>
          <w:szCs w:val="24"/>
        </w:rPr>
        <w:t>(a) should be proportionate to the public health risk sought to be prevented, minimised or</w:t>
      </w:r>
      <w:r>
        <w:rPr>
          <w:rFonts w:ascii="Garamond" w:hAnsi="Garamond"/>
          <w:sz w:val="24"/>
          <w:szCs w:val="24"/>
        </w:rPr>
        <w:t xml:space="preserve"> </w:t>
      </w:r>
      <w:r w:rsidRPr="004C21FC">
        <w:rPr>
          <w:rFonts w:ascii="Garamond" w:hAnsi="Garamond"/>
          <w:sz w:val="24"/>
          <w:szCs w:val="24"/>
        </w:rPr>
        <w:t>controlled; and</w:t>
      </w:r>
    </w:p>
    <w:p w14:paraId="32CD3AC9" w14:textId="3F3CBD44" w:rsidR="004C21FC" w:rsidRDefault="004C21FC" w:rsidP="00705A06">
      <w:pPr>
        <w:spacing w:line="276" w:lineRule="auto"/>
        <w:ind w:left="720" w:firstLine="720"/>
        <w:jc w:val="both"/>
        <w:rPr>
          <w:rFonts w:ascii="Garamond" w:hAnsi="Garamond"/>
          <w:sz w:val="24"/>
          <w:szCs w:val="24"/>
        </w:rPr>
      </w:pPr>
      <w:r w:rsidRPr="004C21FC">
        <w:rPr>
          <w:rFonts w:ascii="Garamond" w:hAnsi="Garamond"/>
          <w:sz w:val="24"/>
          <w:szCs w:val="24"/>
        </w:rPr>
        <w:t>(b) should not be made or taken in an arbitrary manner.</w:t>
      </w:r>
      <w:r>
        <w:rPr>
          <w:rStyle w:val="FootnoteReference"/>
          <w:rFonts w:ascii="Garamond" w:hAnsi="Garamond"/>
          <w:sz w:val="24"/>
          <w:szCs w:val="24"/>
        </w:rPr>
        <w:footnoteReference w:id="16"/>
      </w:r>
    </w:p>
    <w:p w14:paraId="12D9F7B8" w14:textId="28E77ADE" w:rsidR="002153E3" w:rsidRDefault="004C21FC" w:rsidP="00705A06">
      <w:pPr>
        <w:spacing w:line="276" w:lineRule="auto"/>
        <w:ind w:left="720" w:firstLine="720"/>
        <w:jc w:val="both"/>
        <w:rPr>
          <w:rFonts w:ascii="Garamond" w:hAnsi="Garamond"/>
          <w:sz w:val="24"/>
          <w:szCs w:val="24"/>
        </w:rPr>
      </w:pPr>
      <w:r>
        <w:rPr>
          <w:rFonts w:ascii="Garamond" w:hAnsi="Garamond"/>
          <w:sz w:val="24"/>
          <w:szCs w:val="24"/>
        </w:rPr>
        <w:t>(</w:t>
      </w:r>
      <w:r w:rsidRPr="004C21FC">
        <w:rPr>
          <w:rFonts w:ascii="Garamond" w:hAnsi="Garamond"/>
          <w:b/>
          <w:bCs/>
          <w:sz w:val="24"/>
          <w:szCs w:val="24"/>
        </w:rPr>
        <w:t>the Principle of Proportionality</w:t>
      </w:r>
      <w:r>
        <w:rPr>
          <w:rFonts w:ascii="Garamond" w:hAnsi="Garamond"/>
          <w:sz w:val="24"/>
          <w:szCs w:val="24"/>
        </w:rPr>
        <w:t>)</w:t>
      </w:r>
      <w:r w:rsidRPr="004C21FC">
        <w:rPr>
          <w:rFonts w:ascii="Garamond" w:hAnsi="Garamond"/>
          <w:sz w:val="24"/>
          <w:szCs w:val="24"/>
        </w:rPr>
        <w:t xml:space="preserve"> </w:t>
      </w:r>
    </w:p>
    <w:p w14:paraId="517D1052" w14:textId="6031C818" w:rsidR="004C21FC" w:rsidRPr="004C21FC" w:rsidRDefault="004C21FC" w:rsidP="00705A06">
      <w:pPr>
        <w:pStyle w:val="ListParagraph"/>
        <w:numPr>
          <w:ilvl w:val="0"/>
          <w:numId w:val="15"/>
        </w:numPr>
        <w:spacing w:line="276" w:lineRule="auto"/>
        <w:jc w:val="both"/>
        <w:rPr>
          <w:rFonts w:ascii="Garamond" w:hAnsi="Garamond"/>
          <w:sz w:val="24"/>
          <w:szCs w:val="24"/>
        </w:rPr>
      </w:pPr>
      <w:r>
        <w:rPr>
          <w:rFonts w:ascii="Garamond" w:hAnsi="Garamond"/>
          <w:sz w:val="24"/>
          <w:szCs w:val="24"/>
        </w:rPr>
        <w:t xml:space="preserve">(1) </w:t>
      </w:r>
      <w:r w:rsidRPr="004C21FC">
        <w:rPr>
          <w:rFonts w:ascii="Garamond" w:hAnsi="Garamond"/>
          <w:sz w:val="24"/>
          <w:szCs w:val="24"/>
        </w:rPr>
        <w:t>Persons who are engaged in the administration of this Act should as far as is</w:t>
      </w:r>
      <w:r>
        <w:rPr>
          <w:rFonts w:ascii="Garamond" w:hAnsi="Garamond"/>
          <w:sz w:val="24"/>
          <w:szCs w:val="24"/>
        </w:rPr>
        <w:t xml:space="preserve"> </w:t>
      </w:r>
      <w:r w:rsidRPr="004C21FC">
        <w:rPr>
          <w:rFonts w:ascii="Garamond" w:hAnsi="Garamond"/>
          <w:sz w:val="24"/>
          <w:szCs w:val="24"/>
        </w:rPr>
        <w:t>practicable ensure that decisions are transparent, systematic and appropriate</w:t>
      </w:r>
    </w:p>
    <w:p w14:paraId="45E7FDAB" w14:textId="77777777" w:rsidR="004C21FC" w:rsidRPr="004C21FC" w:rsidRDefault="004C21FC" w:rsidP="00705A06">
      <w:pPr>
        <w:spacing w:line="276" w:lineRule="auto"/>
        <w:ind w:left="720" w:firstLine="720"/>
        <w:jc w:val="both"/>
        <w:rPr>
          <w:rFonts w:ascii="Garamond" w:hAnsi="Garamond"/>
          <w:sz w:val="24"/>
          <w:szCs w:val="24"/>
        </w:rPr>
      </w:pPr>
      <w:r w:rsidRPr="004C21FC">
        <w:rPr>
          <w:rFonts w:ascii="Garamond" w:hAnsi="Garamond"/>
          <w:sz w:val="24"/>
          <w:szCs w:val="24"/>
        </w:rPr>
        <w:t>(2) Members of the public should therefore be given—</w:t>
      </w:r>
    </w:p>
    <w:p w14:paraId="1ACB20A3" w14:textId="67554445" w:rsidR="004C21FC" w:rsidRPr="004C21FC" w:rsidRDefault="004C21FC" w:rsidP="00705A06">
      <w:pPr>
        <w:spacing w:line="276" w:lineRule="auto"/>
        <w:ind w:left="2160"/>
        <w:jc w:val="both"/>
        <w:rPr>
          <w:rFonts w:ascii="Garamond" w:hAnsi="Garamond"/>
          <w:sz w:val="24"/>
          <w:szCs w:val="24"/>
        </w:rPr>
      </w:pPr>
      <w:r w:rsidRPr="004C21FC">
        <w:rPr>
          <w:rFonts w:ascii="Garamond" w:hAnsi="Garamond"/>
          <w:sz w:val="24"/>
          <w:szCs w:val="24"/>
        </w:rPr>
        <w:lastRenderedPageBreak/>
        <w:t>(a) access to reliable information in appropriate forms to facilitate a good</w:t>
      </w:r>
      <w:r>
        <w:rPr>
          <w:rFonts w:ascii="Garamond" w:hAnsi="Garamond"/>
          <w:sz w:val="24"/>
          <w:szCs w:val="24"/>
        </w:rPr>
        <w:t xml:space="preserve"> </w:t>
      </w:r>
      <w:r w:rsidRPr="004C21FC">
        <w:rPr>
          <w:rFonts w:ascii="Garamond" w:hAnsi="Garamond"/>
          <w:sz w:val="24"/>
          <w:szCs w:val="24"/>
        </w:rPr>
        <w:t>understanding of public health issues; …”</w:t>
      </w:r>
      <w:r>
        <w:rPr>
          <w:rStyle w:val="FootnoteReference"/>
          <w:rFonts w:ascii="Garamond" w:hAnsi="Garamond"/>
          <w:sz w:val="24"/>
          <w:szCs w:val="24"/>
        </w:rPr>
        <w:footnoteReference w:id="17"/>
      </w:r>
    </w:p>
    <w:p w14:paraId="062290FF" w14:textId="2E56E2E8" w:rsidR="004C21FC" w:rsidRDefault="00774EFC" w:rsidP="00705A06">
      <w:pPr>
        <w:spacing w:line="276" w:lineRule="auto"/>
        <w:ind w:firstLine="720"/>
        <w:jc w:val="both"/>
        <w:rPr>
          <w:rFonts w:ascii="Garamond" w:hAnsi="Garamond"/>
          <w:sz w:val="24"/>
          <w:szCs w:val="24"/>
        </w:rPr>
      </w:pPr>
      <w:r>
        <w:rPr>
          <w:rFonts w:ascii="Garamond" w:hAnsi="Garamond"/>
          <w:sz w:val="24"/>
          <w:szCs w:val="24"/>
        </w:rPr>
        <w:tab/>
        <w:t>(</w:t>
      </w:r>
      <w:r w:rsidRPr="00774EFC">
        <w:rPr>
          <w:rFonts w:ascii="Garamond" w:hAnsi="Garamond"/>
          <w:b/>
          <w:bCs/>
          <w:sz w:val="24"/>
          <w:szCs w:val="24"/>
        </w:rPr>
        <w:t>the Principle of Transparency and Accountability</w:t>
      </w:r>
      <w:r>
        <w:rPr>
          <w:rFonts w:ascii="Garamond" w:hAnsi="Garamond"/>
          <w:sz w:val="24"/>
          <w:szCs w:val="24"/>
        </w:rPr>
        <w:t>)</w:t>
      </w:r>
    </w:p>
    <w:p w14:paraId="302DA195" w14:textId="0F786735" w:rsidR="00FC4AC0" w:rsidRDefault="00FC4AC0" w:rsidP="00705A06">
      <w:pPr>
        <w:spacing w:line="276" w:lineRule="auto"/>
        <w:jc w:val="both"/>
        <w:rPr>
          <w:rFonts w:ascii="Garamond" w:hAnsi="Garamond"/>
          <w:sz w:val="24"/>
          <w:szCs w:val="24"/>
        </w:rPr>
      </w:pPr>
      <w:r>
        <w:rPr>
          <w:rFonts w:ascii="Garamond" w:hAnsi="Garamond"/>
          <w:sz w:val="24"/>
          <w:szCs w:val="24"/>
        </w:rPr>
        <w:t>Part 2 of the PHW Act is also significant, in that it also specifically defines the intention of Parliament in making the Act; an intention which has been abrogated entirely by the way in which s200 has been used by the Minister for Health thus far. Part 2 notes:</w:t>
      </w:r>
    </w:p>
    <w:p w14:paraId="56C8B99A" w14:textId="52890D4A" w:rsidR="00FC4AC0" w:rsidRP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(3) It is the intention of Parliament that in the administration of this Act and in seeking to achieve the objective of this Act, regard should be given to the guiding principles set out in sections 5 to 11A.</w:t>
      </w:r>
    </w:p>
    <w:p w14:paraId="6D852867"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5            Principle of evidence based decision-making</w:t>
      </w:r>
    </w:p>
    <w:p w14:paraId="7A404E02" w14:textId="77777777" w:rsidR="00FC4AC0" w:rsidRDefault="00FC4AC0" w:rsidP="00705A06">
      <w:pPr>
        <w:spacing w:line="276" w:lineRule="auto"/>
        <w:ind w:firstLine="720"/>
        <w:jc w:val="both"/>
        <w:rPr>
          <w:rFonts w:ascii="Garamond" w:hAnsi="Garamond"/>
          <w:sz w:val="24"/>
          <w:szCs w:val="24"/>
        </w:rPr>
      </w:pPr>
      <w:r w:rsidRPr="00FC4AC0">
        <w:rPr>
          <w:rFonts w:ascii="Garamond" w:hAnsi="Garamond"/>
          <w:sz w:val="24"/>
          <w:szCs w:val="24"/>
        </w:rPr>
        <w:t>Decisions as to—</w:t>
      </w:r>
    </w:p>
    <w:p w14:paraId="100A165D" w14:textId="61743694" w:rsidR="00FC4AC0" w:rsidRP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(a) the most effective use of resources to promote and protect public health and wellbeing; and</w:t>
      </w:r>
    </w:p>
    <w:p w14:paraId="5E38E0D4" w14:textId="1E6FAFB3" w:rsidR="00FC4AC0" w:rsidRPr="00FC4AC0" w:rsidRDefault="00FC4AC0" w:rsidP="00705A06">
      <w:pPr>
        <w:spacing w:line="276" w:lineRule="auto"/>
        <w:ind w:firstLine="720"/>
        <w:jc w:val="both"/>
        <w:rPr>
          <w:rFonts w:ascii="Garamond" w:hAnsi="Garamond"/>
          <w:sz w:val="24"/>
          <w:szCs w:val="24"/>
        </w:rPr>
      </w:pPr>
      <w:r w:rsidRPr="00FC4AC0">
        <w:rPr>
          <w:rFonts w:ascii="Garamond" w:hAnsi="Garamond"/>
          <w:sz w:val="24"/>
          <w:szCs w:val="24"/>
        </w:rPr>
        <w:t>(b) the most effective and efficient public health and wellbeing interventions—</w:t>
      </w:r>
    </w:p>
    <w:p w14:paraId="314F2FB3" w14:textId="77777777" w:rsidR="00FC4AC0" w:rsidRPr="00FC4AC0" w:rsidRDefault="00FC4AC0" w:rsidP="00705A06">
      <w:pPr>
        <w:spacing w:line="276" w:lineRule="auto"/>
        <w:ind w:firstLine="720"/>
        <w:jc w:val="both"/>
        <w:rPr>
          <w:rFonts w:ascii="Garamond" w:hAnsi="Garamond"/>
          <w:sz w:val="24"/>
          <w:szCs w:val="24"/>
        </w:rPr>
      </w:pPr>
      <w:r w:rsidRPr="00FC4AC0">
        <w:rPr>
          <w:rFonts w:ascii="Garamond" w:hAnsi="Garamond"/>
          <w:sz w:val="24"/>
          <w:szCs w:val="24"/>
        </w:rPr>
        <w:t>should be based on evidence available in the circumstances that is relevant and reliable.</w:t>
      </w:r>
    </w:p>
    <w:p w14:paraId="45E5A74A"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6            Precautionary principle</w:t>
      </w:r>
    </w:p>
    <w:p w14:paraId="08496C0B" w14:textId="77777777" w:rsidR="00FC4AC0" w:rsidRP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If a public health risk poses a serious threat, lack of full scientific certainty should not be used as a reason for postponing measures to prevent or control the public health risk.</w:t>
      </w:r>
    </w:p>
    <w:p w14:paraId="03C2A86F"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7           Principle of primacy of prevention</w:t>
      </w:r>
    </w:p>
    <w:p w14:paraId="4FD3E437" w14:textId="328580E0" w:rsidR="00FC4AC0" w:rsidRP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(1)</w:t>
      </w:r>
      <w:r>
        <w:rPr>
          <w:rFonts w:ascii="Garamond" w:hAnsi="Garamond"/>
          <w:sz w:val="24"/>
          <w:szCs w:val="24"/>
        </w:rPr>
        <w:t xml:space="preserve"> </w:t>
      </w:r>
      <w:r w:rsidRPr="00FC4AC0">
        <w:rPr>
          <w:rFonts w:ascii="Garamond" w:hAnsi="Garamond"/>
          <w:sz w:val="24"/>
          <w:szCs w:val="24"/>
        </w:rPr>
        <w:t>The prevention of disease, illness, injury, disability or premature death is preferable to remedial measures.</w:t>
      </w:r>
    </w:p>
    <w:p w14:paraId="4CE8DDD7" w14:textId="65EF8806" w:rsidR="00FC4AC0" w:rsidRPr="00FC4AC0" w:rsidRDefault="00FC4AC0" w:rsidP="00705A06">
      <w:pPr>
        <w:spacing w:line="276" w:lineRule="auto"/>
        <w:ind w:left="720"/>
        <w:jc w:val="both"/>
        <w:rPr>
          <w:rFonts w:ascii="Garamond" w:hAnsi="Garamond"/>
          <w:sz w:val="24"/>
          <w:szCs w:val="24"/>
        </w:rPr>
      </w:pPr>
      <w:r>
        <w:rPr>
          <w:rFonts w:ascii="Garamond" w:hAnsi="Garamond"/>
          <w:sz w:val="24"/>
          <w:szCs w:val="24"/>
        </w:rPr>
        <w:t>(</w:t>
      </w:r>
      <w:r w:rsidRPr="00FC4AC0">
        <w:rPr>
          <w:rFonts w:ascii="Garamond" w:hAnsi="Garamond"/>
          <w:sz w:val="24"/>
          <w:szCs w:val="24"/>
        </w:rPr>
        <w:t>2) For that purpose, capacity building and other health-promotion activities are central to reducing differences in health status and promoting the health and wellbeing of the people of Victoria.</w:t>
      </w:r>
    </w:p>
    <w:p w14:paraId="1C93515B"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8            Principle of accountability</w:t>
      </w:r>
    </w:p>
    <w:p w14:paraId="0104ACE2" w14:textId="6BF91D1F" w:rsidR="00FC4AC0" w:rsidRP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(1)</w:t>
      </w:r>
      <w:r>
        <w:rPr>
          <w:rFonts w:ascii="Garamond" w:hAnsi="Garamond"/>
          <w:sz w:val="24"/>
          <w:szCs w:val="24"/>
        </w:rPr>
        <w:t xml:space="preserve"> Pe</w:t>
      </w:r>
      <w:r w:rsidRPr="00FC4AC0">
        <w:rPr>
          <w:rFonts w:ascii="Garamond" w:hAnsi="Garamond"/>
          <w:sz w:val="24"/>
          <w:szCs w:val="24"/>
        </w:rPr>
        <w:t>rsons who are engaged in the administration of this Act should as far as is practicable ensure that decisions are transparent, systematic and appropriate.</w:t>
      </w:r>
    </w:p>
    <w:p w14:paraId="750D3D09" w14:textId="4167D086" w:rsidR="00FC4AC0" w:rsidRPr="00FC4AC0" w:rsidRDefault="00FC4AC0" w:rsidP="00705A06">
      <w:pPr>
        <w:spacing w:line="276" w:lineRule="auto"/>
        <w:ind w:firstLine="720"/>
        <w:jc w:val="both"/>
        <w:rPr>
          <w:rFonts w:ascii="Garamond" w:hAnsi="Garamond"/>
          <w:sz w:val="24"/>
          <w:szCs w:val="24"/>
        </w:rPr>
      </w:pPr>
      <w:r w:rsidRPr="00FC4AC0">
        <w:rPr>
          <w:rFonts w:ascii="Garamond" w:hAnsi="Garamond"/>
          <w:sz w:val="24"/>
          <w:szCs w:val="24"/>
        </w:rPr>
        <w:t>(2) Members of the public should therefore be given—</w:t>
      </w:r>
    </w:p>
    <w:p w14:paraId="3F2EB24B" w14:textId="0B5F0B25" w:rsidR="00FC4AC0" w:rsidRPr="00FC4AC0" w:rsidRDefault="00FC4AC0" w:rsidP="00705A06">
      <w:pPr>
        <w:spacing w:line="276" w:lineRule="auto"/>
        <w:ind w:left="1440"/>
        <w:jc w:val="both"/>
        <w:rPr>
          <w:rFonts w:ascii="Garamond" w:hAnsi="Garamond"/>
          <w:sz w:val="24"/>
          <w:szCs w:val="24"/>
        </w:rPr>
      </w:pPr>
      <w:r w:rsidRPr="00FC4AC0">
        <w:rPr>
          <w:rFonts w:ascii="Garamond" w:hAnsi="Garamond"/>
          <w:sz w:val="24"/>
          <w:szCs w:val="24"/>
        </w:rPr>
        <w:lastRenderedPageBreak/>
        <w:t>(a)</w:t>
      </w:r>
      <w:r>
        <w:rPr>
          <w:rFonts w:ascii="Garamond" w:hAnsi="Garamond"/>
          <w:sz w:val="24"/>
          <w:szCs w:val="24"/>
        </w:rPr>
        <w:t xml:space="preserve"> </w:t>
      </w:r>
      <w:r w:rsidRPr="00FC4AC0">
        <w:rPr>
          <w:rFonts w:ascii="Garamond" w:hAnsi="Garamond"/>
          <w:sz w:val="24"/>
          <w:szCs w:val="24"/>
        </w:rPr>
        <w:t>access to reliable information in appropriate forms to facilitate a good understanding of public health issues; and</w:t>
      </w:r>
    </w:p>
    <w:p w14:paraId="6A878C91" w14:textId="1AFB7652" w:rsidR="00FC4AC0" w:rsidRPr="00FC4AC0" w:rsidRDefault="00FC4AC0" w:rsidP="00705A06">
      <w:pPr>
        <w:spacing w:line="276" w:lineRule="auto"/>
        <w:ind w:left="720" w:firstLine="720"/>
        <w:jc w:val="both"/>
        <w:rPr>
          <w:rFonts w:ascii="Garamond" w:hAnsi="Garamond"/>
          <w:sz w:val="24"/>
          <w:szCs w:val="24"/>
        </w:rPr>
      </w:pPr>
      <w:r w:rsidRPr="00FC4AC0">
        <w:rPr>
          <w:rFonts w:ascii="Garamond" w:hAnsi="Garamond"/>
          <w:sz w:val="24"/>
          <w:szCs w:val="24"/>
        </w:rPr>
        <w:t>(b) opportunities to participate in policy and program development.</w:t>
      </w:r>
    </w:p>
    <w:p w14:paraId="6D287B4D"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9            Principle of proportionality</w:t>
      </w:r>
    </w:p>
    <w:p w14:paraId="73BDE8EB" w14:textId="77777777" w:rsidR="00FC4AC0" w:rsidRPr="00FC4AC0" w:rsidRDefault="00FC4AC0" w:rsidP="00705A06">
      <w:pPr>
        <w:spacing w:line="276" w:lineRule="auto"/>
        <w:ind w:firstLine="720"/>
        <w:jc w:val="both"/>
        <w:rPr>
          <w:rFonts w:ascii="Garamond" w:hAnsi="Garamond"/>
          <w:sz w:val="24"/>
          <w:szCs w:val="24"/>
        </w:rPr>
      </w:pPr>
      <w:r w:rsidRPr="00FC4AC0">
        <w:rPr>
          <w:rFonts w:ascii="Garamond" w:hAnsi="Garamond"/>
          <w:sz w:val="24"/>
          <w:szCs w:val="24"/>
        </w:rPr>
        <w:t>Decisions made and actions taken in the administration of this Act—</w:t>
      </w:r>
    </w:p>
    <w:p w14:paraId="4D233F88" w14:textId="4865D9E7" w:rsidR="00FC4AC0" w:rsidRPr="00FC4AC0" w:rsidRDefault="00FC4AC0" w:rsidP="00705A06">
      <w:pPr>
        <w:spacing w:line="276" w:lineRule="auto"/>
        <w:ind w:left="1440"/>
        <w:jc w:val="both"/>
        <w:rPr>
          <w:rFonts w:ascii="Garamond" w:hAnsi="Garamond"/>
          <w:sz w:val="24"/>
          <w:szCs w:val="24"/>
        </w:rPr>
      </w:pPr>
      <w:r w:rsidRPr="00FC4AC0">
        <w:rPr>
          <w:rFonts w:ascii="Garamond" w:hAnsi="Garamond"/>
          <w:sz w:val="24"/>
          <w:szCs w:val="24"/>
        </w:rPr>
        <w:t>(a)</w:t>
      </w:r>
      <w:r>
        <w:rPr>
          <w:rFonts w:ascii="Garamond" w:hAnsi="Garamond"/>
          <w:sz w:val="24"/>
          <w:szCs w:val="24"/>
        </w:rPr>
        <w:t xml:space="preserve"> </w:t>
      </w:r>
      <w:r w:rsidRPr="00FC4AC0">
        <w:rPr>
          <w:rFonts w:ascii="Garamond" w:hAnsi="Garamond"/>
          <w:sz w:val="24"/>
          <w:szCs w:val="24"/>
        </w:rPr>
        <w:t>should be proportionate to the public health risk sought to be prevented, minimised or controlled; and</w:t>
      </w:r>
    </w:p>
    <w:p w14:paraId="7A3FDDE5" w14:textId="04947464" w:rsidR="00FC4AC0" w:rsidRPr="00FC4AC0" w:rsidRDefault="00FC4AC0" w:rsidP="00705A06">
      <w:pPr>
        <w:spacing w:line="276" w:lineRule="auto"/>
        <w:ind w:left="720" w:firstLine="720"/>
        <w:jc w:val="both"/>
        <w:rPr>
          <w:rFonts w:ascii="Garamond" w:hAnsi="Garamond"/>
          <w:sz w:val="24"/>
          <w:szCs w:val="24"/>
        </w:rPr>
      </w:pPr>
      <w:r w:rsidRPr="00FC4AC0">
        <w:rPr>
          <w:rFonts w:ascii="Garamond" w:hAnsi="Garamond"/>
          <w:sz w:val="24"/>
          <w:szCs w:val="24"/>
        </w:rPr>
        <w:t>(b) should not be made or taken in an arbitrary manner.</w:t>
      </w:r>
    </w:p>
    <w:p w14:paraId="7F308F60" w14:textId="77777777" w:rsidR="00FC4AC0" w:rsidRPr="00FC4AC0" w:rsidRDefault="00FC4AC0" w:rsidP="00705A06">
      <w:pPr>
        <w:spacing w:line="276" w:lineRule="auto"/>
        <w:ind w:firstLine="720"/>
        <w:jc w:val="both"/>
        <w:rPr>
          <w:rFonts w:ascii="Garamond" w:hAnsi="Garamond"/>
          <w:b/>
          <w:bCs/>
          <w:sz w:val="24"/>
          <w:szCs w:val="24"/>
        </w:rPr>
      </w:pPr>
      <w:r w:rsidRPr="00FC4AC0">
        <w:rPr>
          <w:rFonts w:ascii="Garamond" w:hAnsi="Garamond"/>
          <w:b/>
          <w:bCs/>
          <w:sz w:val="24"/>
          <w:szCs w:val="24"/>
        </w:rPr>
        <w:t>10          Principle of collaboration</w:t>
      </w:r>
    </w:p>
    <w:p w14:paraId="191C03AB" w14:textId="6CE68952" w:rsidR="00FC4AC0" w:rsidRDefault="00FC4AC0" w:rsidP="00705A06">
      <w:pPr>
        <w:spacing w:line="276" w:lineRule="auto"/>
        <w:ind w:left="720"/>
        <w:jc w:val="both"/>
        <w:rPr>
          <w:rFonts w:ascii="Garamond" w:hAnsi="Garamond"/>
          <w:sz w:val="24"/>
          <w:szCs w:val="24"/>
        </w:rPr>
      </w:pPr>
      <w:r w:rsidRPr="00FC4AC0">
        <w:rPr>
          <w:rFonts w:ascii="Garamond" w:hAnsi="Garamond"/>
          <w:sz w:val="24"/>
          <w:szCs w:val="24"/>
        </w:rPr>
        <w:t>Public health and wellbeing, in Victoria and at a national and international level, can be enhanced through collaboration between all levels of Government and industry, business, communities and individuals.</w:t>
      </w:r>
    </w:p>
    <w:p w14:paraId="5CDDBB92" w14:textId="5A083729" w:rsidR="00774EFC" w:rsidRDefault="00774EFC" w:rsidP="00705A06">
      <w:pPr>
        <w:spacing w:line="276" w:lineRule="auto"/>
        <w:jc w:val="both"/>
        <w:rPr>
          <w:rFonts w:ascii="Garamond" w:hAnsi="Garamond"/>
          <w:sz w:val="24"/>
          <w:szCs w:val="24"/>
        </w:rPr>
      </w:pPr>
      <w:r>
        <w:rPr>
          <w:rFonts w:ascii="Garamond" w:hAnsi="Garamond"/>
          <w:sz w:val="24"/>
          <w:szCs w:val="24"/>
        </w:rPr>
        <w:t>So, after all of that, here I am, being asked to implement a Government mandate for my staff to be vaccinated which seems to be based only on a Media Release</w:t>
      </w:r>
      <w:r w:rsidR="00A876AC">
        <w:rPr>
          <w:rFonts w:ascii="Garamond" w:hAnsi="Garamond"/>
          <w:sz w:val="24"/>
          <w:szCs w:val="24"/>
        </w:rPr>
        <w:t xml:space="preserve"> and/or an ill-thought out Mandatory Vaccination Direction</w:t>
      </w:r>
      <w:r>
        <w:rPr>
          <w:rFonts w:ascii="Garamond" w:hAnsi="Garamond"/>
          <w:sz w:val="24"/>
          <w:szCs w:val="24"/>
        </w:rPr>
        <w:t>. Even if there was a public health order or direction for my staff to be vaccinated made on the basis of s200 of the PHW Act, such as there is for teachers, aged care workers and construction sites, that direction flies in the face of both;</w:t>
      </w:r>
    </w:p>
    <w:p w14:paraId="5D506CDA" w14:textId="1C12F827" w:rsidR="00774EFC" w:rsidRDefault="00774EFC" w:rsidP="00705A06">
      <w:pPr>
        <w:pStyle w:val="ListParagraph"/>
        <w:numPr>
          <w:ilvl w:val="0"/>
          <w:numId w:val="15"/>
        </w:numPr>
        <w:spacing w:line="276" w:lineRule="auto"/>
        <w:jc w:val="both"/>
        <w:rPr>
          <w:rFonts w:ascii="Garamond" w:hAnsi="Garamond"/>
          <w:sz w:val="24"/>
          <w:szCs w:val="24"/>
        </w:rPr>
      </w:pPr>
      <w:r>
        <w:rPr>
          <w:rFonts w:ascii="Garamond" w:hAnsi="Garamond"/>
          <w:sz w:val="24"/>
          <w:szCs w:val="24"/>
        </w:rPr>
        <w:t>The primary piece of federal health legislation (the BSA), which it is inconsistent with; and</w:t>
      </w:r>
    </w:p>
    <w:p w14:paraId="40D078D2" w14:textId="56C0548F" w:rsidR="00774EFC" w:rsidRDefault="00774EFC" w:rsidP="00705A06">
      <w:pPr>
        <w:pStyle w:val="ListParagraph"/>
        <w:numPr>
          <w:ilvl w:val="0"/>
          <w:numId w:val="15"/>
        </w:numPr>
        <w:spacing w:line="276" w:lineRule="auto"/>
        <w:jc w:val="both"/>
        <w:rPr>
          <w:rFonts w:ascii="Garamond" w:hAnsi="Garamond"/>
          <w:sz w:val="24"/>
          <w:szCs w:val="24"/>
        </w:rPr>
      </w:pPr>
      <w:r>
        <w:rPr>
          <w:rFonts w:ascii="Garamond" w:hAnsi="Garamond"/>
          <w:sz w:val="24"/>
          <w:szCs w:val="24"/>
        </w:rPr>
        <w:t>The enabling legislation itself (the PHW Act)</w:t>
      </w:r>
      <w:r w:rsidR="00F642FD">
        <w:rPr>
          <w:rFonts w:ascii="Garamond" w:hAnsi="Garamond"/>
          <w:sz w:val="24"/>
          <w:szCs w:val="24"/>
        </w:rPr>
        <w:t>;</w:t>
      </w:r>
      <w:r>
        <w:rPr>
          <w:rFonts w:ascii="Garamond" w:hAnsi="Garamond"/>
          <w:sz w:val="24"/>
          <w:szCs w:val="24"/>
        </w:rPr>
        <w:t xml:space="preserve"> the checks, balances and safeguards in which it completely ignores.</w:t>
      </w:r>
    </w:p>
    <w:p w14:paraId="09D6A655" w14:textId="3A707DC8" w:rsidR="00774EFC" w:rsidRPr="00774EFC" w:rsidRDefault="00774EFC" w:rsidP="00705A06">
      <w:pPr>
        <w:spacing w:line="276" w:lineRule="auto"/>
        <w:jc w:val="both"/>
        <w:rPr>
          <w:rFonts w:ascii="Garamond" w:hAnsi="Garamond"/>
          <w:b/>
          <w:bCs/>
          <w:sz w:val="24"/>
          <w:szCs w:val="24"/>
        </w:rPr>
      </w:pPr>
      <w:r>
        <w:rPr>
          <w:rFonts w:ascii="Garamond" w:hAnsi="Garamond"/>
          <w:sz w:val="24"/>
          <w:szCs w:val="24"/>
        </w:rPr>
        <w:t>In addition to these issues, there</w:t>
      </w:r>
      <w:r w:rsidR="00FC4AC0">
        <w:rPr>
          <w:rFonts w:ascii="Garamond" w:hAnsi="Garamond"/>
          <w:sz w:val="24"/>
          <w:szCs w:val="24"/>
        </w:rPr>
        <w:t xml:space="preserve"> are</w:t>
      </w:r>
      <w:r>
        <w:rPr>
          <w:rFonts w:ascii="Garamond" w:hAnsi="Garamond"/>
          <w:sz w:val="24"/>
          <w:szCs w:val="24"/>
        </w:rPr>
        <w:t xml:space="preserve"> </w:t>
      </w:r>
      <w:r w:rsidR="00F642FD">
        <w:rPr>
          <w:rFonts w:ascii="Garamond" w:hAnsi="Garamond"/>
          <w:sz w:val="24"/>
          <w:szCs w:val="24"/>
        </w:rPr>
        <w:t xml:space="preserve">further </w:t>
      </w:r>
      <w:r>
        <w:rPr>
          <w:rFonts w:ascii="Garamond" w:hAnsi="Garamond"/>
          <w:sz w:val="24"/>
          <w:szCs w:val="24"/>
        </w:rPr>
        <w:t>statutes which you are asking us to breach on your behalf.</w:t>
      </w:r>
    </w:p>
    <w:p w14:paraId="73459DD6" w14:textId="59BA19E1" w:rsidR="00774EFC" w:rsidRPr="00774EFC" w:rsidRDefault="00774EFC" w:rsidP="00705A06">
      <w:pPr>
        <w:pStyle w:val="ListParagraph"/>
        <w:numPr>
          <w:ilvl w:val="0"/>
          <w:numId w:val="10"/>
        </w:numPr>
        <w:spacing w:line="276" w:lineRule="auto"/>
        <w:jc w:val="both"/>
        <w:rPr>
          <w:rFonts w:ascii="Garamond" w:hAnsi="Garamond"/>
          <w:b/>
          <w:bCs/>
          <w:sz w:val="24"/>
          <w:szCs w:val="24"/>
        </w:rPr>
      </w:pPr>
      <w:r w:rsidRPr="00774EFC">
        <w:rPr>
          <w:rFonts w:ascii="Garamond" w:hAnsi="Garamond"/>
          <w:b/>
          <w:bCs/>
          <w:sz w:val="24"/>
          <w:szCs w:val="24"/>
        </w:rPr>
        <w:t>You are asking us to breach Privacy</w:t>
      </w:r>
      <w:r w:rsidR="00FC4AC0">
        <w:rPr>
          <w:rFonts w:ascii="Garamond" w:hAnsi="Garamond"/>
          <w:b/>
          <w:bCs/>
          <w:sz w:val="24"/>
          <w:szCs w:val="24"/>
        </w:rPr>
        <w:t xml:space="preserve">, </w:t>
      </w:r>
      <w:r w:rsidRPr="00774EFC">
        <w:rPr>
          <w:rFonts w:ascii="Garamond" w:hAnsi="Garamond"/>
          <w:b/>
          <w:bCs/>
          <w:sz w:val="24"/>
          <w:szCs w:val="24"/>
        </w:rPr>
        <w:t>Discrimination</w:t>
      </w:r>
      <w:r w:rsidR="00FC4AC0">
        <w:rPr>
          <w:rFonts w:ascii="Garamond" w:hAnsi="Garamond"/>
          <w:b/>
          <w:bCs/>
          <w:sz w:val="24"/>
          <w:szCs w:val="24"/>
        </w:rPr>
        <w:t xml:space="preserve"> and other</w:t>
      </w:r>
      <w:r w:rsidRPr="00774EFC">
        <w:rPr>
          <w:rFonts w:ascii="Garamond" w:hAnsi="Garamond"/>
          <w:b/>
          <w:bCs/>
          <w:sz w:val="24"/>
          <w:szCs w:val="24"/>
        </w:rPr>
        <w:t xml:space="preserve"> </w:t>
      </w:r>
      <w:r w:rsidR="00FC4AC0">
        <w:rPr>
          <w:rFonts w:ascii="Garamond" w:hAnsi="Garamond"/>
          <w:b/>
          <w:bCs/>
          <w:sz w:val="24"/>
          <w:szCs w:val="24"/>
        </w:rPr>
        <w:t>l</w:t>
      </w:r>
      <w:r w:rsidRPr="00774EFC">
        <w:rPr>
          <w:rFonts w:ascii="Garamond" w:hAnsi="Garamond"/>
          <w:b/>
          <w:bCs/>
          <w:sz w:val="24"/>
          <w:szCs w:val="24"/>
        </w:rPr>
        <w:t>aw</w:t>
      </w:r>
      <w:r w:rsidR="00FC4AC0">
        <w:rPr>
          <w:rFonts w:ascii="Garamond" w:hAnsi="Garamond"/>
          <w:b/>
          <w:bCs/>
          <w:sz w:val="24"/>
          <w:szCs w:val="24"/>
        </w:rPr>
        <w:t>s</w:t>
      </w:r>
    </w:p>
    <w:p w14:paraId="7C42AAE3" w14:textId="2AA6BD54" w:rsidR="00767030" w:rsidRDefault="00774EFC" w:rsidP="00705A06">
      <w:pPr>
        <w:spacing w:line="276" w:lineRule="auto"/>
        <w:jc w:val="both"/>
        <w:rPr>
          <w:rFonts w:ascii="Garamond" w:hAnsi="Garamond"/>
          <w:sz w:val="24"/>
          <w:szCs w:val="24"/>
        </w:rPr>
      </w:pPr>
      <w:r>
        <w:rPr>
          <w:rFonts w:ascii="Garamond" w:hAnsi="Garamond"/>
          <w:sz w:val="24"/>
          <w:szCs w:val="24"/>
        </w:rPr>
        <w:t>If we ask or coerce our staff to get vaccinated against their will, we are very likely to find ourselves in breach of both privacy and discrimination statutes.</w:t>
      </w:r>
    </w:p>
    <w:p w14:paraId="20C75CC9" w14:textId="55F83754" w:rsidR="00FC4AC0" w:rsidRPr="00FC4AC0" w:rsidRDefault="00FC4AC0" w:rsidP="00705A06">
      <w:pPr>
        <w:spacing w:line="276" w:lineRule="auto"/>
        <w:jc w:val="both"/>
        <w:rPr>
          <w:rFonts w:ascii="Garamond" w:hAnsi="Garamond"/>
          <w:i/>
          <w:iCs/>
          <w:sz w:val="24"/>
          <w:szCs w:val="24"/>
        </w:rPr>
      </w:pPr>
      <w:r>
        <w:rPr>
          <w:rFonts w:ascii="Garamond" w:hAnsi="Garamond"/>
          <w:i/>
          <w:iCs/>
          <w:sz w:val="24"/>
          <w:szCs w:val="24"/>
        </w:rPr>
        <w:t>Privacy</w:t>
      </w:r>
    </w:p>
    <w:p w14:paraId="15298DA2" w14:textId="480F1362" w:rsidR="00FC4AC0" w:rsidRPr="00FC4AC0" w:rsidRDefault="00FC4AC0" w:rsidP="00705A06">
      <w:pPr>
        <w:spacing w:line="276" w:lineRule="auto"/>
        <w:jc w:val="both"/>
        <w:rPr>
          <w:rFonts w:ascii="Garamond" w:hAnsi="Garamond"/>
          <w:sz w:val="24"/>
          <w:szCs w:val="24"/>
        </w:rPr>
      </w:pPr>
      <w:r w:rsidRPr="00FC4AC0">
        <w:rPr>
          <w:rFonts w:ascii="Garamond" w:hAnsi="Garamond"/>
          <w:sz w:val="24"/>
          <w:szCs w:val="24"/>
        </w:rPr>
        <w:t xml:space="preserve">We strongly encourage you to consider the interplay of your </w:t>
      </w:r>
      <w:r>
        <w:rPr>
          <w:rFonts w:ascii="Garamond" w:hAnsi="Garamond"/>
          <w:sz w:val="24"/>
          <w:szCs w:val="24"/>
        </w:rPr>
        <w:t xml:space="preserve">Media Release as well as </w:t>
      </w:r>
      <w:r w:rsidR="00F642FD">
        <w:rPr>
          <w:rFonts w:ascii="Garamond" w:hAnsi="Garamond"/>
          <w:sz w:val="24"/>
          <w:szCs w:val="24"/>
        </w:rPr>
        <w:t xml:space="preserve">the </w:t>
      </w:r>
      <w:r>
        <w:rPr>
          <w:rFonts w:ascii="Garamond" w:hAnsi="Garamond"/>
          <w:sz w:val="24"/>
          <w:szCs w:val="24"/>
        </w:rPr>
        <w:t>Mandatory Vaccination Direction</w:t>
      </w:r>
      <w:r w:rsidRPr="00FC4AC0">
        <w:rPr>
          <w:rFonts w:ascii="Garamond" w:hAnsi="Garamond"/>
          <w:sz w:val="24"/>
          <w:szCs w:val="24"/>
        </w:rPr>
        <w:t xml:space="preserve"> with the </w:t>
      </w:r>
      <w:r w:rsidRPr="00FC4AC0">
        <w:rPr>
          <w:rFonts w:ascii="Garamond" w:hAnsi="Garamond"/>
          <w:i/>
          <w:iCs/>
          <w:sz w:val="24"/>
          <w:szCs w:val="24"/>
        </w:rPr>
        <w:t>Privacy Act 1988</w:t>
      </w:r>
      <w:r>
        <w:rPr>
          <w:rFonts w:ascii="Garamond" w:hAnsi="Garamond"/>
          <w:sz w:val="24"/>
          <w:szCs w:val="24"/>
        </w:rPr>
        <w:t xml:space="preserve"> (Cth)</w:t>
      </w:r>
      <w:r w:rsidRPr="00FC4AC0">
        <w:rPr>
          <w:rFonts w:ascii="Garamond" w:hAnsi="Garamond"/>
          <w:sz w:val="24"/>
          <w:szCs w:val="24"/>
        </w:rPr>
        <w:t xml:space="preserve">. Specifically, Australian Privacy Principle 3 allows for the collection of “solicited personal information”, which includes private medical information such as vaccination status, in very limited circumstances. This information </w:t>
      </w:r>
      <w:r w:rsidRPr="00FC4AC0">
        <w:rPr>
          <w:rFonts w:ascii="Garamond" w:hAnsi="Garamond"/>
          <w:sz w:val="24"/>
          <w:szCs w:val="24"/>
        </w:rPr>
        <w:lastRenderedPageBreak/>
        <w:t>must only be collected by lawful means, where it is reasonably necessary for the organisation’s functions or activities.</w:t>
      </w:r>
    </w:p>
    <w:p w14:paraId="762B495B" w14:textId="12BB98A4" w:rsidR="00FC4AC0" w:rsidRPr="00FC4AC0" w:rsidRDefault="00FC4AC0" w:rsidP="00705A06">
      <w:pPr>
        <w:spacing w:line="276" w:lineRule="auto"/>
        <w:jc w:val="both"/>
        <w:rPr>
          <w:rFonts w:ascii="Garamond" w:hAnsi="Garamond"/>
          <w:sz w:val="24"/>
          <w:szCs w:val="24"/>
        </w:rPr>
      </w:pPr>
      <w:r w:rsidRPr="00FC4AC0">
        <w:rPr>
          <w:rFonts w:ascii="Garamond" w:hAnsi="Garamond"/>
          <w:sz w:val="24"/>
          <w:szCs w:val="24"/>
        </w:rPr>
        <w:t xml:space="preserve">In this regard, we question whether it is lawful for </w:t>
      </w:r>
      <w:r>
        <w:rPr>
          <w:rFonts w:ascii="Garamond" w:hAnsi="Garamond"/>
          <w:sz w:val="24"/>
          <w:szCs w:val="24"/>
        </w:rPr>
        <w:t>us</w:t>
      </w:r>
      <w:r w:rsidRPr="00FC4AC0">
        <w:rPr>
          <w:rFonts w:ascii="Garamond" w:hAnsi="Garamond"/>
          <w:sz w:val="24"/>
          <w:szCs w:val="24"/>
        </w:rPr>
        <w:t xml:space="preserve"> to collect our employees’ private medical information (their vaccination status) in circumstances where neither the </w:t>
      </w:r>
      <w:r>
        <w:rPr>
          <w:rFonts w:ascii="Garamond" w:hAnsi="Garamond"/>
          <w:sz w:val="24"/>
          <w:szCs w:val="24"/>
        </w:rPr>
        <w:t>OHSA</w:t>
      </w:r>
      <w:r w:rsidRPr="00FC4AC0">
        <w:rPr>
          <w:rFonts w:ascii="Garamond" w:hAnsi="Garamond"/>
          <w:sz w:val="24"/>
          <w:szCs w:val="24"/>
        </w:rPr>
        <w:t xml:space="preserve"> or </w:t>
      </w:r>
      <w:r>
        <w:rPr>
          <w:rFonts w:ascii="Garamond" w:hAnsi="Garamond"/>
          <w:sz w:val="24"/>
          <w:szCs w:val="24"/>
        </w:rPr>
        <w:t xml:space="preserve">OHSR </w:t>
      </w:r>
      <w:r w:rsidRPr="00FC4AC0">
        <w:rPr>
          <w:rFonts w:ascii="Garamond" w:hAnsi="Garamond"/>
          <w:sz w:val="24"/>
          <w:szCs w:val="24"/>
        </w:rPr>
        <w:t xml:space="preserve">include vaccination or any other form of medical procedure within their ambit. </w:t>
      </w:r>
      <w:r>
        <w:rPr>
          <w:rFonts w:ascii="Garamond" w:hAnsi="Garamond"/>
          <w:sz w:val="24"/>
          <w:szCs w:val="24"/>
        </w:rPr>
        <w:t>My business is not</w:t>
      </w:r>
      <w:r w:rsidRPr="00FC4AC0">
        <w:rPr>
          <w:rFonts w:ascii="Garamond" w:hAnsi="Garamond"/>
          <w:sz w:val="24"/>
          <w:szCs w:val="24"/>
        </w:rPr>
        <w:t xml:space="preserve"> a medical body, nor a proxy for Government public health laws (particularly when there hasn’t even been a</w:t>
      </w:r>
      <w:r>
        <w:rPr>
          <w:rFonts w:ascii="Garamond" w:hAnsi="Garamond"/>
          <w:sz w:val="24"/>
          <w:szCs w:val="24"/>
        </w:rPr>
        <w:t xml:space="preserve"> validly issued</w:t>
      </w:r>
      <w:r w:rsidRPr="00FC4AC0">
        <w:rPr>
          <w:rFonts w:ascii="Garamond" w:hAnsi="Garamond"/>
          <w:sz w:val="24"/>
          <w:szCs w:val="24"/>
        </w:rPr>
        <w:t xml:space="preserve"> government issued mandate for </w:t>
      </w:r>
      <w:r>
        <w:rPr>
          <w:rFonts w:ascii="Garamond" w:hAnsi="Garamond"/>
          <w:sz w:val="24"/>
          <w:szCs w:val="24"/>
        </w:rPr>
        <w:t>my employees</w:t>
      </w:r>
      <w:r w:rsidRPr="00FC4AC0">
        <w:rPr>
          <w:rFonts w:ascii="Garamond" w:hAnsi="Garamond"/>
          <w:sz w:val="24"/>
          <w:szCs w:val="24"/>
        </w:rPr>
        <w:t xml:space="preserve"> to receive a vaccination</w:t>
      </w:r>
      <w:r w:rsidR="00F642FD">
        <w:rPr>
          <w:rFonts w:ascii="Garamond" w:hAnsi="Garamond"/>
          <w:sz w:val="24"/>
          <w:szCs w:val="24"/>
        </w:rPr>
        <w:t>)</w:t>
      </w:r>
      <w:r>
        <w:rPr>
          <w:rFonts w:ascii="Garamond" w:hAnsi="Garamond"/>
          <w:sz w:val="24"/>
          <w:szCs w:val="24"/>
        </w:rPr>
        <w:t xml:space="preserve"> </w:t>
      </w:r>
      <w:r w:rsidRPr="00FC4AC0">
        <w:rPr>
          <w:rFonts w:ascii="Garamond" w:hAnsi="Garamond"/>
          <w:sz w:val="24"/>
          <w:szCs w:val="24"/>
          <w:highlight w:val="yellow"/>
        </w:rPr>
        <w:t>DELETE IF NOT RELEVANT</w:t>
      </w:r>
      <w:r w:rsidRPr="00FC4AC0">
        <w:rPr>
          <w:rFonts w:ascii="Garamond" w:hAnsi="Garamond"/>
          <w:sz w:val="24"/>
          <w:szCs w:val="24"/>
        </w:rPr>
        <w:t>).</w:t>
      </w:r>
    </w:p>
    <w:p w14:paraId="75AA202A" w14:textId="7352C11A" w:rsidR="00FC4AC0" w:rsidRPr="00FC4AC0" w:rsidRDefault="00FC4AC0" w:rsidP="00705A06">
      <w:pPr>
        <w:spacing w:line="276" w:lineRule="auto"/>
        <w:jc w:val="both"/>
        <w:rPr>
          <w:rFonts w:ascii="Garamond" w:hAnsi="Garamond"/>
          <w:sz w:val="24"/>
          <w:szCs w:val="24"/>
        </w:rPr>
      </w:pPr>
      <w:r w:rsidRPr="00FC4AC0">
        <w:rPr>
          <w:rFonts w:ascii="Garamond" w:hAnsi="Garamond"/>
          <w:sz w:val="24"/>
          <w:szCs w:val="24"/>
        </w:rPr>
        <w:t xml:space="preserve">With regards to whether it is “reasonably necessary” for </w:t>
      </w:r>
      <w:r>
        <w:rPr>
          <w:rFonts w:ascii="Garamond" w:hAnsi="Garamond"/>
          <w:sz w:val="24"/>
          <w:szCs w:val="24"/>
        </w:rPr>
        <w:t>me</w:t>
      </w:r>
      <w:r w:rsidRPr="00FC4AC0">
        <w:rPr>
          <w:rFonts w:ascii="Garamond" w:hAnsi="Garamond"/>
          <w:sz w:val="24"/>
          <w:szCs w:val="24"/>
        </w:rPr>
        <w:t xml:space="preserve"> to collect </w:t>
      </w:r>
      <w:r>
        <w:rPr>
          <w:rFonts w:ascii="Garamond" w:hAnsi="Garamond"/>
          <w:sz w:val="24"/>
          <w:szCs w:val="24"/>
        </w:rPr>
        <w:t>my</w:t>
      </w:r>
      <w:r w:rsidRPr="00FC4AC0">
        <w:rPr>
          <w:rFonts w:ascii="Garamond" w:hAnsi="Garamond"/>
          <w:sz w:val="24"/>
          <w:szCs w:val="24"/>
        </w:rPr>
        <w:t xml:space="preserve"> employees’ vaccination status, </w:t>
      </w:r>
      <w:r>
        <w:rPr>
          <w:rFonts w:ascii="Garamond" w:hAnsi="Garamond"/>
          <w:sz w:val="24"/>
          <w:szCs w:val="24"/>
        </w:rPr>
        <w:t>my business</w:t>
      </w:r>
      <w:r w:rsidRPr="00FC4AC0">
        <w:rPr>
          <w:rFonts w:ascii="Garamond" w:hAnsi="Garamond"/>
          <w:sz w:val="24"/>
          <w:szCs w:val="24"/>
        </w:rPr>
        <w:t xml:space="preserve"> has fulfilled its duties throughout the pandemic thus far without mandating vaccination. </w:t>
      </w:r>
      <w:r>
        <w:rPr>
          <w:rFonts w:ascii="Garamond" w:hAnsi="Garamond"/>
          <w:sz w:val="24"/>
          <w:szCs w:val="24"/>
        </w:rPr>
        <w:t>There have been no cases of Covid-19 within my workplace during this pandemic (</w:t>
      </w:r>
      <w:r w:rsidRPr="00FC4AC0">
        <w:rPr>
          <w:rFonts w:ascii="Garamond" w:hAnsi="Garamond"/>
          <w:sz w:val="24"/>
          <w:szCs w:val="24"/>
          <w:highlight w:val="yellow"/>
        </w:rPr>
        <w:t>DELETE</w:t>
      </w:r>
      <w:r w:rsidR="00F642FD">
        <w:rPr>
          <w:rFonts w:ascii="Garamond" w:hAnsi="Garamond"/>
          <w:sz w:val="24"/>
          <w:szCs w:val="24"/>
          <w:highlight w:val="yellow"/>
        </w:rPr>
        <w:t xml:space="preserve"> OR CHANGE</w:t>
      </w:r>
      <w:r w:rsidRPr="00FC4AC0">
        <w:rPr>
          <w:rFonts w:ascii="Garamond" w:hAnsi="Garamond"/>
          <w:sz w:val="24"/>
          <w:szCs w:val="24"/>
          <w:highlight w:val="yellow"/>
        </w:rPr>
        <w:t xml:space="preserve"> IF NOT RELEVANT</w:t>
      </w:r>
      <w:r>
        <w:rPr>
          <w:rFonts w:ascii="Garamond" w:hAnsi="Garamond"/>
          <w:sz w:val="24"/>
          <w:szCs w:val="24"/>
        </w:rPr>
        <w:t>)</w:t>
      </w:r>
      <w:r w:rsidRPr="00FC4AC0">
        <w:rPr>
          <w:rFonts w:ascii="Garamond" w:hAnsi="Garamond"/>
          <w:sz w:val="24"/>
          <w:szCs w:val="24"/>
        </w:rPr>
        <w:t xml:space="preserve">. It is therefore difficult to argue that enforcing vaccination is “reasonably necessary” for </w:t>
      </w:r>
      <w:r>
        <w:rPr>
          <w:rFonts w:ascii="Garamond" w:hAnsi="Garamond"/>
          <w:sz w:val="24"/>
          <w:szCs w:val="24"/>
        </w:rPr>
        <w:t>my business</w:t>
      </w:r>
      <w:r w:rsidRPr="00FC4AC0">
        <w:rPr>
          <w:rFonts w:ascii="Garamond" w:hAnsi="Garamond"/>
          <w:sz w:val="24"/>
          <w:szCs w:val="24"/>
        </w:rPr>
        <w:t xml:space="preserve"> to continue the job it has been doing successfully for almost two years, particularly given that, on the account of both the data and Government messaging, the worst of the pandemic (attributed mostly to an initial lack of familiarity and predictability with an increasingly better understood virus) has passed. </w:t>
      </w:r>
    </w:p>
    <w:p w14:paraId="1AA0F20E" w14:textId="77777777" w:rsidR="00FC4AC0" w:rsidRPr="00FC4AC0" w:rsidRDefault="00FC4AC0" w:rsidP="00705A06">
      <w:pPr>
        <w:spacing w:line="276" w:lineRule="auto"/>
        <w:jc w:val="both"/>
        <w:rPr>
          <w:rFonts w:ascii="Garamond" w:hAnsi="Garamond"/>
          <w:i/>
          <w:iCs/>
          <w:sz w:val="24"/>
          <w:szCs w:val="24"/>
        </w:rPr>
      </w:pPr>
      <w:r w:rsidRPr="00FC4AC0">
        <w:rPr>
          <w:rFonts w:ascii="Garamond" w:hAnsi="Garamond"/>
          <w:i/>
          <w:iCs/>
          <w:sz w:val="24"/>
          <w:szCs w:val="24"/>
        </w:rPr>
        <w:t>Bullying and Harassment</w:t>
      </w:r>
    </w:p>
    <w:p w14:paraId="2B72D43C" w14:textId="183FE7E2" w:rsidR="00FC4AC0" w:rsidRPr="00FC4AC0" w:rsidRDefault="00FC4AC0" w:rsidP="00705A06">
      <w:pPr>
        <w:spacing w:line="276" w:lineRule="auto"/>
        <w:jc w:val="both"/>
        <w:rPr>
          <w:rFonts w:ascii="Garamond" w:hAnsi="Garamond"/>
          <w:sz w:val="24"/>
          <w:szCs w:val="24"/>
        </w:rPr>
      </w:pPr>
      <w:r w:rsidRPr="00FC4AC0">
        <w:rPr>
          <w:rFonts w:ascii="Garamond" w:hAnsi="Garamond"/>
          <w:sz w:val="24"/>
          <w:szCs w:val="24"/>
        </w:rPr>
        <w:t xml:space="preserve">We </w:t>
      </w:r>
      <w:r>
        <w:rPr>
          <w:rFonts w:ascii="Garamond" w:hAnsi="Garamond"/>
          <w:sz w:val="24"/>
          <w:szCs w:val="24"/>
        </w:rPr>
        <w:t xml:space="preserve">are </w:t>
      </w:r>
      <w:r w:rsidRPr="00FC4AC0">
        <w:rPr>
          <w:rFonts w:ascii="Garamond" w:hAnsi="Garamond"/>
          <w:sz w:val="24"/>
          <w:szCs w:val="24"/>
        </w:rPr>
        <w:t xml:space="preserve">also </w:t>
      </w:r>
      <w:r>
        <w:rPr>
          <w:rFonts w:ascii="Garamond" w:hAnsi="Garamond"/>
          <w:sz w:val="24"/>
          <w:szCs w:val="24"/>
        </w:rPr>
        <w:t>deeply concerned that a</w:t>
      </w:r>
      <w:r w:rsidRPr="00FC4AC0">
        <w:rPr>
          <w:rFonts w:ascii="Garamond" w:hAnsi="Garamond"/>
          <w:sz w:val="24"/>
          <w:szCs w:val="24"/>
        </w:rPr>
        <w:t xml:space="preserve"> mandatory direction</w:t>
      </w:r>
      <w:r>
        <w:rPr>
          <w:rFonts w:ascii="Garamond" w:hAnsi="Garamond"/>
          <w:sz w:val="24"/>
          <w:szCs w:val="24"/>
        </w:rPr>
        <w:t xml:space="preserve"> issued by us</w:t>
      </w:r>
      <w:r w:rsidRPr="00FC4AC0">
        <w:rPr>
          <w:rFonts w:ascii="Garamond" w:hAnsi="Garamond"/>
          <w:sz w:val="24"/>
          <w:szCs w:val="24"/>
        </w:rPr>
        <w:t xml:space="preserve"> to</w:t>
      </w:r>
      <w:r>
        <w:rPr>
          <w:rFonts w:ascii="Garamond" w:hAnsi="Garamond"/>
          <w:sz w:val="24"/>
          <w:szCs w:val="24"/>
        </w:rPr>
        <w:t xml:space="preserve"> our</w:t>
      </w:r>
      <w:r w:rsidRPr="00FC4AC0">
        <w:rPr>
          <w:rFonts w:ascii="Garamond" w:hAnsi="Garamond"/>
          <w:sz w:val="24"/>
          <w:szCs w:val="24"/>
        </w:rPr>
        <w:t xml:space="preserve"> employees that they receive a vaccination by a certain date could be construed as bullying or harassment, particularly if an employee is continually reminded, or pressured, to receive such vaccination.</w:t>
      </w:r>
    </w:p>
    <w:p w14:paraId="458EBD24" w14:textId="1541D18A" w:rsidR="00774EFC" w:rsidRDefault="00FC4AC0" w:rsidP="00705A06">
      <w:pPr>
        <w:spacing w:line="276" w:lineRule="auto"/>
        <w:jc w:val="both"/>
        <w:rPr>
          <w:rFonts w:ascii="Garamond" w:hAnsi="Garamond"/>
          <w:sz w:val="24"/>
          <w:szCs w:val="24"/>
        </w:rPr>
      </w:pPr>
      <w:r w:rsidRPr="00FC4AC0">
        <w:rPr>
          <w:rFonts w:ascii="Garamond" w:hAnsi="Garamond"/>
          <w:sz w:val="24"/>
          <w:szCs w:val="24"/>
        </w:rPr>
        <w:t>If employees who have not been vaccinated are subject to separation, mistreatment or ostraci</w:t>
      </w:r>
      <w:r w:rsidR="00F642FD">
        <w:rPr>
          <w:rFonts w:ascii="Garamond" w:hAnsi="Garamond"/>
          <w:sz w:val="24"/>
          <w:szCs w:val="24"/>
        </w:rPr>
        <w:t>s</w:t>
      </w:r>
      <w:r w:rsidRPr="00FC4AC0">
        <w:rPr>
          <w:rFonts w:ascii="Garamond" w:hAnsi="Garamond"/>
          <w:sz w:val="24"/>
          <w:szCs w:val="24"/>
        </w:rPr>
        <w:t>ation this is also likely to amount to causes of action for affected employees.</w:t>
      </w:r>
    </w:p>
    <w:p w14:paraId="7F0CF175" w14:textId="54B75B70" w:rsidR="00FC4AC0" w:rsidRPr="00FC4AC0" w:rsidRDefault="00FC4AC0" w:rsidP="00705A06">
      <w:pPr>
        <w:spacing w:line="276" w:lineRule="auto"/>
        <w:jc w:val="both"/>
        <w:rPr>
          <w:rFonts w:ascii="Garamond" w:hAnsi="Garamond"/>
          <w:i/>
          <w:iCs/>
          <w:sz w:val="24"/>
          <w:szCs w:val="24"/>
        </w:rPr>
      </w:pPr>
      <w:r>
        <w:rPr>
          <w:rFonts w:ascii="Garamond" w:hAnsi="Garamond"/>
          <w:i/>
          <w:iCs/>
          <w:sz w:val="24"/>
          <w:szCs w:val="24"/>
        </w:rPr>
        <w:t>Discrimination</w:t>
      </w:r>
    </w:p>
    <w:p w14:paraId="74BD278D" w14:textId="4661C3D3" w:rsidR="00C430B0" w:rsidRPr="00C430B0" w:rsidRDefault="00C430B0" w:rsidP="00705A06">
      <w:pPr>
        <w:spacing w:line="276" w:lineRule="auto"/>
        <w:jc w:val="both"/>
        <w:rPr>
          <w:rFonts w:ascii="Garamond" w:hAnsi="Garamond"/>
          <w:sz w:val="24"/>
          <w:szCs w:val="24"/>
        </w:rPr>
      </w:pPr>
      <w:r>
        <w:rPr>
          <w:rFonts w:ascii="Garamond" w:hAnsi="Garamond"/>
          <w:sz w:val="24"/>
          <w:szCs w:val="24"/>
        </w:rPr>
        <w:t>Your Media Release as well as the Mandatory Vaccination Direction</w:t>
      </w:r>
      <w:r w:rsidRPr="00C430B0">
        <w:rPr>
          <w:rFonts w:ascii="Garamond" w:hAnsi="Garamond"/>
          <w:sz w:val="24"/>
          <w:szCs w:val="24"/>
        </w:rPr>
        <w:t xml:space="preserve"> potentiate liability for</w:t>
      </w:r>
      <w:r>
        <w:rPr>
          <w:rFonts w:ascii="Garamond" w:hAnsi="Garamond"/>
          <w:sz w:val="24"/>
          <w:szCs w:val="24"/>
        </w:rPr>
        <w:t xml:space="preserve"> us in</w:t>
      </w:r>
      <w:r w:rsidRPr="00C430B0">
        <w:rPr>
          <w:rFonts w:ascii="Garamond" w:hAnsi="Garamond"/>
          <w:sz w:val="24"/>
          <w:szCs w:val="24"/>
        </w:rPr>
        <w:t xml:space="preserve"> actions </w:t>
      </w:r>
      <w:r>
        <w:rPr>
          <w:rFonts w:ascii="Garamond" w:hAnsi="Garamond"/>
          <w:sz w:val="24"/>
          <w:szCs w:val="24"/>
        </w:rPr>
        <w:t>of</w:t>
      </w:r>
      <w:r w:rsidRPr="00C430B0">
        <w:rPr>
          <w:rFonts w:ascii="Garamond" w:hAnsi="Garamond"/>
          <w:sz w:val="24"/>
          <w:szCs w:val="24"/>
        </w:rPr>
        <w:t xml:space="preserve"> discrimination and victimisation.</w:t>
      </w:r>
    </w:p>
    <w:p w14:paraId="17A34BE7" w14:textId="4481A07E" w:rsidR="00C430B0" w:rsidRDefault="00C430B0" w:rsidP="00705A06">
      <w:pPr>
        <w:spacing w:line="276" w:lineRule="auto"/>
        <w:jc w:val="both"/>
        <w:rPr>
          <w:rFonts w:ascii="Garamond" w:hAnsi="Garamond"/>
          <w:sz w:val="24"/>
          <w:szCs w:val="24"/>
        </w:rPr>
      </w:pPr>
      <w:r>
        <w:rPr>
          <w:rFonts w:ascii="Garamond" w:hAnsi="Garamond"/>
          <w:sz w:val="24"/>
          <w:szCs w:val="24"/>
        </w:rPr>
        <w:t>W</w:t>
      </w:r>
      <w:r w:rsidRPr="00C430B0">
        <w:rPr>
          <w:rFonts w:ascii="Garamond" w:hAnsi="Garamond"/>
          <w:sz w:val="24"/>
          <w:szCs w:val="24"/>
        </w:rPr>
        <w:t xml:space="preserve">e note that both the </w:t>
      </w:r>
      <w:r>
        <w:rPr>
          <w:rFonts w:ascii="Garamond" w:hAnsi="Garamond"/>
          <w:sz w:val="24"/>
          <w:szCs w:val="24"/>
        </w:rPr>
        <w:t>Equal Opportunity Act 2010</w:t>
      </w:r>
      <w:r w:rsidRPr="00C430B0">
        <w:rPr>
          <w:rFonts w:ascii="Garamond" w:hAnsi="Garamond"/>
          <w:sz w:val="24"/>
          <w:szCs w:val="24"/>
        </w:rPr>
        <w:t xml:space="preserve"> (</w:t>
      </w:r>
      <w:r>
        <w:rPr>
          <w:rFonts w:ascii="Garamond" w:hAnsi="Garamond"/>
          <w:sz w:val="24"/>
          <w:szCs w:val="24"/>
        </w:rPr>
        <w:t>Vic</w:t>
      </w:r>
      <w:r w:rsidRPr="00C430B0">
        <w:rPr>
          <w:rFonts w:ascii="Garamond" w:hAnsi="Garamond"/>
          <w:sz w:val="24"/>
          <w:szCs w:val="24"/>
        </w:rPr>
        <w:t>)</w:t>
      </w:r>
      <w:r>
        <w:rPr>
          <w:rFonts w:ascii="Garamond" w:hAnsi="Garamond"/>
          <w:sz w:val="24"/>
          <w:szCs w:val="24"/>
        </w:rPr>
        <w:t xml:space="preserve"> (</w:t>
      </w:r>
      <w:r w:rsidRPr="00C430B0">
        <w:rPr>
          <w:rFonts w:ascii="Garamond" w:hAnsi="Garamond"/>
          <w:b/>
          <w:bCs/>
          <w:sz w:val="24"/>
          <w:szCs w:val="24"/>
        </w:rPr>
        <w:t>the EOA</w:t>
      </w:r>
      <w:r>
        <w:rPr>
          <w:rFonts w:ascii="Garamond" w:hAnsi="Garamond"/>
          <w:sz w:val="24"/>
          <w:szCs w:val="24"/>
        </w:rPr>
        <w:t>)</w:t>
      </w:r>
      <w:r w:rsidRPr="00C430B0">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vaccination, and are treated differently to vaccinated staff as a result, could fall within these definitions. As you may know, the Victorian Equal Opportunity and Human Rights Commission</w:t>
      </w:r>
      <w:r>
        <w:rPr>
          <w:rFonts w:ascii="Garamond" w:hAnsi="Garamond"/>
          <w:sz w:val="24"/>
          <w:szCs w:val="24"/>
        </w:rPr>
        <w:t xml:space="preserve"> </w:t>
      </w:r>
      <w:r w:rsidRPr="00C430B0">
        <w:rPr>
          <w:rFonts w:ascii="Garamond" w:hAnsi="Garamond"/>
          <w:sz w:val="24"/>
          <w:szCs w:val="24"/>
        </w:rPr>
        <w:t xml:space="preserve">and the Australian Human Rights Commission each offer no-cost forums for the resolution of complaints of discrimination. We </w:t>
      </w:r>
      <w:r>
        <w:rPr>
          <w:rFonts w:ascii="Garamond" w:hAnsi="Garamond"/>
          <w:sz w:val="24"/>
          <w:szCs w:val="24"/>
        </w:rPr>
        <w:t>are likely to be inundated with such complaints by employees if we are to mandate vaccination</w:t>
      </w:r>
      <w:r w:rsidRPr="00C430B0">
        <w:rPr>
          <w:rFonts w:ascii="Garamond" w:hAnsi="Garamond"/>
          <w:sz w:val="24"/>
          <w:szCs w:val="24"/>
        </w:rPr>
        <w:t>.</w:t>
      </w:r>
    </w:p>
    <w:p w14:paraId="5831D5D3" w14:textId="4408C1A0" w:rsidR="00C430B0" w:rsidRDefault="00C430B0" w:rsidP="00705A06">
      <w:pPr>
        <w:spacing w:line="276" w:lineRule="auto"/>
        <w:jc w:val="both"/>
        <w:rPr>
          <w:rFonts w:ascii="Garamond" w:hAnsi="Garamond"/>
          <w:sz w:val="24"/>
          <w:szCs w:val="24"/>
        </w:rPr>
      </w:pPr>
      <w:r>
        <w:rPr>
          <w:rFonts w:ascii="Garamond" w:hAnsi="Garamond"/>
          <w:sz w:val="24"/>
          <w:szCs w:val="24"/>
        </w:rPr>
        <w:lastRenderedPageBreak/>
        <w:t>To illustrate this issue, we draw your attention to the definition of “disability” within the EOA:</w:t>
      </w:r>
    </w:p>
    <w:p w14:paraId="06EBE5BC" w14:textId="77777777" w:rsidR="00C430B0" w:rsidRPr="00C430B0" w:rsidRDefault="00C430B0" w:rsidP="00705A06">
      <w:pPr>
        <w:spacing w:line="276" w:lineRule="auto"/>
        <w:ind w:firstLine="720"/>
        <w:jc w:val="both"/>
        <w:rPr>
          <w:rFonts w:ascii="Garamond" w:hAnsi="Garamond"/>
          <w:sz w:val="24"/>
          <w:szCs w:val="24"/>
        </w:rPr>
      </w:pPr>
      <w:r w:rsidRPr="00C430B0">
        <w:rPr>
          <w:rFonts w:ascii="Garamond" w:hAnsi="Garamond"/>
          <w:sz w:val="24"/>
          <w:szCs w:val="24"/>
        </w:rPr>
        <w:t>disability means—</w:t>
      </w:r>
    </w:p>
    <w:p w14:paraId="7D7F00ED" w14:textId="6B2EFEFF" w:rsidR="00C430B0" w:rsidRPr="00C430B0" w:rsidRDefault="00C430B0" w:rsidP="00705A06">
      <w:pPr>
        <w:spacing w:line="276" w:lineRule="auto"/>
        <w:ind w:firstLine="720"/>
        <w:jc w:val="both"/>
        <w:rPr>
          <w:rFonts w:ascii="Garamond" w:hAnsi="Garamond"/>
          <w:sz w:val="24"/>
          <w:szCs w:val="24"/>
        </w:rPr>
      </w:pPr>
      <w:r>
        <w:rPr>
          <w:rFonts w:ascii="Garamond" w:hAnsi="Garamond"/>
          <w:sz w:val="24"/>
          <w:szCs w:val="24"/>
        </w:rPr>
        <w:t>…</w:t>
      </w:r>
    </w:p>
    <w:p w14:paraId="77EDF369" w14:textId="238E6402" w:rsidR="00C430B0" w:rsidRPr="00C430B0" w:rsidRDefault="00C430B0" w:rsidP="00705A06">
      <w:pPr>
        <w:spacing w:line="276" w:lineRule="auto"/>
        <w:ind w:firstLine="720"/>
        <w:jc w:val="both"/>
        <w:rPr>
          <w:rFonts w:ascii="Garamond" w:hAnsi="Garamond"/>
          <w:b/>
          <w:bCs/>
          <w:sz w:val="24"/>
          <w:szCs w:val="24"/>
        </w:rPr>
      </w:pPr>
      <w:r w:rsidRPr="00C430B0">
        <w:rPr>
          <w:rFonts w:ascii="Garamond" w:hAnsi="Garamond"/>
          <w:b/>
          <w:bCs/>
          <w:sz w:val="24"/>
          <w:szCs w:val="24"/>
        </w:rPr>
        <w:t>(b) the presence in the body of organisms that may cause disease;</w:t>
      </w:r>
    </w:p>
    <w:p w14:paraId="2C4C0E46" w14:textId="16B2B29C" w:rsidR="00C430B0" w:rsidRPr="00C430B0" w:rsidRDefault="00C430B0" w:rsidP="00705A06">
      <w:pPr>
        <w:spacing w:line="276" w:lineRule="auto"/>
        <w:ind w:firstLine="720"/>
        <w:jc w:val="both"/>
        <w:rPr>
          <w:rFonts w:ascii="Garamond" w:hAnsi="Garamond"/>
          <w:sz w:val="24"/>
          <w:szCs w:val="24"/>
        </w:rPr>
      </w:pPr>
      <w:r>
        <w:rPr>
          <w:rFonts w:ascii="Garamond" w:hAnsi="Garamond"/>
          <w:sz w:val="24"/>
          <w:szCs w:val="24"/>
        </w:rPr>
        <w:t>….</w:t>
      </w:r>
    </w:p>
    <w:p w14:paraId="1EF8EDE5" w14:textId="79C284B8" w:rsidR="00C430B0" w:rsidRDefault="00C430B0" w:rsidP="00705A06">
      <w:pPr>
        <w:spacing w:line="276" w:lineRule="auto"/>
        <w:ind w:left="720"/>
        <w:jc w:val="both"/>
        <w:rPr>
          <w:rFonts w:ascii="Garamond" w:hAnsi="Garamond"/>
          <w:sz w:val="24"/>
          <w:szCs w:val="24"/>
        </w:rPr>
      </w:pPr>
      <w:r w:rsidRPr="00C430B0">
        <w:rPr>
          <w:rFonts w:ascii="Garamond" w:hAnsi="Garamond"/>
          <w:b/>
          <w:bCs/>
          <w:sz w:val="24"/>
          <w:szCs w:val="24"/>
        </w:rPr>
        <w:t>and includes a disability that may exist in the future</w:t>
      </w:r>
      <w:r w:rsidRPr="00C430B0">
        <w:rPr>
          <w:rFonts w:ascii="Garamond" w:hAnsi="Garamond"/>
          <w:sz w:val="24"/>
          <w:szCs w:val="24"/>
        </w:rPr>
        <w:t xml:space="preserve"> (including because of a genetic</w:t>
      </w:r>
      <w:r>
        <w:rPr>
          <w:rFonts w:ascii="Garamond" w:hAnsi="Garamond"/>
          <w:sz w:val="24"/>
          <w:szCs w:val="24"/>
        </w:rPr>
        <w:t xml:space="preserve"> </w:t>
      </w:r>
      <w:r w:rsidRPr="00C430B0">
        <w:rPr>
          <w:rFonts w:ascii="Garamond" w:hAnsi="Garamond"/>
          <w:sz w:val="24"/>
          <w:szCs w:val="24"/>
        </w:rPr>
        <w:t>predisposition to that disability) and, to</w:t>
      </w:r>
      <w:r>
        <w:rPr>
          <w:rFonts w:ascii="Garamond" w:hAnsi="Garamond"/>
          <w:sz w:val="24"/>
          <w:szCs w:val="24"/>
        </w:rPr>
        <w:t xml:space="preserve"> </w:t>
      </w:r>
      <w:r w:rsidRPr="00C430B0">
        <w:rPr>
          <w:rFonts w:ascii="Garamond" w:hAnsi="Garamond"/>
          <w:sz w:val="24"/>
          <w:szCs w:val="24"/>
        </w:rPr>
        <w:t>avoid doubt, behaviour that is a symptom or</w:t>
      </w:r>
      <w:r>
        <w:rPr>
          <w:rFonts w:ascii="Garamond" w:hAnsi="Garamond"/>
          <w:sz w:val="24"/>
          <w:szCs w:val="24"/>
        </w:rPr>
        <w:t xml:space="preserve"> </w:t>
      </w:r>
      <w:r w:rsidRPr="00C430B0">
        <w:rPr>
          <w:rFonts w:ascii="Garamond" w:hAnsi="Garamond"/>
          <w:sz w:val="24"/>
          <w:szCs w:val="24"/>
        </w:rPr>
        <w:t>manifestation of a disability;</w:t>
      </w:r>
    </w:p>
    <w:p w14:paraId="273D845B" w14:textId="66250F53" w:rsidR="00C430B0" w:rsidRPr="00C430B0" w:rsidRDefault="00C430B0" w:rsidP="00705A06">
      <w:pPr>
        <w:spacing w:line="276" w:lineRule="auto"/>
        <w:jc w:val="both"/>
        <w:rPr>
          <w:rFonts w:ascii="Garamond" w:hAnsi="Garamond"/>
          <w:sz w:val="24"/>
          <w:szCs w:val="24"/>
        </w:rPr>
      </w:pPr>
      <w:r>
        <w:rPr>
          <w:rFonts w:ascii="Garamond" w:hAnsi="Garamond"/>
          <w:sz w:val="24"/>
          <w:szCs w:val="24"/>
        </w:rPr>
        <w:t xml:space="preserve">So, if an employee is treated differently because they are not vaccinated, and therefore because of the idea that as a result of this, there exists “the presence in the body of organisms that may cause disease”, </w:t>
      </w:r>
      <w:r w:rsidR="00F642FD">
        <w:rPr>
          <w:rFonts w:ascii="Garamond" w:hAnsi="Garamond"/>
          <w:sz w:val="24"/>
          <w:szCs w:val="24"/>
        </w:rPr>
        <w:t>or even that</w:t>
      </w:r>
      <w:r>
        <w:rPr>
          <w:rFonts w:ascii="Garamond" w:hAnsi="Garamond"/>
          <w:sz w:val="24"/>
          <w:szCs w:val="24"/>
        </w:rPr>
        <w:t xml:space="preserve"> they </w:t>
      </w:r>
      <w:r>
        <w:rPr>
          <w:rFonts w:ascii="Garamond" w:hAnsi="Garamond"/>
          <w:i/>
          <w:iCs/>
          <w:sz w:val="24"/>
          <w:szCs w:val="24"/>
        </w:rPr>
        <w:t xml:space="preserve">may in future </w:t>
      </w:r>
      <w:r>
        <w:rPr>
          <w:rFonts w:ascii="Garamond" w:hAnsi="Garamond"/>
          <w:sz w:val="24"/>
          <w:szCs w:val="24"/>
        </w:rPr>
        <w:t>have such organisms in their body</w:t>
      </w:r>
      <w:r w:rsidR="00BF74FE">
        <w:rPr>
          <w:rFonts w:ascii="Garamond" w:hAnsi="Garamond"/>
          <w:sz w:val="24"/>
          <w:szCs w:val="24"/>
        </w:rPr>
        <w:t>, they have a valid claim of disability discrimination under the Victorian discrimination statute. The federal discrimination statute has an equivalent definition.</w:t>
      </w:r>
      <w:r w:rsidR="00BF74FE">
        <w:rPr>
          <w:rStyle w:val="FootnoteReference"/>
          <w:rFonts w:ascii="Garamond" w:hAnsi="Garamond"/>
          <w:sz w:val="24"/>
          <w:szCs w:val="24"/>
        </w:rPr>
        <w:footnoteReference w:id="18"/>
      </w:r>
    </w:p>
    <w:p w14:paraId="6EA3A42C" w14:textId="4B8A4F7F" w:rsidR="00C430B0" w:rsidRPr="00C430B0" w:rsidRDefault="00C430B0" w:rsidP="00705A06">
      <w:pPr>
        <w:spacing w:line="276" w:lineRule="auto"/>
        <w:jc w:val="both"/>
        <w:rPr>
          <w:rFonts w:ascii="Garamond" w:hAnsi="Garamond"/>
          <w:sz w:val="24"/>
          <w:szCs w:val="24"/>
        </w:rPr>
      </w:pPr>
      <w:r w:rsidRPr="00C430B0">
        <w:rPr>
          <w:rFonts w:ascii="Garamond" w:hAnsi="Garamond"/>
          <w:sz w:val="24"/>
          <w:szCs w:val="24"/>
        </w:rPr>
        <w:t xml:space="preserve">We also direct your attention to </w:t>
      </w:r>
      <w:r w:rsidR="00BF74FE">
        <w:rPr>
          <w:rFonts w:ascii="Garamond" w:hAnsi="Garamond"/>
          <w:sz w:val="24"/>
          <w:szCs w:val="24"/>
        </w:rPr>
        <w:t>s76</w:t>
      </w:r>
      <w:r w:rsidRPr="00C430B0">
        <w:rPr>
          <w:rFonts w:ascii="Garamond" w:hAnsi="Garamond"/>
          <w:sz w:val="24"/>
          <w:szCs w:val="24"/>
        </w:rPr>
        <w:t xml:space="preserve"> of the </w:t>
      </w:r>
      <w:r w:rsidR="00BF74FE">
        <w:rPr>
          <w:rFonts w:ascii="Garamond" w:hAnsi="Garamond"/>
          <w:sz w:val="24"/>
          <w:szCs w:val="24"/>
        </w:rPr>
        <w:t>OHSA</w:t>
      </w:r>
      <w:r w:rsidRPr="00C430B0">
        <w:rPr>
          <w:rFonts w:ascii="Garamond" w:hAnsi="Garamond"/>
          <w:sz w:val="24"/>
          <w:szCs w:val="24"/>
        </w:rPr>
        <w:t>, which specifically prohibits discriminat</w:t>
      </w:r>
      <w:r w:rsidR="00BF74FE">
        <w:rPr>
          <w:rFonts w:ascii="Garamond" w:hAnsi="Garamond"/>
          <w:sz w:val="24"/>
          <w:szCs w:val="24"/>
        </w:rPr>
        <w:t>ion</w:t>
      </w:r>
      <w:r w:rsidRPr="00C430B0">
        <w:rPr>
          <w:rFonts w:ascii="Garamond" w:hAnsi="Garamond"/>
          <w:sz w:val="24"/>
          <w:szCs w:val="24"/>
        </w:rPr>
        <w:t xml:space="preserve"> by employers against employees. “Discriminat</w:t>
      </w:r>
      <w:r w:rsidR="00BF74FE">
        <w:rPr>
          <w:rFonts w:ascii="Garamond" w:hAnsi="Garamond"/>
          <w:sz w:val="24"/>
          <w:szCs w:val="24"/>
        </w:rPr>
        <w:t>ion</w:t>
      </w:r>
      <w:r w:rsidRPr="00C430B0">
        <w:rPr>
          <w:rFonts w:ascii="Garamond" w:hAnsi="Garamond"/>
          <w:sz w:val="24"/>
          <w:szCs w:val="24"/>
        </w:rPr>
        <w:t xml:space="preserve">” under this </w:t>
      </w:r>
      <w:r w:rsidR="00BF74FE">
        <w:rPr>
          <w:rFonts w:ascii="Garamond" w:hAnsi="Garamond"/>
          <w:sz w:val="24"/>
          <w:szCs w:val="24"/>
        </w:rPr>
        <w:t>section</w:t>
      </w:r>
      <w:r w:rsidRPr="00C430B0">
        <w:rPr>
          <w:rFonts w:ascii="Garamond" w:hAnsi="Garamond"/>
          <w:sz w:val="24"/>
          <w:szCs w:val="24"/>
        </w:rPr>
        <w:t xml:space="preserve"> includes dismissing or terminating the worker, or treating them less favourably because, among other reasons, they:</w:t>
      </w:r>
      <w:r w:rsidR="00BF74FE">
        <w:rPr>
          <w:rStyle w:val="FootnoteReference"/>
          <w:rFonts w:ascii="Garamond" w:hAnsi="Garamond"/>
          <w:sz w:val="24"/>
          <w:szCs w:val="24"/>
        </w:rPr>
        <w:footnoteReference w:id="19"/>
      </w:r>
    </w:p>
    <w:p w14:paraId="6C142E61" w14:textId="77777777" w:rsidR="00BF74FE" w:rsidRDefault="00BF74FE" w:rsidP="00705A06">
      <w:pPr>
        <w:spacing w:line="276" w:lineRule="auto"/>
        <w:ind w:left="720"/>
        <w:jc w:val="both"/>
        <w:rPr>
          <w:rFonts w:ascii="Garamond" w:hAnsi="Garamond"/>
          <w:sz w:val="24"/>
          <w:szCs w:val="24"/>
        </w:rPr>
      </w:pPr>
      <w:r w:rsidRPr="00BF74FE">
        <w:rPr>
          <w:rFonts w:ascii="Garamond" w:hAnsi="Garamond"/>
          <w:sz w:val="24"/>
          <w:szCs w:val="24"/>
        </w:rPr>
        <w:t>(d) raises or has raised an issue or concern</w:t>
      </w:r>
      <w:r>
        <w:rPr>
          <w:rFonts w:ascii="Garamond" w:hAnsi="Garamond"/>
          <w:sz w:val="24"/>
          <w:szCs w:val="24"/>
        </w:rPr>
        <w:t xml:space="preserve"> </w:t>
      </w:r>
      <w:r w:rsidRPr="00BF74FE">
        <w:rPr>
          <w:rFonts w:ascii="Garamond" w:hAnsi="Garamond"/>
          <w:sz w:val="24"/>
          <w:szCs w:val="24"/>
        </w:rPr>
        <w:t>about health or safety to the employer, an</w:t>
      </w:r>
      <w:r>
        <w:rPr>
          <w:rFonts w:ascii="Garamond" w:hAnsi="Garamond"/>
          <w:sz w:val="24"/>
          <w:szCs w:val="24"/>
        </w:rPr>
        <w:t xml:space="preserve"> </w:t>
      </w:r>
      <w:r w:rsidRPr="00BF74FE">
        <w:rPr>
          <w:rFonts w:ascii="Garamond" w:hAnsi="Garamond"/>
          <w:sz w:val="24"/>
          <w:szCs w:val="24"/>
        </w:rPr>
        <w:t>inspector, the Authority, an authorised</w:t>
      </w:r>
      <w:r>
        <w:rPr>
          <w:rFonts w:ascii="Garamond" w:hAnsi="Garamond"/>
          <w:sz w:val="24"/>
          <w:szCs w:val="24"/>
        </w:rPr>
        <w:t xml:space="preserve"> </w:t>
      </w:r>
      <w:r w:rsidRPr="00BF74FE">
        <w:rPr>
          <w:rFonts w:ascii="Garamond" w:hAnsi="Garamond"/>
          <w:sz w:val="24"/>
          <w:szCs w:val="24"/>
        </w:rPr>
        <w:t>representative of a registered employee</w:t>
      </w:r>
      <w:r>
        <w:rPr>
          <w:rFonts w:ascii="Garamond" w:hAnsi="Garamond"/>
          <w:sz w:val="24"/>
          <w:szCs w:val="24"/>
        </w:rPr>
        <w:t xml:space="preserve"> </w:t>
      </w:r>
      <w:r w:rsidRPr="00BF74FE">
        <w:rPr>
          <w:rFonts w:ascii="Garamond" w:hAnsi="Garamond"/>
          <w:sz w:val="24"/>
          <w:szCs w:val="24"/>
        </w:rPr>
        <w:t>organisation, a health and safety</w:t>
      </w:r>
      <w:r>
        <w:rPr>
          <w:rFonts w:ascii="Garamond" w:hAnsi="Garamond"/>
          <w:sz w:val="24"/>
          <w:szCs w:val="24"/>
        </w:rPr>
        <w:t xml:space="preserve"> </w:t>
      </w:r>
      <w:r w:rsidRPr="00BF74FE">
        <w:rPr>
          <w:rFonts w:ascii="Garamond" w:hAnsi="Garamond"/>
          <w:sz w:val="24"/>
          <w:szCs w:val="24"/>
        </w:rPr>
        <w:t>representative, a member of a health and</w:t>
      </w:r>
      <w:r>
        <w:rPr>
          <w:rFonts w:ascii="Garamond" w:hAnsi="Garamond"/>
          <w:sz w:val="24"/>
          <w:szCs w:val="24"/>
        </w:rPr>
        <w:t xml:space="preserve"> </w:t>
      </w:r>
      <w:r w:rsidRPr="00BF74FE">
        <w:rPr>
          <w:rFonts w:ascii="Garamond" w:hAnsi="Garamond"/>
          <w:sz w:val="24"/>
          <w:szCs w:val="24"/>
        </w:rPr>
        <w:t>safety committee or an employee of the</w:t>
      </w:r>
      <w:r>
        <w:rPr>
          <w:rFonts w:ascii="Garamond" w:hAnsi="Garamond"/>
          <w:sz w:val="24"/>
          <w:szCs w:val="24"/>
        </w:rPr>
        <w:t xml:space="preserve"> </w:t>
      </w:r>
      <w:r w:rsidRPr="00BF74FE">
        <w:rPr>
          <w:rFonts w:ascii="Garamond" w:hAnsi="Garamond"/>
          <w:sz w:val="24"/>
          <w:szCs w:val="24"/>
        </w:rPr>
        <w:t>employer.</w:t>
      </w:r>
    </w:p>
    <w:p w14:paraId="6B34F74C" w14:textId="73E860C3" w:rsidR="00A3360E" w:rsidRDefault="00C430B0" w:rsidP="00705A06">
      <w:pPr>
        <w:spacing w:line="276" w:lineRule="auto"/>
        <w:jc w:val="both"/>
        <w:rPr>
          <w:rFonts w:ascii="Garamond" w:hAnsi="Garamond"/>
          <w:sz w:val="24"/>
          <w:szCs w:val="24"/>
        </w:rPr>
      </w:pPr>
      <w:r w:rsidRPr="00C430B0">
        <w:rPr>
          <w:rFonts w:ascii="Garamond" w:hAnsi="Garamond"/>
          <w:sz w:val="24"/>
          <w:szCs w:val="24"/>
        </w:rPr>
        <w:t>So</w:t>
      </w:r>
      <w:r w:rsidR="00BF74FE">
        <w:rPr>
          <w:rFonts w:ascii="Garamond" w:hAnsi="Garamond"/>
          <w:sz w:val="24"/>
          <w:szCs w:val="24"/>
        </w:rPr>
        <w:t>, a</w:t>
      </w:r>
      <w:r w:rsidRPr="00C430B0">
        <w:rPr>
          <w:rFonts w:ascii="Garamond" w:hAnsi="Garamond"/>
          <w:sz w:val="24"/>
          <w:szCs w:val="24"/>
        </w:rPr>
        <w:t xml:space="preserve">s a result of this </w:t>
      </w:r>
      <w:r w:rsidR="00BF74FE">
        <w:rPr>
          <w:rFonts w:ascii="Garamond" w:hAnsi="Garamond"/>
          <w:sz w:val="24"/>
          <w:szCs w:val="24"/>
        </w:rPr>
        <w:t>section</w:t>
      </w:r>
      <w:r w:rsidRPr="00C430B0">
        <w:rPr>
          <w:rFonts w:ascii="Garamond" w:hAnsi="Garamond"/>
          <w:sz w:val="24"/>
          <w:szCs w:val="24"/>
        </w:rPr>
        <w:t xml:space="preserve">, an employee who seeks to raise an issue or concern about the safety implications of receiving a vaccine which their employer has made mandatory, and is treated differently to other employees as a result, is a victim of “discriminatory conduct” under this division. We also encourage you to review </w:t>
      </w:r>
      <w:r w:rsidR="00BF74FE">
        <w:rPr>
          <w:rFonts w:ascii="Garamond" w:hAnsi="Garamond"/>
          <w:sz w:val="24"/>
          <w:szCs w:val="24"/>
        </w:rPr>
        <w:t>Division 3</w:t>
      </w:r>
      <w:r w:rsidRPr="00C430B0">
        <w:rPr>
          <w:rFonts w:ascii="Garamond" w:hAnsi="Garamond"/>
          <w:sz w:val="24"/>
          <w:szCs w:val="24"/>
        </w:rPr>
        <w:t xml:space="preserve"> of the same Act which prohibit</w:t>
      </w:r>
      <w:r w:rsidR="00BF74FE">
        <w:rPr>
          <w:rFonts w:ascii="Garamond" w:hAnsi="Garamond"/>
          <w:sz w:val="24"/>
          <w:szCs w:val="24"/>
        </w:rPr>
        <w:t>s</w:t>
      </w:r>
      <w:r w:rsidRPr="00C430B0">
        <w:rPr>
          <w:rFonts w:ascii="Garamond" w:hAnsi="Garamond"/>
          <w:sz w:val="24"/>
          <w:szCs w:val="24"/>
        </w:rPr>
        <w:t xml:space="preserve"> coercion</w:t>
      </w:r>
      <w:r w:rsidR="00BF74FE">
        <w:rPr>
          <w:rFonts w:ascii="Garamond" w:hAnsi="Garamond"/>
          <w:sz w:val="24"/>
          <w:szCs w:val="24"/>
        </w:rPr>
        <w:t xml:space="preserve"> </w:t>
      </w:r>
      <w:r w:rsidRPr="00C430B0">
        <w:rPr>
          <w:rFonts w:ascii="Garamond" w:hAnsi="Garamond"/>
          <w:sz w:val="24"/>
          <w:szCs w:val="24"/>
        </w:rPr>
        <w:t xml:space="preserve">other forms of duress against employees. It is quite clear that a direction to receive a medical procedure at risk of </w:t>
      </w:r>
      <w:r w:rsidR="00BF74FE">
        <w:rPr>
          <w:rFonts w:ascii="Garamond" w:hAnsi="Garamond"/>
          <w:sz w:val="24"/>
          <w:szCs w:val="24"/>
        </w:rPr>
        <w:t>termination</w:t>
      </w:r>
      <w:r w:rsidRPr="00C430B0">
        <w:rPr>
          <w:rFonts w:ascii="Garamond" w:hAnsi="Garamond"/>
          <w:sz w:val="24"/>
          <w:szCs w:val="24"/>
        </w:rPr>
        <w:t xml:space="preserve"> is a form of economic duress</w:t>
      </w:r>
      <w:r w:rsidR="00BF74FE">
        <w:rPr>
          <w:rFonts w:ascii="Garamond" w:hAnsi="Garamond"/>
          <w:sz w:val="24"/>
          <w:szCs w:val="24"/>
        </w:rPr>
        <w:t>, and so, we’re at risk of breaching the OHSA prohibitions on discrimination also.</w:t>
      </w:r>
    </w:p>
    <w:p w14:paraId="34D4FB72" w14:textId="0E56424A" w:rsidR="00BF74FE" w:rsidRPr="00BF74FE" w:rsidRDefault="00BF74FE" w:rsidP="00705A06">
      <w:pPr>
        <w:pStyle w:val="ListParagraph"/>
        <w:numPr>
          <w:ilvl w:val="0"/>
          <w:numId w:val="10"/>
        </w:numPr>
        <w:spacing w:line="276" w:lineRule="auto"/>
        <w:jc w:val="both"/>
        <w:rPr>
          <w:rFonts w:ascii="Garamond" w:hAnsi="Garamond"/>
          <w:b/>
          <w:bCs/>
          <w:sz w:val="24"/>
          <w:szCs w:val="24"/>
        </w:rPr>
      </w:pPr>
      <w:r w:rsidRPr="00BF74FE">
        <w:rPr>
          <w:rFonts w:ascii="Garamond" w:hAnsi="Garamond"/>
          <w:b/>
          <w:bCs/>
          <w:sz w:val="24"/>
          <w:szCs w:val="24"/>
        </w:rPr>
        <w:t>Conclusion</w:t>
      </w:r>
    </w:p>
    <w:p w14:paraId="767B3FAF" w14:textId="5EE4578F" w:rsidR="00705A06" w:rsidRDefault="00BF74FE" w:rsidP="00705A06">
      <w:pPr>
        <w:spacing w:line="276" w:lineRule="auto"/>
        <w:jc w:val="both"/>
        <w:rPr>
          <w:rFonts w:ascii="Garamond" w:hAnsi="Garamond"/>
          <w:sz w:val="24"/>
          <w:szCs w:val="24"/>
        </w:rPr>
      </w:pPr>
      <w:r>
        <w:rPr>
          <w:rFonts w:ascii="Garamond" w:hAnsi="Garamond"/>
          <w:sz w:val="24"/>
          <w:szCs w:val="24"/>
        </w:rPr>
        <w:t>As we said at the outset of this letter, our purpose here is to give you some insight into our position. We are confused and frustrated. The Media Release</w:t>
      </w:r>
      <w:r w:rsidR="00A876AC">
        <w:rPr>
          <w:rFonts w:ascii="Garamond" w:hAnsi="Garamond"/>
          <w:sz w:val="24"/>
          <w:szCs w:val="24"/>
        </w:rPr>
        <w:t xml:space="preserve">, along with the Mandatory Vaccination </w:t>
      </w:r>
      <w:r w:rsidR="00A876AC">
        <w:rPr>
          <w:rFonts w:ascii="Garamond" w:hAnsi="Garamond"/>
          <w:sz w:val="24"/>
          <w:szCs w:val="24"/>
        </w:rPr>
        <w:lastRenderedPageBreak/>
        <w:t>Direction</w:t>
      </w:r>
      <w:r>
        <w:rPr>
          <w:rFonts w:ascii="Garamond" w:hAnsi="Garamond"/>
          <w:sz w:val="24"/>
          <w:szCs w:val="24"/>
        </w:rPr>
        <w:t xml:space="preserve">, which seems to have no basis in law, puts us in the </w:t>
      </w:r>
      <w:r w:rsidR="00705A06">
        <w:rPr>
          <w:rFonts w:ascii="Garamond" w:hAnsi="Garamond"/>
          <w:sz w:val="24"/>
          <w:szCs w:val="24"/>
        </w:rPr>
        <w:t>inappropriate</w:t>
      </w:r>
      <w:r>
        <w:rPr>
          <w:rFonts w:ascii="Garamond" w:hAnsi="Garamond"/>
          <w:sz w:val="24"/>
          <w:szCs w:val="24"/>
        </w:rPr>
        <w:t xml:space="preserve"> position of both Government proxy and medical advisor</w:t>
      </w:r>
      <w:r w:rsidR="00705A06">
        <w:rPr>
          <w:rFonts w:ascii="Garamond" w:hAnsi="Garamond"/>
          <w:sz w:val="24"/>
          <w:szCs w:val="24"/>
        </w:rPr>
        <w:t>, neither of which we are qualified nor willing to embody</w:t>
      </w:r>
      <w:r>
        <w:rPr>
          <w:rFonts w:ascii="Garamond" w:hAnsi="Garamond"/>
          <w:sz w:val="24"/>
          <w:szCs w:val="24"/>
        </w:rPr>
        <w:t xml:space="preserve">. </w:t>
      </w:r>
    </w:p>
    <w:p w14:paraId="38736E67" w14:textId="5A481EAF" w:rsidR="00BF74FE" w:rsidRDefault="00BF74FE" w:rsidP="00705A06">
      <w:pPr>
        <w:spacing w:line="276" w:lineRule="auto"/>
        <w:jc w:val="both"/>
        <w:rPr>
          <w:rFonts w:ascii="Garamond" w:hAnsi="Garamond"/>
          <w:sz w:val="24"/>
          <w:szCs w:val="24"/>
        </w:rPr>
      </w:pPr>
      <w:r>
        <w:rPr>
          <w:rFonts w:ascii="Garamond" w:hAnsi="Garamond"/>
          <w:sz w:val="24"/>
          <w:szCs w:val="24"/>
        </w:rPr>
        <w:t xml:space="preserve">Our employees are confused and frustrated, too. It is they who have brought to our attention many of the potential liabilities we have expressed in this letter. In short, if we are to comply with your Media Release and the </w:t>
      </w:r>
      <w:r w:rsidR="00A876AC">
        <w:rPr>
          <w:rFonts w:ascii="Garamond" w:hAnsi="Garamond"/>
          <w:sz w:val="24"/>
          <w:szCs w:val="24"/>
        </w:rPr>
        <w:t xml:space="preserve">Mandatory </w:t>
      </w:r>
      <w:r>
        <w:rPr>
          <w:rFonts w:ascii="Garamond" w:hAnsi="Garamond"/>
          <w:sz w:val="24"/>
          <w:szCs w:val="24"/>
        </w:rPr>
        <w:t>Vaccination Direction, which are themselves inconsistent with both the BSA and the PHW Act, we are likely to ourselves be in breach of workplace law, discrimination law, privacy law as well as the general principle of natural justice.</w:t>
      </w:r>
    </w:p>
    <w:p w14:paraId="449C03A0" w14:textId="77777777" w:rsidR="00BF74FE" w:rsidRDefault="00BF74FE" w:rsidP="00705A06">
      <w:pPr>
        <w:spacing w:line="276" w:lineRule="auto"/>
        <w:jc w:val="both"/>
        <w:rPr>
          <w:rFonts w:ascii="Garamond" w:hAnsi="Garamond"/>
          <w:sz w:val="24"/>
          <w:szCs w:val="24"/>
        </w:rPr>
      </w:pPr>
      <w:r>
        <w:rPr>
          <w:rFonts w:ascii="Garamond" w:hAnsi="Garamond"/>
          <w:sz w:val="24"/>
          <w:szCs w:val="24"/>
        </w:rPr>
        <w:t>We refuse to be placed in such a position.</w:t>
      </w:r>
    </w:p>
    <w:p w14:paraId="26C9F06E" w14:textId="1690CA15" w:rsidR="00705A06" w:rsidRDefault="00BF74FE" w:rsidP="00705A06">
      <w:pPr>
        <w:spacing w:line="276" w:lineRule="auto"/>
        <w:jc w:val="both"/>
        <w:rPr>
          <w:rFonts w:ascii="Garamond" w:hAnsi="Garamond"/>
          <w:sz w:val="24"/>
          <w:szCs w:val="24"/>
        </w:rPr>
      </w:pPr>
      <w:r>
        <w:rPr>
          <w:rFonts w:ascii="Garamond" w:hAnsi="Garamond"/>
          <w:sz w:val="24"/>
          <w:szCs w:val="24"/>
        </w:rPr>
        <w:t xml:space="preserve">We </w:t>
      </w:r>
      <w:r w:rsidR="00705A06">
        <w:rPr>
          <w:rFonts w:ascii="Garamond" w:hAnsi="Garamond"/>
          <w:sz w:val="24"/>
          <w:szCs w:val="24"/>
        </w:rPr>
        <w:t>implore you to withdraw your Media Release</w:t>
      </w:r>
      <w:r w:rsidR="00A876AC">
        <w:rPr>
          <w:rFonts w:ascii="Garamond" w:hAnsi="Garamond"/>
          <w:sz w:val="24"/>
          <w:szCs w:val="24"/>
        </w:rPr>
        <w:t xml:space="preserve"> and Mandatory Vaccination Direction</w:t>
      </w:r>
      <w:r w:rsidR="00705A06">
        <w:rPr>
          <w:rFonts w:ascii="Garamond" w:hAnsi="Garamond"/>
          <w:sz w:val="24"/>
          <w:szCs w:val="24"/>
        </w:rPr>
        <w:t xml:space="preserve"> immediately. Clarify that it does not constitute law. Remove from employers and their staff the misleading and unlawful pressure to undergo vaccination in circumstances where such pressure will only lead to legal and economic chaos. </w:t>
      </w:r>
    </w:p>
    <w:p w14:paraId="2EF2D40D" w14:textId="079CC433" w:rsidR="00BF74FE" w:rsidRDefault="00705A06" w:rsidP="00705A06">
      <w:pPr>
        <w:spacing w:line="276" w:lineRule="auto"/>
        <w:jc w:val="both"/>
        <w:rPr>
          <w:rFonts w:ascii="Garamond" w:hAnsi="Garamond"/>
          <w:sz w:val="24"/>
          <w:szCs w:val="24"/>
        </w:rPr>
      </w:pPr>
      <w:r>
        <w:rPr>
          <w:rFonts w:ascii="Garamond" w:hAnsi="Garamond"/>
          <w:sz w:val="24"/>
          <w:szCs w:val="24"/>
        </w:rPr>
        <w:t>Instead of using force, which implies a lack of trust in the people of Victoria, place your faith in the people of this state, that they may make the decision which they, as free citizens in a free democracy, deem prudent; without the strong hand of the Premier hanging over them.</w:t>
      </w:r>
    </w:p>
    <w:p w14:paraId="769295A7" w14:textId="452D2CE5" w:rsidR="00705A06" w:rsidRDefault="00705A06" w:rsidP="00705A06">
      <w:pPr>
        <w:spacing w:line="276" w:lineRule="auto"/>
        <w:jc w:val="both"/>
        <w:rPr>
          <w:rFonts w:ascii="Garamond" w:hAnsi="Garamond"/>
          <w:sz w:val="24"/>
          <w:szCs w:val="24"/>
        </w:rPr>
      </w:pPr>
      <w:r>
        <w:rPr>
          <w:rFonts w:ascii="Garamond" w:hAnsi="Garamond"/>
          <w:sz w:val="24"/>
          <w:szCs w:val="24"/>
        </w:rPr>
        <w:t>Yours Sincerely,</w:t>
      </w:r>
    </w:p>
    <w:p w14:paraId="712038B6" w14:textId="581690E0" w:rsidR="00705A06" w:rsidRDefault="00705A06" w:rsidP="00705A06">
      <w:pPr>
        <w:spacing w:line="276" w:lineRule="auto"/>
        <w:jc w:val="both"/>
        <w:rPr>
          <w:rFonts w:ascii="Garamond" w:hAnsi="Garamond"/>
          <w:sz w:val="24"/>
          <w:szCs w:val="24"/>
        </w:rPr>
      </w:pPr>
      <w:r w:rsidRPr="00705A06">
        <w:rPr>
          <w:rFonts w:ascii="Garamond" w:hAnsi="Garamond"/>
          <w:sz w:val="24"/>
          <w:szCs w:val="24"/>
          <w:highlight w:val="yellow"/>
        </w:rPr>
        <w:t>NAME</w:t>
      </w:r>
      <w:r w:rsidRPr="00705A06">
        <w:rPr>
          <w:rFonts w:ascii="Garamond" w:hAnsi="Garamond"/>
          <w:sz w:val="24"/>
          <w:szCs w:val="24"/>
          <w:highlight w:val="yellow"/>
        </w:rPr>
        <w:br/>
        <w:t>POSITION</w:t>
      </w:r>
    </w:p>
    <w:p w14:paraId="2168C636" w14:textId="77777777" w:rsidR="00A3360E" w:rsidRPr="00A3360E" w:rsidRDefault="00A3360E" w:rsidP="001C41E5">
      <w:pPr>
        <w:jc w:val="both"/>
        <w:rPr>
          <w:rFonts w:ascii="Garamond" w:hAnsi="Garamond"/>
          <w:sz w:val="24"/>
          <w:szCs w:val="24"/>
        </w:rPr>
      </w:pPr>
    </w:p>
    <w:p w14:paraId="73FE9EE6" w14:textId="2475DF57" w:rsidR="006E4B53" w:rsidRPr="0031225A" w:rsidRDefault="006E4B53" w:rsidP="0031225A">
      <w:pPr>
        <w:rPr>
          <w:rFonts w:ascii="Garamond" w:hAnsi="Garamond"/>
          <w:b/>
          <w:bCs/>
          <w:sz w:val="24"/>
          <w:szCs w:val="24"/>
        </w:rPr>
      </w:pPr>
    </w:p>
    <w:sectPr w:rsidR="006E4B53" w:rsidRPr="003122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44C" w14:textId="77777777" w:rsidR="00C67F40" w:rsidRDefault="00C67F40" w:rsidP="004F136C">
      <w:pPr>
        <w:spacing w:after="0" w:line="240" w:lineRule="auto"/>
      </w:pPr>
      <w:r>
        <w:separator/>
      </w:r>
    </w:p>
  </w:endnote>
  <w:endnote w:type="continuationSeparator" w:id="0">
    <w:p w14:paraId="2CB509AD" w14:textId="77777777" w:rsidR="00C67F40" w:rsidRDefault="00C67F40" w:rsidP="004F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86492"/>
      <w:docPartObj>
        <w:docPartGallery w:val="Page Numbers (Bottom of Page)"/>
        <w:docPartUnique/>
      </w:docPartObj>
    </w:sdtPr>
    <w:sdtEndPr>
      <w:rPr>
        <w:noProof/>
      </w:rPr>
    </w:sdtEndPr>
    <w:sdtContent>
      <w:p w14:paraId="0D0E498D" w14:textId="40F46375" w:rsidR="00BF74FE" w:rsidRDefault="00BF7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A28A" w14:textId="77777777" w:rsidR="00BF74FE" w:rsidRDefault="00BF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657A" w14:textId="77777777" w:rsidR="00C67F40" w:rsidRDefault="00C67F40" w:rsidP="004F136C">
      <w:pPr>
        <w:spacing w:after="0" w:line="240" w:lineRule="auto"/>
      </w:pPr>
      <w:r>
        <w:separator/>
      </w:r>
    </w:p>
  </w:footnote>
  <w:footnote w:type="continuationSeparator" w:id="0">
    <w:p w14:paraId="0C6ADBF2" w14:textId="77777777" w:rsidR="00C67F40" w:rsidRDefault="00C67F40" w:rsidP="004F136C">
      <w:pPr>
        <w:spacing w:after="0" w:line="240" w:lineRule="auto"/>
      </w:pPr>
      <w:r>
        <w:continuationSeparator/>
      </w:r>
    </w:p>
  </w:footnote>
  <w:footnote w:id="1">
    <w:p w14:paraId="6372939E" w14:textId="77777777" w:rsidR="00BF74FE" w:rsidRPr="008635ED" w:rsidRDefault="00BF74FE" w:rsidP="0081456D">
      <w:pPr>
        <w:pStyle w:val="FootnoteText"/>
        <w:rPr>
          <w:lang w:val="en-US"/>
        </w:rPr>
      </w:pPr>
      <w:r>
        <w:rPr>
          <w:rStyle w:val="FootnoteReference"/>
        </w:rPr>
        <w:footnoteRef/>
      </w:r>
      <w:r>
        <w:t xml:space="preserve"> </w:t>
      </w:r>
      <w:r w:rsidRPr="0081456D">
        <w:rPr>
          <w:i/>
          <w:iCs/>
        </w:rPr>
        <w:t>Public Health and Wellbeing Act 2008 (Vic)</w:t>
      </w:r>
      <w:r>
        <w:t>, s198(7)(c).</w:t>
      </w:r>
    </w:p>
  </w:footnote>
  <w:footnote w:id="2">
    <w:p w14:paraId="37A9A609" w14:textId="6004285D" w:rsidR="00BF74FE" w:rsidRPr="003A5F97" w:rsidRDefault="00BF74FE">
      <w:pPr>
        <w:pStyle w:val="FootnoteText"/>
        <w:rPr>
          <w:i/>
          <w:iCs/>
          <w:lang w:val="en-US"/>
        </w:rPr>
      </w:pPr>
      <w:r>
        <w:rPr>
          <w:rStyle w:val="FootnoteReference"/>
        </w:rPr>
        <w:footnoteRef/>
      </w:r>
      <w:r>
        <w:t xml:space="preserve"> </w:t>
      </w:r>
      <w:r>
        <w:rPr>
          <w:i/>
          <w:iCs/>
          <w:lang w:val="en-US"/>
        </w:rPr>
        <w:t xml:space="preserve">Public Health and Wellbeing Act 2008 EXTENSION OF DECLARATION OF A STATE OF EMERGENCY (Section 198(7)(c)) at </w:t>
      </w:r>
      <w:hyperlink r:id="rId1" w:history="1">
        <w:r w:rsidRPr="009540F1">
          <w:rPr>
            <w:rStyle w:val="Hyperlink"/>
            <w:i/>
            <w:iCs/>
            <w:lang w:val="en-US"/>
          </w:rPr>
          <w:t>https://www.dhhs.vic.gov.au/sites/default/files/documents/202109/state-of-emergency-extension-23-september-2021.pdf</w:t>
        </w:r>
      </w:hyperlink>
      <w:r>
        <w:rPr>
          <w:i/>
          <w:iCs/>
          <w:lang w:val="en-US"/>
        </w:rPr>
        <w:t xml:space="preserve"> </w:t>
      </w:r>
    </w:p>
  </w:footnote>
  <w:footnote w:id="3">
    <w:p w14:paraId="2D5E63CD" w14:textId="26210133" w:rsidR="00BF74FE" w:rsidRPr="00A833B6" w:rsidRDefault="00BF74FE">
      <w:pPr>
        <w:pStyle w:val="FootnoteText"/>
        <w:rPr>
          <w:lang w:val="en-US"/>
        </w:rPr>
      </w:pPr>
      <w:r>
        <w:rPr>
          <w:rStyle w:val="FootnoteReference"/>
        </w:rPr>
        <w:footnoteRef/>
      </w:r>
      <w:r>
        <w:t xml:space="preserve"> </w:t>
      </w:r>
      <w:r w:rsidRPr="0081456D">
        <w:rPr>
          <w:i/>
          <w:iCs/>
        </w:rPr>
        <w:t>Covid-19 Mandatory Vaccination Directions (No 5)</w:t>
      </w:r>
      <w:r>
        <w:t>, s1(1).</w:t>
      </w:r>
    </w:p>
  </w:footnote>
  <w:footnote w:id="4">
    <w:p w14:paraId="5CD9CEBA" w14:textId="4C213E9F" w:rsidR="00BF74FE" w:rsidRPr="00854356" w:rsidRDefault="00BF74FE">
      <w:pPr>
        <w:pStyle w:val="FootnoteText"/>
        <w:rPr>
          <w:lang w:val="en-US"/>
        </w:rPr>
      </w:pPr>
      <w:r>
        <w:rPr>
          <w:rStyle w:val="FootnoteReference"/>
        </w:rPr>
        <w:footnoteRef/>
      </w:r>
      <w:r>
        <w:t xml:space="preserve"> </w:t>
      </w:r>
      <w:r w:rsidRPr="0081456D">
        <w:rPr>
          <w:i/>
          <w:iCs/>
        </w:rPr>
        <w:t>Covid-19 Mandatory Vaccination Directions (No 5)</w:t>
      </w:r>
      <w:r>
        <w:t>, s1(2)-(3).</w:t>
      </w:r>
    </w:p>
  </w:footnote>
  <w:footnote w:id="5">
    <w:p w14:paraId="027C04C7" w14:textId="4E24FB78" w:rsidR="00BF74FE" w:rsidRPr="00854356" w:rsidRDefault="00BF74FE">
      <w:pPr>
        <w:pStyle w:val="FootnoteText"/>
        <w:rPr>
          <w:lang w:val="en-US"/>
        </w:rPr>
      </w:pPr>
      <w:r>
        <w:rPr>
          <w:rStyle w:val="FootnoteReference"/>
        </w:rPr>
        <w:footnoteRef/>
      </w:r>
      <w:r>
        <w:t xml:space="preserve"> </w:t>
      </w:r>
      <w:r w:rsidRPr="0081456D">
        <w:rPr>
          <w:i/>
          <w:iCs/>
        </w:rPr>
        <w:t>Covid-19 Mandatory Vaccination Directions (No 5)</w:t>
      </w:r>
      <w:r>
        <w:t>, s3(1).</w:t>
      </w:r>
    </w:p>
  </w:footnote>
  <w:footnote w:id="6">
    <w:p w14:paraId="6BB80C71" w14:textId="27B9E7F5" w:rsidR="00BF74FE" w:rsidRPr="003A5F97" w:rsidRDefault="00BF74FE">
      <w:pPr>
        <w:pStyle w:val="FootnoteText"/>
        <w:rPr>
          <w:lang w:val="en-US"/>
        </w:rPr>
      </w:pPr>
      <w:r>
        <w:rPr>
          <w:rStyle w:val="FootnoteReference"/>
        </w:rPr>
        <w:footnoteRef/>
      </w:r>
      <w:r>
        <w:t xml:space="preserve"> </w:t>
      </w:r>
      <w:r>
        <w:rPr>
          <w:i/>
          <w:iCs/>
          <w:lang w:val="en-US"/>
        </w:rPr>
        <w:t xml:space="preserve">Public Health and Wellbeing Act 2008 EXTENSION OF DECLARATION OF A STATE OF EMERGENCY (Section 198(7)(c)) at </w:t>
      </w:r>
      <w:hyperlink r:id="rId2" w:history="1">
        <w:r w:rsidRPr="009540F1">
          <w:rPr>
            <w:rStyle w:val="Hyperlink"/>
            <w:i/>
            <w:iCs/>
            <w:lang w:val="en-US"/>
          </w:rPr>
          <w:t>https://www.dhhs.vic.gov.au/sites/default/files/documents/202109/state-of-emergency-extension-23-september-2021.pdf</w:t>
        </w:r>
      </w:hyperlink>
    </w:p>
  </w:footnote>
  <w:footnote w:id="7">
    <w:p w14:paraId="25620240" w14:textId="4319D32C" w:rsidR="00BF74FE" w:rsidRPr="00A65B3C" w:rsidRDefault="00BF74FE">
      <w:pPr>
        <w:pStyle w:val="FootnoteText"/>
        <w:rPr>
          <w:lang w:val="en-US"/>
        </w:rPr>
      </w:pPr>
      <w:r>
        <w:rPr>
          <w:rStyle w:val="FootnoteReference"/>
        </w:rPr>
        <w:footnoteRef/>
      </w:r>
      <w:r>
        <w:t xml:space="preserve"> </w:t>
      </w:r>
      <w:r>
        <w:rPr>
          <w:i/>
          <w:iCs/>
        </w:rPr>
        <w:t xml:space="preserve">Consultation and Cooperation in the Workplace, </w:t>
      </w:r>
      <w:r>
        <w:rPr>
          <w:lang w:val="en-US"/>
        </w:rPr>
        <w:t xml:space="preserve">Fair Work Australia, </w:t>
      </w:r>
      <w:hyperlink r:id="rId3"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63948410" w14:textId="3D42EA81" w:rsidR="00BF74FE" w:rsidRPr="00D57B68" w:rsidRDefault="00BF74FE">
      <w:pPr>
        <w:pStyle w:val="FootnoteText"/>
        <w:rPr>
          <w:rFonts w:cstheme="minorHAnsi"/>
          <w:lang w:val="en-US"/>
        </w:rPr>
      </w:pPr>
      <w:r>
        <w:rPr>
          <w:rStyle w:val="FootnoteReference"/>
        </w:rPr>
        <w:footnoteRef/>
      </w:r>
      <w:r>
        <w:t xml:space="preserve"> </w:t>
      </w:r>
      <w:r w:rsidRPr="00D57B68">
        <w:rPr>
          <w:rFonts w:cstheme="minorHAnsi"/>
          <w:i/>
          <w:iCs/>
        </w:rPr>
        <w:t xml:space="preserve">Occupational Health and Safety Act 2004 (Vic) </w:t>
      </w:r>
      <w:r w:rsidRPr="00D57B68">
        <w:rPr>
          <w:rFonts w:cstheme="minorHAnsi"/>
        </w:rPr>
        <w:t>s35(1).</w:t>
      </w:r>
    </w:p>
  </w:footnote>
  <w:footnote w:id="9">
    <w:p w14:paraId="0257A99F" w14:textId="22269586" w:rsidR="00BF74FE" w:rsidRPr="00A65B3C" w:rsidRDefault="00BF74FE">
      <w:pPr>
        <w:pStyle w:val="FootnoteText"/>
        <w:rPr>
          <w:lang w:val="en-US"/>
        </w:rPr>
      </w:pPr>
      <w:r>
        <w:rPr>
          <w:rStyle w:val="FootnoteReference"/>
        </w:rPr>
        <w:footnoteRef/>
      </w:r>
      <w:r>
        <w:t xml:space="preserve"> </w:t>
      </w:r>
      <w:r w:rsidRPr="00D57B68">
        <w:rPr>
          <w:rFonts w:cstheme="minorHAnsi"/>
          <w:i/>
          <w:iCs/>
        </w:rPr>
        <w:t xml:space="preserve">Occupational Health and Safety Act 2004 (Vic) </w:t>
      </w:r>
      <w:r w:rsidRPr="00D57B68">
        <w:rPr>
          <w:rFonts w:cstheme="minorHAnsi"/>
        </w:rPr>
        <w:t>s35(3).</w:t>
      </w:r>
    </w:p>
  </w:footnote>
  <w:footnote w:id="10">
    <w:p w14:paraId="662769F3" w14:textId="48952983" w:rsidR="00BF74FE" w:rsidRPr="00C37D25" w:rsidRDefault="00BF74FE">
      <w:pPr>
        <w:pStyle w:val="FootnoteText"/>
        <w:rPr>
          <w:lang w:val="en-US"/>
        </w:rPr>
      </w:pPr>
      <w:r>
        <w:rPr>
          <w:rStyle w:val="FootnoteReference"/>
        </w:rPr>
        <w:footnoteRef/>
      </w:r>
      <w:r>
        <w:t xml:space="preserve"> </w:t>
      </w:r>
      <w:r>
        <w:rPr>
          <w:lang w:val="en-US"/>
        </w:rPr>
        <w:t>Breaching the duty to consult in s35 attracts a penalty of 900 penalty units, being $163,566</w:t>
      </w:r>
    </w:p>
  </w:footnote>
  <w:footnote w:id="11">
    <w:p w14:paraId="51EE6615" w14:textId="65B52529" w:rsidR="00BF74FE" w:rsidRPr="009A2820" w:rsidRDefault="00BF74FE">
      <w:pPr>
        <w:pStyle w:val="FootnoteText"/>
        <w:rPr>
          <w:lang w:val="en-US"/>
        </w:rPr>
      </w:pPr>
      <w:r>
        <w:rPr>
          <w:rStyle w:val="FootnoteReference"/>
        </w:rPr>
        <w:footnoteRef/>
      </w:r>
      <w:r>
        <w:t xml:space="preserve"> </w:t>
      </w:r>
      <w:r>
        <w:rPr>
          <w:lang w:val="en-US"/>
        </w:rPr>
        <w:t>[2017] FCAFC 42 at 87- 88.</w:t>
      </w:r>
    </w:p>
  </w:footnote>
  <w:footnote w:id="12">
    <w:p w14:paraId="3241FABE" w14:textId="2760FF0C" w:rsidR="00BF74FE" w:rsidRPr="0007708E" w:rsidRDefault="00BF74FE">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(2009) 239 CLR [47] (Hayne, Heydon, Crennan and Kiefel JJ).</w:t>
      </w:r>
    </w:p>
  </w:footnote>
  <w:footnote w:id="13">
    <w:p w14:paraId="031A3796" w14:textId="293A27DA" w:rsidR="00BF74FE" w:rsidRPr="0007708E" w:rsidRDefault="00BF74FE">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(Gummow ACJ, Kirby, Hayne, Crennan and Kiefell JJ).</w:t>
      </w:r>
    </w:p>
  </w:footnote>
  <w:footnote w:id="14">
    <w:p w14:paraId="1BDA0191" w14:textId="6426B132" w:rsidR="00BF74FE" w:rsidRPr="002153E3" w:rsidRDefault="00BF74FE">
      <w:pPr>
        <w:pStyle w:val="FootnoteText"/>
        <w:rPr>
          <w:lang w:val="en-US"/>
        </w:rPr>
      </w:pPr>
      <w:r>
        <w:rPr>
          <w:rStyle w:val="FootnoteReference"/>
        </w:rPr>
        <w:footnoteRef/>
      </w:r>
      <w:r>
        <w:t xml:space="preserve"> </w:t>
      </w:r>
      <w:r>
        <w:rPr>
          <w:i/>
          <w:iCs/>
          <w:lang w:val="en-US"/>
        </w:rPr>
        <w:t>Public Health and Wellbeing Act 2008.</w:t>
      </w:r>
    </w:p>
  </w:footnote>
  <w:footnote w:id="15">
    <w:p w14:paraId="2265B4D2" w14:textId="1ABB9DC0" w:rsidR="00BF74FE" w:rsidRPr="004C21FC" w:rsidRDefault="00BF74FE">
      <w:pPr>
        <w:pStyle w:val="FootnoteText"/>
        <w:rPr>
          <w:i/>
          <w:iCs/>
          <w:lang w:val="en-US"/>
        </w:rPr>
      </w:pPr>
      <w:r>
        <w:rPr>
          <w:rStyle w:val="FootnoteReference"/>
        </w:rPr>
        <w:footnoteRef/>
      </w:r>
      <w:r>
        <w:t xml:space="preserve"> </w:t>
      </w:r>
      <w:r>
        <w:rPr>
          <w:i/>
          <w:iCs/>
        </w:rPr>
        <w:t>Public Health and Wellbeing Act 2008 (Vic) s111</w:t>
      </w:r>
    </w:p>
  </w:footnote>
  <w:footnote w:id="16">
    <w:p w14:paraId="1835AEAD" w14:textId="4EC524F2" w:rsidR="00BF74FE" w:rsidRPr="004C21FC" w:rsidRDefault="00BF74FE">
      <w:pPr>
        <w:pStyle w:val="FootnoteText"/>
        <w:rPr>
          <w:lang w:val="en-US"/>
        </w:rPr>
      </w:pPr>
      <w:r>
        <w:rPr>
          <w:rStyle w:val="FootnoteReference"/>
        </w:rPr>
        <w:footnoteRef/>
      </w:r>
      <w:r>
        <w:t xml:space="preserve"> </w:t>
      </w:r>
      <w:r w:rsidRPr="00774EFC">
        <w:rPr>
          <w:i/>
          <w:iCs/>
          <w:lang w:val="en-US"/>
        </w:rPr>
        <w:t>Public Health and Wellbeing Act 2008</w:t>
      </w:r>
      <w:r>
        <w:rPr>
          <w:lang w:val="en-US"/>
        </w:rPr>
        <w:t xml:space="preserve"> (Vic), s9</w:t>
      </w:r>
    </w:p>
  </w:footnote>
  <w:footnote w:id="17">
    <w:p w14:paraId="4D28FD68" w14:textId="6F2B4641" w:rsidR="00BF74FE" w:rsidRPr="004C21FC" w:rsidRDefault="00BF74FE">
      <w:pPr>
        <w:pStyle w:val="FootnoteText"/>
        <w:rPr>
          <w:lang w:val="en-US"/>
        </w:rPr>
      </w:pPr>
      <w:r>
        <w:rPr>
          <w:rStyle w:val="FootnoteReference"/>
        </w:rPr>
        <w:footnoteRef/>
      </w:r>
      <w:r>
        <w:t xml:space="preserve"> </w:t>
      </w:r>
      <w:r w:rsidRPr="00774EFC">
        <w:rPr>
          <w:i/>
          <w:iCs/>
          <w:lang w:val="en-US"/>
        </w:rPr>
        <w:t>Public Health and Wellbeing Act 2008</w:t>
      </w:r>
      <w:r>
        <w:rPr>
          <w:lang w:val="en-US"/>
        </w:rPr>
        <w:t xml:space="preserve"> (Vic), s8</w:t>
      </w:r>
    </w:p>
  </w:footnote>
  <w:footnote w:id="18">
    <w:p w14:paraId="5C048D50" w14:textId="6B9BBB2E" w:rsidR="00BF74FE" w:rsidRPr="00BF74FE" w:rsidRDefault="00BF74FE">
      <w:pPr>
        <w:pStyle w:val="FootnoteText"/>
        <w:rPr>
          <w:lang w:val="en-US"/>
        </w:rPr>
      </w:pPr>
      <w:r>
        <w:rPr>
          <w:rStyle w:val="FootnoteReference"/>
        </w:rPr>
        <w:footnoteRef/>
      </w:r>
      <w:r>
        <w:t xml:space="preserve"> </w:t>
      </w:r>
      <w:r>
        <w:rPr>
          <w:i/>
          <w:iCs/>
          <w:lang w:val="en-US"/>
        </w:rPr>
        <w:t xml:space="preserve">Disability Discrimination Act 1992 </w:t>
      </w:r>
      <w:r>
        <w:rPr>
          <w:lang w:val="en-US"/>
        </w:rPr>
        <w:t>(Cth), s4</w:t>
      </w:r>
    </w:p>
  </w:footnote>
  <w:footnote w:id="19">
    <w:p w14:paraId="1418AADC" w14:textId="41CB5DFA" w:rsidR="00BF74FE" w:rsidRPr="00BF74FE" w:rsidRDefault="00BF74FE">
      <w:pPr>
        <w:pStyle w:val="FootnoteText"/>
        <w:rPr>
          <w:lang w:val="en-US"/>
        </w:rPr>
      </w:pPr>
      <w:r>
        <w:rPr>
          <w:rStyle w:val="FootnoteReference"/>
        </w:rPr>
        <w:footnoteRef/>
      </w:r>
      <w:r>
        <w:t xml:space="preserve"> </w:t>
      </w:r>
      <w:r w:rsidRPr="00BF74FE">
        <w:t>Occupational Health and Safety Act 2004 (Vic)</w:t>
      </w:r>
      <w:r>
        <w:t xml:space="preserve"> s76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C2" w14:textId="0CEA8316" w:rsidR="00BF74FE" w:rsidRDefault="00BF74FE" w:rsidP="00DD7DA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283A6F0D" w14:textId="77777777" w:rsidR="00BF74FE" w:rsidRDefault="00BF74FE" w:rsidP="00DD7DA9">
    <w:pPr>
      <w:pStyle w:val="NormalWeb"/>
      <w:spacing w:before="0" w:beforeAutospacing="0" w:after="0" w:afterAutospacing="0"/>
      <w:jc w:val="both"/>
      <w:rPr>
        <w:rFonts w:ascii="Helvetica Neue" w:hAnsi="Helvetica Neue"/>
        <w:b/>
        <w:bCs/>
        <w:sz w:val="21"/>
        <w:szCs w:val="21"/>
      </w:rPr>
    </w:pPr>
  </w:p>
  <w:p w14:paraId="64C2FE85" w14:textId="452DF8C7" w:rsidR="00BF74FE" w:rsidRPr="00654DBB" w:rsidRDefault="00BF74FE" w:rsidP="00DD7DA9">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18CE993" w14:textId="77777777" w:rsidR="00BF74FE" w:rsidRDefault="00BF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8E"/>
    <w:multiLevelType w:val="hybridMultilevel"/>
    <w:tmpl w:val="1B52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E502B"/>
    <w:multiLevelType w:val="hybridMultilevel"/>
    <w:tmpl w:val="82A8D7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42E5BB6"/>
    <w:multiLevelType w:val="hybridMultilevel"/>
    <w:tmpl w:val="948C21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20353"/>
    <w:multiLevelType w:val="hybridMultilevel"/>
    <w:tmpl w:val="EA56A4B4"/>
    <w:lvl w:ilvl="0" w:tplc="0F629FCC">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25317"/>
    <w:multiLevelType w:val="hybridMultilevel"/>
    <w:tmpl w:val="B5C6DD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015056"/>
    <w:multiLevelType w:val="hybridMultilevel"/>
    <w:tmpl w:val="D7A699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7FC7BAE"/>
    <w:multiLevelType w:val="hybridMultilevel"/>
    <w:tmpl w:val="EC04D6FC"/>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019E6"/>
    <w:multiLevelType w:val="hybridMultilevel"/>
    <w:tmpl w:val="0B0052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14E0CFD"/>
    <w:multiLevelType w:val="hybridMultilevel"/>
    <w:tmpl w:val="069A9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F6140C"/>
    <w:multiLevelType w:val="hybridMultilevel"/>
    <w:tmpl w:val="88605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FD52C8"/>
    <w:multiLevelType w:val="hybridMultilevel"/>
    <w:tmpl w:val="F60E3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177687"/>
    <w:multiLevelType w:val="hybridMultilevel"/>
    <w:tmpl w:val="DB029050"/>
    <w:lvl w:ilvl="0" w:tplc="0F629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254F4E"/>
    <w:multiLevelType w:val="hybridMultilevel"/>
    <w:tmpl w:val="479ED1C6"/>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5"/>
  </w:num>
  <w:num w:numId="5">
    <w:abstractNumId w:val="16"/>
  </w:num>
  <w:num w:numId="6">
    <w:abstractNumId w:val="1"/>
  </w:num>
  <w:num w:numId="7">
    <w:abstractNumId w:val="6"/>
  </w:num>
  <w:num w:numId="8">
    <w:abstractNumId w:val="12"/>
  </w:num>
  <w:num w:numId="9">
    <w:abstractNumId w:val="14"/>
  </w:num>
  <w:num w:numId="10">
    <w:abstractNumId w:val="10"/>
  </w:num>
  <w:num w:numId="11">
    <w:abstractNumId w:val="0"/>
  </w:num>
  <w:num w:numId="12">
    <w:abstractNumId w:val="2"/>
  </w:num>
  <w:num w:numId="13">
    <w:abstractNumId w:val="4"/>
  </w:num>
  <w:num w:numId="14">
    <w:abstractNumId w:val="13"/>
  </w:num>
  <w:num w:numId="15">
    <w:abstractNumId w:val="8"/>
  </w:num>
  <w:num w:numId="16">
    <w:abstractNumId w:val="9"/>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3"/>
    <w:rsid w:val="0000004E"/>
    <w:rsid w:val="000029B0"/>
    <w:rsid w:val="00002D41"/>
    <w:rsid w:val="00003259"/>
    <w:rsid w:val="00003816"/>
    <w:rsid w:val="00003DF5"/>
    <w:rsid w:val="00005102"/>
    <w:rsid w:val="000068BD"/>
    <w:rsid w:val="00006D26"/>
    <w:rsid w:val="00007010"/>
    <w:rsid w:val="0000773E"/>
    <w:rsid w:val="00013DCA"/>
    <w:rsid w:val="000144AC"/>
    <w:rsid w:val="00016CC6"/>
    <w:rsid w:val="00022B5D"/>
    <w:rsid w:val="00023E7E"/>
    <w:rsid w:val="00030857"/>
    <w:rsid w:val="0003255A"/>
    <w:rsid w:val="00035D77"/>
    <w:rsid w:val="00036C16"/>
    <w:rsid w:val="00040471"/>
    <w:rsid w:val="00042D89"/>
    <w:rsid w:val="000460DB"/>
    <w:rsid w:val="000503B9"/>
    <w:rsid w:val="00052649"/>
    <w:rsid w:val="000538F2"/>
    <w:rsid w:val="00054AEA"/>
    <w:rsid w:val="00054E6C"/>
    <w:rsid w:val="00062FDC"/>
    <w:rsid w:val="0006357D"/>
    <w:rsid w:val="00066336"/>
    <w:rsid w:val="00067434"/>
    <w:rsid w:val="000678C1"/>
    <w:rsid w:val="00074A46"/>
    <w:rsid w:val="0007708E"/>
    <w:rsid w:val="0008065F"/>
    <w:rsid w:val="00081AC9"/>
    <w:rsid w:val="00083C3B"/>
    <w:rsid w:val="000866D4"/>
    <w:rsid w:val="00090EDE"/>
    <w:rsid w:val="000938E5"/>
    <w:rsid w:val="000950FE"/>
    <w:rsid w:val="00095135"/>
    <w:rsid w:val="00095780"/>
    <w:rsid w:val="0009733D"/>
    <w:rsid w:val="000A1FB4"/>
    <w:rsid w:val="000A3A0A"/>
    <w:rsid w:val="000A3B0F"/>
    <w:rsid w:val="000A4100"/>
    <w:rsid w:val="000A4C04"/>
    <w:rsid w:val="000A51CD"/>
    <w:rsid w:val="000A5973"/>
    <w:rsid w:val="000A750D"/>
    <w:rsid w:val="000B4EDA"/>
    <w:rsid w:val="000C0073"/>
    <w:rsid w:val="000C1EC8"/>
    <w:rsid w:val="000C2D1C"/>
    <w:rsid w:val="000D1B32"/>
    <w:rsid w:val="000D353D"/>
    <w:rsid w:val="000D3639"/>
    <w:rsid w:val="000D5186"/>
    <w:rsid w:val="000D616A"/>
    <w:rsid w:val="000D6CD4"/>
    <w:rsid w:val="000E0906"/>
    <w:rsid w:val="000E1510"/>
    <w:rsid w:val="000E2740"/>
    <w:rsid w:val="000E3A9A"/>
    <w:rsid w:val="000F3C85"/>
    <w:rsid w:val="000F62BE"/>
    <w:rsid w:val="000F66F6"/>
    <w:rsid w:val="00101BDA"/>
    <w:rsid w:val="0010289B"/>
    <w:rsid w:val="00103CD4"/>
    <w:rsid w:val="00111684"/>
    <w:rsid w:val="001136FB"/>
    <w:rsid w:val="00114614"/>
    <w:rsid w:val="00116E7C"/>
    <w:rsid w:val="001172DC"/>
    <w:rsid w:val="00121E71"/>
    <w:rsid w:val="00131151"/>
    <w:rsid w:val="0013531F"/>
    <w:rsid w:val="00140D06"/>
    <w:rsid w:val="00141E7F"/>
    <w:rsid w:val="001427F6"/>
    <w:rsid w:val="001451CF"/>
    <w:rsid w:val="001451EB"/>
    <w:rsid w:val="00145E78"/>
    <w:rsid w:val="00146425"/>
    <w:rsid w:val="00152086"/>
    <w:rsid w:val="00152629"/>
    <w:rsid w:val="00152A8F"/>
    <w:rsid w:val="001531BE"/>
    <w:rsid w:val="0015480E"/>
    <w:rsid w:val="00156316"/>
    <w:rsid w:val="00156572"/>
    <w:rsid w:val="00156A8C"/>
    <w:rsid w:val="0015713D"/>
    <w:rsid w:val="00157215"/>
    <w:rsid w:val="00161894"/>
    <w:rsid w:val="001626CA"/>
    <w:rsid w:val="00165AF3"/>
    <w:rsid w:val="00165E77"/>
    <w:rsid w:val="001720D5"/>
    <w:rsid w:val="00173421"/>
    <w:rsid w:val="00175AAB"/>
    <w:rsid w:val="001764AB"/>
    <w:rsid w:val="00177F37"/>
    <w:rsid w:val="001806DB"/>
    <w:rsid w:val="001813E3"/>
    <w:rsid w:val="0018590F"/>
    <w:rsid w:val="001901AE"/>
    <w:rsid w:val="00191A38"/>
    <w:rsid w:val="0019300C"/>
    <w:rsid w:val="001968D1"/>
    <w:rsid w:val="001A00D7"/>
    <w:rsid w:val="001A22D3"/>
    <w:rsid w:val="001B088A"/>
    <w:rsid w:val="001B1772"/>
    <w:rsid w:val="001B4C85"/>
    <w:rsid w:val="001B5931"/>
    <w:rsid w:val="001C33E4"/>
    <w:rsid w:val="001C41E5"/>
    <w:rsid w:val="001D1613"/>
    <w:rsid w:val="001D1BA0"/>
    <w:rsid w:val="001D25E1"/>
    <w:rsid w:val="001D4923"/>
    <w:rsid w:val="001D75D5"/>
    <w:rsid w:val="001D7BBC"/>
    <w:rsid w:val="001E12DA"/>
    <w:rsid w:val="001E2FFC"/>
    <w:rsid w:val="001E6A08"/>
    <w:rsid w:val="001F0CD7"/>
    <w:rsid w:val="001F335D"/>
    <w:rsid w:val="001F5CE4"/>
    <w:rsid w:val="00202EFD"/>
    <w:rsid w:val="00205E2D"/>
    <w:rsid w:val="002079A6"/>
    <w:rsid w:val="00211AB8"/>
    <w:rsid w:val="00213F5E"/>
    <w:rsid w:val="002153E3"/>
    <w:rsid w:val="00222B6A"/>
    <w:rsid w:val="00227F66"/>
    <w:rsid w:val="00240382"/>
    <w:rsid w:val="002418F7"/>
    <w:rsid w:val="00241CF0"/>
    <w:rsid w:val="00244AD9"/>
    <w:rsid w:val="00244C84"/>
    <w:rsid w:val="0024643C"/>
    <w:rsid w:val="00251E42"/>
    <w:rsid w:val="00256EF8"/>
    <w:rsid w:val="00257765"/>
    <w:rsid w:val="0026048C"/>
    <w:rsid w:val="0026172C"/>
    <w:rsid w:val="0026614C"/>
    <w:rsid w:val="0026786B"/>
    <w:rsid w:val="00270F2A"/>
    <w:rsid w:val="002715E9"/>
    <w:rsid w:val="00272F73"/>
    <w:rsid w:val="00280492"/>
    <w:rsid w:val="00282220"/>
    <w:rsid w:val="00282484"/>
    <w:rsid w:val="00286821"/>
    <w:rsid w:val="00286A84"/>
    <w:rsid w:val="0029047B"/>
    <w:rsid w:val="00290C6F"/>
    <w:rsid w:val="00291361"/>
    <w:rsid w:val="00292FC0"/>
    <w:rsid w:val="0029417C"/>
    <w:rsid w:val="002A06B8"/>
    <w:rsid w:val="002A07E0"/>
    <w:rsid w:val="002B018A"/>
    <w:rsid w:val="002B5B6A"/>
    <w:rsid w:val="002C3B2F"/>
    <w:rsid w:val="002C5AB3"/>
    <w:rsid w:val="002C5BBD"/>
    <w:rsid w:val="002C7775"/>
    <w:rsid w:val="002D0E33"/>
    <w:rsid w:val="002D2987"/>
    <w:rsid w:val="002D4AA8"/>
    <w:rsid w:val="002E02AD"/>
    <w:rsid w:val="002E2D5B"/>
    <w:rsid w:val="002E765B"/>
    <w:rsid w:val="002F0675"/>
    <w:rsid w:val="002F0BDC"/>
    <w:rsid w:val="002F1D3A"/>
    <w:rsid w:val="002F2311"/>
    <w:rsid w:val="002F4878"/>
    <w:rsid w:val="002F4EB4"/>
    <w:rsid w:val="002F7D4D"/>
    <w:rsid w:val="002F7F6B"/>
    <w:rsid w:val="00300335"/>
    <w:rsid w:val="00300D8A"/>
    <w:rsid w:val="0030300A"/>
    <w:rsid w:val="00303DF0"/>
    <w:rsid w:val="00303E61"/>
    <w:rsid w:val="00305208"/>
    <w:rsid w:val="00311547"/>
    <w:rsid w:val="0031225A"/>
    <w:rsid w:val="003139FC"/>
    <w:rsid w:val="00320ADB"/>
    <w:rsid w:val="00323B35"/>
    <w:rsid w:val="0032607C"/>
    <w:rsid w:val="00326634"/>
    <w:rsid w:val="003266B0"/>
    <w:rsid w:val="00327F47"/>
    <w:rsid w:val="00330140"/>
    <w:rsid w:val="00330933"/>
    <w:rsid w:val="00332543"/>
    <w:rsid w:val="00332D02"/>
    <w:rsid w:val="0034161D"/>
    <w:rsid w:val="00344FC8"/>
    <w:rsid w:val="003460BB"/>
    <w:rsid w:val="00350653"/>
    <w:rsid w:val="003512ED"/>
    <w:rsid w:val="00351A1D"/>
    <w:rsid w:val="00351CF8"/>
    <w:rsid w:val="00355CA4"/>
    <w:rsid w:val="0035711B"/>
    <w:rsid w:val="0036066F"/>
    <w:rsid w:val="00366960"/>
    <w:rsid w:val="00367438"/>
    <w:rsid w:val="00367BD6"/>
    <w:rsid w:val="00367E31"/>
    <w:rsid w:val="003711ED"/>
    <w:rsid w:val="0037400D"/>
    <w:rsid w:val="00375124"/>
    <w:rsid w:val="0037567A"/>
    <w:rsid w:val="003764DB"/>
    <w:rsid w:val="00376816"/>
    <w:rsid w:val="003776D9"/>
    <w:rsid w:val="00377916"/>
    <w:rsid w:val="0038522C"/>
    <w:rsid w:val="003855C0"/>
    <w:rsid w:val="00385EA6"/>
    <w:rsid w:val="00386217"/>
    <w:rsid w:val="00387B5A"/>
    <w:rsid w:val="0039188A"/>
    <w:rsid w:val="00391AE7"/>
    <w:rsid w:val="0039664F"/>
    <w:rsid w:val="003A13F2"/>
    <w:rsid w:val="003A4114"/>
    <w:rsid w:val="003A5739"/>
    <w:rsid w:val="003A5F97"/>
    <w:rsid w:val="003A71BF"/>
    <w:rsid w:val="003B05F7"/>
    <w:rsid w:val="003B08CE"/>
    <w:rsid w:val="003B2216"/>
    <w:rsid w:val="003B45C6"/>
    <w:rsid w:val="003B5E93"/>
    <w:rsid w:val="003B661C"/>
    <w:rsid w:val="003B69A3"/>
    <w:rsid w:val="003B7662"/>
    <w:rsid w:val="003C17B5"/>
    <w:rsid w:val="003C3126"/>
    <w:rsid w:val="003C3D14"/>
    <w:rsid w:val="003C49F6"/>
    <w:rsid w:val="003C6F73"/>
    <w:rsid w:val="003D1ED1"/>
    <w:rsid w:val="003D2B9F"/>
    <w:rsid w:val="003D41D7"/>
    <w:rsid w:val="003E05C8"/>
    <w:rsid w:val="003F2823"/>
    <w:rsid w:val="003F2925"/>
    <w:rsid w:val="003F2F74"/>
    <w:rsid w:val="003F55F0"/>
    <w:rsid w:val="004022BE"/>
    <w:rsid w:val="00403519"/>
    <w:rsid w:val="00404A4E"/>
    <w:rsid w:val="00407D4E"/>
    <w:rsid w:val="00411C1C"/>
    <w:rsid w:val="0041482F"/>
    <w:rsid w:val="0042033A"/>
    <w:rsid w:val="00421C8A"/>
    <w:rsid w:val="004266C2"/>
    <w:rsid w:val="00433105"/>
    <w:rsid w:val="00433927"/>
    <w:rsid w:val="00435AD2"/>
    <w:rsid w:val="004365CF"/>
    <w:rsid w:val="0044131A"/>
    <w:rsid w:val="004416AC"/>
    <w:rsid w:val="00442B28"/>
    <w:rsid w:val="00443506"/>
    <w:rsid w:val="00454225"/>
    <w:rsid w:val="00454590"/>
    <w:rsid w:val="00456B86"/>
    <w:rsid w:val="00461E53"/>
    <w:rsid w:val="004628A2"/>
    <w:rsid w:val="004676E9"/>
    <w:rsid w:val="004747AC"/>
    <w:rsid w:val="00476497"/>
    <w:rsid w:val="00480231"/>
    <w:rsid w:val="00482D3F"/>
    <w:rsid w:val="004831F6"/>
    <w:rsid w:val="00484F18"/>
    <w:rsid w:val="00486A36"/>
    <w:rsid w:val="00494E74"/>
    <w:rsid w:val="004A13BD"/>
    <w:rsid w:val="004A15A0"/>
    <w:rsid w:val="004A5FDF"/>
    <w:rsid w:val="004A6AA9"/>
    <w:rsid w:val="004B17B4"/>
    <w:rsid w:val="004B3498"/>
    <w:rsid w:val="004B5249"/>
    <w:rsid w:val="004B67EA"/>
    <w:rsid w:val="004C1CB2"/>
    <w:rsid w:val="004C21FC"/>
    <w:rsid w:val="004C3BBC"/>
    <w:rsid w:val="004C52D3"/>
    <w:rsid w:val="004C644F"/>
    <w:rsid w:val="004D0088"/>
    <w:rsid w:val="004D2375"/>
    <w:rsid w:val="004E051A"/>
    <w:rsid w:val="004E5E47"/>
    <w:rsid w:val="004E6EA0"/>
    <w:rsid w:val="004F113F"/>
    <w:rsid w:val="004F12EB"/>
    <w:rsid w:val="004F136C"/>
    <w:rsid w:val="004F1652"/>
    <w:rsid w:val="004F1F2D"/>
    <w:rsid w:val="004F47CA"/>
    <w:rsid w:val="004F4F82"/>
    <w:rsid w:val="004F5FF3"/>
    <w:rsid w:val="004F69BF"/>
    <w:rsid w:val="004F6D23"/>
    <w:rsid w:val="00504C69"/>
    <w:rsid w:val="005126FC"/>
    <w:rsid w:val="00512F55"/>
    <w:rsid w:val="005142DF"/>
    <w:rsid w:val="00514640"/>
    <w:rsid w:val="00524A6A"/>
    <w:rsid w:val="00525413"/>
    <w:rsid w:val="00527AEC"/>
    <w:rsid w:val="00531057"/>
    <w:rsid w:val="00531132"/>
    <w:rsid w:val="005337DF"/>
    <w:rsid w:val="005342E2"/>
    <w:rsid w:val="00535712"/>
    <w:rsid w:val="00536BF4"/>
    <w:rsid w:val="00536FE0"/>
    <w:rsid w:val="005378EA"/>
    <w:rsid w:val="0054053C"/>
    <w:rsid w:val="00544CD4"/>
    <w:rsid w:val="00545B91"/>
    <w:rsid w:val="005471A4"/>
    <w:rsid w:val="00550BA7"/>
    <w:rsid w:val="00551B7A"/>
    <w:rsid w:val="00552529"/>
    <w:rsid w:val="005551A2"/>
    <w:rsid w:val="00557CE2"/>
    <w:rsid w:val="00560627"/>
    <w:rsid w:val="00564EED"/>
    <w:rsid w:val="0056680E"/>
    <w:rsid w:val="00570ED7"/>
    <w:rsid w:val="00575602"/>
    <w:rsid w:val="005759CB"/>
    <w:rsid w:val="00575C44"/>
    <w:rsid w:val="00585855"/>
    <w:rsid w:val="0059044F"/>
    <w:rsid w:val="00596198"/>
    <w:rsid w:val="00596EE9"/>
    <w:rsid w:val="005A133D"/>
    <w:rsid w:val="005A26E0"/>
    <w:rsid w:val="005A44B3"/>
    <w:rsid w:val="005A53B9"/>
    <w:rsid w:val="005B0387"/>
    <w:rsid w:val="005B28CD"/>
    <w:rsid w:val="005C0486"/>
    <w:rsid w:val="005C325F"/>
    <w:rsid w:val="005C5B99"/>
    <w:rsid w:val="005C673B"/>
    <w:rsid w:val="005D2674"/>
    <w:rsid w:val="005D442D"/>
    <w:rsid w:val="005D4B78"/>
    <w:rsid w:val="005D4CCF"/>
    <w:rsid w:val="005D5F64"/>
    <w:rsid w:val="005D69DC"/>
    <w:rsid w:val="005D72D2"/>
    <w:rsid w:val="005E03E9"/>
    <w:rsid w:val="005F0426"/>
    <w:rsid w:val="005F07C8"/>
    <w:rsid w:val="005F5648"/>
    <w:rsid w:val="005F72FE"/>
    <w:rsid w:val="005F73A0"/>
    <w:rsid w:val="0060088F"/>
    <w:rsid w:val="00602A7C"/>
    <w:rsid w:val="00603896"/>
    <w:rsid w:val="00604453"/>
    <w:rsid w:val="00604B02"/>
    <w:rsid w:val="00606B26"/>
    <w:rsid w:val="006103A7"/>
    <w:rsid w:val="006151ED"/>
    <w:rsid w:val="00615269"/>
    <w:rsid w:val="0061562C"/>
    <w:rsid w:val="00617A5D"/>
    <w:rsid w:val="00622BDD"/>
    <w:rsid w:val="00625939"/>
    <w:rsid w:val="006346D2"/>
    <w:rsid w:val="00635882"/>
    <w:rsid w:val="006358CC"/>
    <w:rsid w:val="00641781"/>
    <w:rsid w:val="0064197F"/>
    <w:rsid w:val="00643EBE"/>
    <w:rsid w:val="006443B9"/>
    <w:rsid w:val="00645B2C"/>
    <w:rsid w:val="00645D01"/>
    <w:rsid w:val="00646061"/>
    <w:rsid w:val="006511A3"/>
    <w:rsid w:val="006512B6"/>
    <w:rsid w:val="006516F9"/>
    <w:rsid w:val="00654375"/>
    <w:rsid w:val="0065459E"/>
    <w:rsid w:val="00654F25"/>
    <w:rsid w:val="006553C8"/>
    <w:rsid w:val="006575CA"/>
    <w:rsid w:val="00661985"/>
    <w:rsid w:val="0066233A"/>
    <w:rsid w:val="00662F4B"/>
    <w:rsid w:val="006637BF"/>
    <w:rsid w:val="00664CD7"/>
    <w:rsid w:val="00665520"/>
    <w:rsid w:val="00666BCF"/>
    <w:rsid w:val="00666D61"/>
    <w:rsid w:val="006712B1"/>
    <w:rsid w:val="00671F4A"/>
    <w:rsid w:val="00677393"/>
    <w:rsid w:val="00680E27"/>
    <w:rsid w:val="00680E8C"/>
    <w:rsid w:val="00685971"/>
    <w:rsid w:val="006868EA"/>
    <w:rsid w:val="00686919"/>
    <w:rsid w:val="00690DFD"/>
    <w:rsid w:val="00694F51"/>
    <w:rsid w:val="00697BF2"/>
    <w:rsid w:val="006A2B40"/>
    <w:rsid w:val="006A49F7"/>
    <w:rsid w:val="006A4EF9"/>
    <w:rsid w:val="006A69D6"/>
    <w:rsid w:val="006A7D5C"/>
    <w:rsid w:val="006B29BB"/>
    <w:rsid w:val="006B41C1"/>
    <w:rsid w:val="006B7864"/>
    <w:rsid w:val="006C45E0"/>
    <w:rsid w:val="006C68C8"/>
    <w:rsid w:val="006D0166"/>
    <w:rsid w:val="006D1BBA"/>
    <w:rsid w:val="006D4648"/>
    <w:rsid w:val="006D708A"/>
    <w:rsid w:val="006E3A37"/>
    <w:rsid w:val="006E4B53"/>
    <w:rsid w:val="006F03A1"/>
    <w:rsid w:val="006F0608"/>
    <w:rsid w:val="006F06CB"/>
    <w:rsid w:val="006F2BF2"/>
    <w:rsid w:val="006F3272"/>
    <w:rsid w:val="006F6B44"/>
    <w:rsid w:val="00701435"/>
    <w:rsid w:val="007033D2"/>
    <w:rsid w:val="0070351C"/>
    <w:rsid w:val="00705038"/>
    <w:rsid w:val="00705A06"/>
    <w:rsid w:val="00705FA3"/>
    <w:rsid w:val="00710094"/>
    <w:rsid w:val="0071107E"/>
    <w:rsid w:val="007114E4"/>
    <w:rsid w:val="0071181B"/>
    <w:rsid w:val="00716E6A"/>
    <w:rsid w:val="00717650"/>
    <w:rsid w:val="007251BF"/>
    <w:rsid w:val="007263A2"/>
    <w:rsid w:val="00730AE4"/>
    <w:rsid w:val="00730D14"/>
    <w:rsid w:val="00730F70"/>
    <w:rsid w:val="00731FD4"/>
    <w:rsid w:val="007332B1"/>
    <w:rsid w:val="007344C9"/>
    <w:rsid w:val="00737652"/>
    <w:rsid w:val="00741387"/>
    <w:rsid w:val="0074176D"/>
    <w:rsid w:val="00741CF3"/>
    <w:rsid w:val="00744217"/>
    <w:rsid w:val="00750A5E"/>
    <w:rsid w:val="0075363E"/>
    <w:rsid w:val="00754649"/>
    <w:rsid w:val="00754BC6"/>
    <w:rsid w:val="00756168"/>
    <w:rsid w:val="007629BA"/>
    <w:rsid w:val="00767030"/>
    <w:rsid w:val="00770424"/>
    <w:rsid w:val="00770AB7"/>
    <w:rsid w:val="0077283A"/>
    <w:rsid w:val="00774EFC"/>
    <w:rsid w:val="007779EF"/>
    <w:rsid w:val="00781A14"/>
    <w:rsid w:val="00782983"/>
    <w:rsid w:val="00783981"/>
    <w:rsid w:val="00787DEB"/>
    <w:rsid w:val="00793E84"/>
    <w:rsid w:val="007952B9"/>
    <w:rsid w:val="007A2A2B"/>
    <w:rsid w:val="007A4563"/>
    <w:rsid w:val="007A68D8"/>
    <w:rsid w:val="007B2999"/>
    <w:rsid w:val="007B39BF"/>
    <w:rsid w:val="007C41C1"/>
    <w:rsid w:val="007C6254"/>
    <w:rsid w:val="007D3565"/>
    <w:rsid w:val="007D3573"/>
    <w:rsid w:val="007D3DB6"/>
    <w:rsid w:val="007D3F0B"/>
    <w:rsid w:val="007D4A7A"/>
    <w:rsid w:val="007D4DBB"/>
    <w:rsid w:val="007E119B"/>
    <w:rsid w:val="007E2F70"/>
    <w:rsid w:val="007E6A72"/>
    <w:rsid w:val="007E7E7A"/>
    <w:rsid w:val="007F691E"/>
    <w:rsid w:val="0080464E"/>
    <w:rsid w:val="00806869"/>
    <w:rsid w:val="00811E75"/>
    <w:rsid w:val="0081263E"/>
    <w:rsid w:val="00812D05"/>
    <w:rsid w:val="00813CC4"/>
    <w:rsid w:val="0081456D"/>
    <w:rsid w:val="008164C8"/>
    <w:rsid w:val="00820B49"/>
    <w:rsid w:val="00820D15"/>
    <w:rsid w:val="00821418"/>
    <w:rsid w:val="0082371A"/>
    <w:rsid w:val="0082478E"/>
    <w:rsid w:val="008264DE"/>
    <w:rsid w:val="0083021E"/>
    <w:rsid w:val="00832066"/>
    <w:rsid w:val="0083358A"/>
    <w:rsid w:val="00833DFA"/>
    <w:rsid w:val="00835973"/>
    <w:rsid w:val="0083716A"/>
    <w:rsid w:val="00840DCD"/>
    <w:rsid w:val="00845286"/>
    <w:rsid w:val="0084555D"/>
    <w:rsid w:val="00845739"/>
    <w:rsid w:val="0085015F"/>
    <w:rsid w:val="008525FE"/>
    <w:rsid w:val="00852FC3"/>
    <w:rsid w:val="00854356"/>
    <w:rsid w:val="008569A7"/>
    <w:rsid w:val="008574CE"/>
    <w:rsid w:val="008605B3"/>
    <w:rsid w:val="008635ED"/>
    <w:rsid w:val="00867E81"/>
    <w:rsid w:val="008712FC"/>
    <w:rsid w:val="00871667"/>
    <w:rsid w:val="00871694"/>
    <w:rsid w:val="00872C25"/>
    <w:rsid w:val="0087373C"/>
    <w:rsid w:val="00874430"/>
    <w:rsid w:val="00876059"/>
    <w:rsid w:val="008768DE"/>
    <w:rsid w:val="008818FF"/>
    <w:rsid w:val="0088236C"/>
    <w:rsid w:val="008869BC"/>
    <w:rsid w:val="0089143D"/>
    <w:rsid w:val="00891F93"/>
    <w:rsid w:val="008A5B8F"/>
    <w:rsid w:val="008A72BF"/>
    <w:rsid w:val="008C1379"/>
    <w:rsid w:val="008C1720"/>
    <w:rsid w:val="008C336D"/>
    <w:rsid w:val="008D04E5"/>
    <w:rsid w:val="008D1CF5"/>
    <w:rsid w:val="008D3BCC"/>
    <w:rsid w:val="008D6092"/>
    <w:rsid w:val="008D61FA"/>
    <w:rsid w:val="008E2733"/>
    <w:rsid w:val="008E331D"/>
    <w:rsid w:val="008E3C2A"/>
    <w:rsid w:val="008E4D21"/>
    <w:rsid w:val="008E68DC"/>
    <w:rsid w:val="008F0288"/>
    <w:rsid w:val="00903217"/>
    <w:rsid w:val="00913073"/>
    <w:rsid w:val="00914E54"/>
    <w:rsid w:val="00915FCC"/>
    <w:rsid w:val="00920467"/>
    <w:rsid w:val="009226DD"/>
    <w:rsid w:val="009228FB"/>
    <w:rsid w:val="00923298"/>
    <w:rsid w:val="00923F39"/>
    <w:rsid w:val="00924D80"/>
    <w:rsid w:val="0092500B"/>
    <w:rsid w:val="009256EE"/>
    <w:rsid w:val="00931043"/>
    <w:rsid w:val="0093144F"/>
    <w:rsid w:val="009327E5"/>
    <w:rsid w:val="00932A31"/>
    <w:rsid w:val="00932AD1"/>
    <w:rsid w:val="00932E53"/>
    <w:rsid w:val="00935D80"/>
    <w:rsid w:val="00936AEA"/>
    <w:rsid w:val="00941845"/>
    <w:rsid w:val="00945730"/>
    <w:rsid w:val="00945E98"/>
    <w:rsid w:val="00947D66"/>
    <w:rsid w:val="00947D99"/>
    <w:rsid w:val="00952746"/>
    <w:rsid w:val="00957457"/>
    <w:rsid w:val="00957C3B"/>
    <w:rsid w:val="0096322A"/>
    <w:rsid w:val="00967141"/>
    <w:rsid w:val="00970365"/>
    <w:rsid w:val="009712F7"/>
    <w:rsid w:val="0097474A"/>
    <w:rsid w:val="00981928"/>
    <w:rsid w:val="00981D5F"/>
    <w:rsid w:val="00985263"/>
    <w:rsid w:val="00987092"/>
    <w:rsid w:val="00990065"/>
    <w:rsid w:val="009908BD"/>
    <w:rsid w:val="00992C9D"/>
    <w:rsid w:val="00995AF7"/>
    <w:rsid w:val="009A2820"/>
    <w:rsid w:val="009A2E91"/>
    <w:rsid w:val="009A4711"/>
    <w:rsid w:val="009A52F8"/>
    <w:rsid w:val="009B28E7"/>
    <w:rsid w:val="009B38F2"/>
    <w:rsid w:val="009B4DE8"/>
    <w:rsid w:val="009B73ED"/>
    <w:rsid w:val="009C2477"/>
    <w:rsid w:val="009C4BB4"/>
    <w:rsid w:val="009D1292"/>
    <w:rsid w:val="009D2110"/>
    <w:rsid w:val="009D3FF3"/>
    <w:rsid w:val="009E41DC"/>
    <w:rsid w:val="009F01A3"/>
    <w:rsid w:val="009F60D3"/>
    <w:rsid w:val="009F652B"/>
    <w:rsid w:val="009F77BD"/>
    <w:rsid w:val="00A00F51"/>
    <w:rsid w:val="00A03A1C"/>
    <w:rsid w:val="00A03A20"/>
    <w:rsid w:val="00A061B7"/>
    <w:rsid w:val="00A066EA"/>
    <w:rsid w:val="00A107CD"/>
    <w:rsid w:val="00A11647"/>
    <w:rsid w:val="00A23B4B"/>
    <w:rsid w:val="00A251A8"/>
    <w:rsid w:val="00A25FDC"/>
    <w:rsid w:val="00A2632D"/>
    <w:rsid w:val="00A26351"/>
    <w:rsid w:val="00A305F0"/>
    <w:rsid w:val="00A3104A"/>
    <w:rsid w:val="00A3360E"/>
    <w:rsid w:val="00A35EF1"/>
    <w:rsid w:val="00A35F03"/>
    <w:rsid w:val="00A36772"/>
    <w:rsid w:val="00A41766"/>
    <w:rsid w:val="00A41B18"/>
    <w:rsid w:val="00A41D44"/>
    <w:rsid w:val="00A43690"/>
    <w:rsid w:val="00A45656"/>
    <w:rsid w:val="00A47340"/>
    <w:rsid w:val="00A556B3"/>
    <w:rsid w:val="00A55D07"/>
    <w:rsid w:val="00A608C7"/>
    <w:rsid w:val="00A619C7"/>
    <w:rsid w:val="00A6517B"/>
    <w:rsid w:val="00A65B3C"/>
    <w:rsid w:val="00A667F3"/>
    <w:rsid w:val="00A672A9"/>
    <w:rsid w:val="00A71F3C"/>
    <w:rsid w:val="00A73066"/>
    <w:rsid w:val="00A74364"/>
    <w:rsid w:val="00A75927"/>
    <w:rsid w:val="00A75D63"/>
    <w:rsid w:val="00A7637F"/>
    <w:rsid w:val="00A778A2"/>
    <w:rsid w:val="00A81E8B"/>
    <w:rsid w:val="00A833B6"/>
    <w:rsid w:val="00A840F6"/>
    <w:rsid w:val="00A876AC"/>
    <w:rsid w:val="00A903F0"/>
    <w:rsid w:val="00A90810"/>
    <w:rsid w:val="00A95040"/>
    <w:rsid w:val="00AA4C79"/>
    <w:rsid w:val="00AA4E10"/>
    <w:rsid w:val="00AA759A"/>
    <w:rsid w:val="00AB00B0"/>
    <w:rsid w:val="00AB1EC3"/>
    <w:rsid w:val="00AB21F0"/>
    <w:rsid w:val="00AB2B46"/>
    <w:rsid w:val="00AB45FA"/>
    <w:rsid w:val="00AB5E42"/>
    <w:rsid w:val="00AB5EB7"/>
    <w:rsid w:val="00AB6251"/>
    <w:rsid w:val="00AB6794"/>
    <w:rsid w:val="00AC13A2"/>
    <w:rsid w:val="00AC1C77"/>
    <w:rsid w:val="00AC3367"/>
    <w:rsid w:val="00AC3738"/>
    <w:rsid w:val="00AC676A"/>
    <w:rsid w:val="00AD03B9"/>
    <w:rsid w:val="00AD21D0"/>
    <w:rsid w:val="00AD500B"/>
    <w:rsid w:val="00AD62FE"/>
    <w:rsid w:val="00AE2A3D"/>
    <w:rsid w:val="00AE2C3B"/>
    <w:rsid w:val="00AE631A"/>
    <w:rsid w:val="00AE788F"/>
    <w:rsid w:val="00AF0612"/>
    <w:rsid w:val="00AF09B3"/>
    <w:rsid w:val="00AF3FB1"/>
    <w:rsid w:val="00AF4CD4"/>
    <w:rsid w:val="00AF557A"/>
    <w:rsid w:val="00B02030"/>
    <w:rsid w:val="00B03493"/>
    <w:rsid w:val="00B05EDB"/>
    <w:rsid w:val="00B07B8F"/>
    <w:rsid w:val="00B12E9E"/>
    <w:rsid w:val="00B132FE"/>
    <w:rsid w:val="00B16C35"/>
    <w:rsid w:val="00B204A6"/>
    <w:rsid w:val="00B21849"/>
    <w:rsid w:val="00B258F9"/>
    <w:rsid w:val="00B37453"/>
    <w:rsid w:val="00B42A8E"/>
    <w:rsid w:val="00B4501C"/>
    <w:rsid w:val="00B45228"/>
    <w:rsid w:val="00B50B46"/>
    <w:rsid w:val="00B51597"/>
    <w:rsid w:val="00B53D16"/>
    <w:rsid w:val="00B55851"/>
    <w:rsid w:val="00B6039F"/>
    <w:rsid w:val="00B60A57"/>
    <w:rsid w:val="00B62ED2"/>
    <w:rsid w:val="00B70ADF"/>
    <w:rsid w:val="00B70DDB"/>
    <w:rsid w:val="00B73A0F"/>
    <w:rsid w:val="00B802BC"/>
    <w:rsid w:val="00B80397"/>
    <w:rsid w:val="00B845A8"/>
    <w:rsid w:val="00B86145"/>
    <w:rsid w:val="00B87432"/>
    <w:rsid w:val="00B87729"/>
    <w:rsid w:val="00B87ACC"/>
    <w:rsid w:val="00B931E1"/>
    <w:rsid w:val="00B94315"/>
    <w:rsid w:val="00B9638C"/>
    <w:rsid w:val="00B969B0"/>
    <w:rsid w:val="00B97470"/>
    <w:rsid w:val="00BB206E"/>
    <w:rsid w:val="00BB27E0"/>
    <w:rsid w:val="00BB4AF0"/>
    <w:rsid w:val="00BB64A9"/>
    <w:rsid w:val="00BC0007"/>
    <w:rsid w:val="00BC340C"/>
    <w:rsid w:val="00BC357C"/>
    <w:rsid w:val="00BC407F"/>
    <w:rsid w:val="00BC5326"/>
    <w:rsid w:val="00BC6C43"/>
    <w:rsid w:val="00BD1038"/>
    <w:rsid w:val="00BD39C4"/>
    <w:rsid w:val="00BD7E82"/>
    <w:rsid w:val="00BE3DFB"/>
    <w:rsid w:val="00BE4B34"/>
    <w:rsid w:val="00BE7ECD"/>
    <w:rsid w:val="00BF481B"/>
    <w:rsid w:val="00BF74FE"/>
    <w:rsid w:val="00BF7B51"/>
    <w:rsid w:val="00C036FA"/>
    <w:rsid w:val="00C03AB3"/>
    <w:rsid w:val="00C04DA5"/>
    <w:rsid w:val="00C1161B"/>
    <w:rsid w:val="00C13871"/>
    <w:rsid w:val="00C138DC"/>
    <w:rsid w:val="00C16BF9"/>
    <w:rsid w:val="00C20700"/>
    <w:rsid w:val="00C21C38"/>
    <w:rsid w:val="00C23923"/>
    <w:rsid w:val="00C239A9"/>
    <w:rsid w:val="00C262BD"/>
    <w:rsid w:val="00C2710E"/>
    <w:rsid w:val="00C30F0D"/>
    <w:rsid w:val="00C33ED5"/>
    <w:rsid w:val="00C37D25"/>
    <w:rsid w:val="00C412CF"/>
    <w:rsid w:val="00C42307"/>
    <w:rsid w:val="00C42335"/>
    <w:rsid w:val="00C42A35"/>
    <w:rsid w:val="00C430B0"/>
    <w:rsid w:val="00C43E16"/>
    <w:rsid w:val="00C43EDA"/>
    <w:rsid w:val="00C449D3"/>
    <w:rsid w:val="00C5057A"/>
    <w:rsid w:val="00C567FB"/>
    <w:rsid w:val="00C5764B"/>
    <w:rsid w:val="00C605C1"/>
    <w:rsid w:val="00C61E20"/>
    <w:rsid w:val="00C67F40"/>
    <w:rsid w:val="00C7122D"/>
    <w:rsid w:val="00C80A0E"/>
    <w:rsid w:val="00C81B17"/>
    <w:rsid w:val="00C85B41"/>
    <w:rsid w:val="00C879ED"/>
    <w:rsid w:val="00C87C00"/>
    <w:rsid w:val="00C91992"/>
    <w:rsid w:val="00C92688"/>
    <w:rsid w:val="00C97824"/>
    <w:rsid w:val="00C97BE7"/>
    <w:rsid w:val="00CA0089"/>
    <w:rsid w:val="00CA2388"/>
    <w:rsid w:val="00CA3C42"/>
    <w:rsid w:val="00CA572B"/>
    <w:rsid w:val="00CA5C6E"/>
    <w:rsid w:val="00CB2723"/>
    <w:rsid w:val="00CB2F90"/>
    <w:rsid w:val="00CB7DE9"/>
    <w:rsid w:val="00CC57B8"/>
    <w:rsid w:val="00CC62DB"/>
    <w:rsid w:val="00CD45CB"/>
    <w:rsid w:val="00CD55FB"/>
    <w:rsid w:val="00CD636B"/>
    <w:rsid w:val="00CE3AF8"/>
    <w:rsid w:val="00CE414A"/>
    <w:rsid w:val="00CE6722"/>
    <w:rsid w:val="00CE7E68"/>
    <w:rsid w:val="00CF053F"/>
    <w:rsid w:val="00CF2686"/>
    <w:rsid w:val="00CF3050"/>
    <w:rsid w:val="00CF5EEF"/>
    <w:rsid w:val="00D00F6C"/>
    <w:rsid w:val="00D06DD9"/>
    <w:rsid w:val="00D10721"/>
    <w:rsid w:val="00D12000"/>
    <w:rsid w:val="00D168FA"/>
    <w:rsid w:val="00D20F4F"/>
    <w:rsid w:val="00D22A0D"/>
    <w:rsid w:val="00D30BB2"/>
    <w:rsid w:val="00D30DBC"/>
    <w:rsid w:val="00D341D6"/>
    <w:rsid w:val="00D365FC"/>
    <w:rsid w:val="00D37843"/>
    <w:rsid w:val="00D44D07"/>
    <w:rsid w:val="00D46D72"/>
    <w:rsid w:val="00D47083"/>
    <w:rsid w:val="00D5012D"/>
    <w:rsid w:val="00D5140D"/>
    <w:rsid w:val="00D51D9D"/>
    <w:rsid w:val="00D57B68"/>
    <w:rsid w:val="00D619FD"/>
    <w:rsid w:val="00D649D4"/>
    <w:rsid w:val="00D65AB2"/>
    <w:rsid w:val="00D66E22"/>
    <w:rsid w:val="00D73450"/>
    <w:rsid w:val="00D75529"/>
    <w:rsid w:val="00D7625C"/>
    <w:rsid w:val="00D76820"/>
    <w:rsid w:val="00D8369D"/>
    <w:rsid w:val="00D83C94"/>
    <w:rsid w:val="00D92BBF"/>
    <w:rsid w:val="00D970B7"/>
    <w:rsid w:val="00D977D5"/>
    <w:rsid w:val="00DA21B8"/>
    <w:rsid w:val="00DA2A5E"/>
    <w:rsid w:val="00DA5187"/>
    <w:rsid w:val="00DB05AA"/>
    <w:rsid w:val="00DB0DD4"/>
    <w:rsid w:val="00DB0FCF"/>
    <w:rsid w:val="00DB10CF"/>
    <w:rsid w:val="00DB1A8F"/>
    <w:rsid w:val="00DB326B"/>
    <w:rsid w:val="00DB3D4D"/>
    <w:rsid w:val="00DB4C63"/>
    <w:rsid w:val="00DB73EE"/>
    <w:rsid w:val="00DC02BA"/>
    <w:rsid w:val="00DC0FFA"/>
    <w:rsid w:val="00DC4101"/>
    <w:rsid w:val="00DC4C6C"/>
    <w:rsid w:val="00DC7F71"/>
    <w:rsid w:val="00DD58CF"/>
    <w:rsid w:val="00DD7DA9"/>
    <w:rsid w:val="00DE011E"/>
    <w:rsid w:val="00DE1131"/>
    <w:rsid w:val="00DE34C4"/>
    <w:rsid w:val="00DE5CA7"/>
    <w:rsid w:val="00DE6197"/>
    <w:rsid w:val="00DE6D5B"/>
    <w:rsid w:val="00DF0C20"/>
    <w:rsid w:val="00DF20A6"/>
    <w:rsid w:val="00DF2565"/>
    <w:rsid w:val="00DF3C07"/>
    <w:rsid w:val="00DF4DA6"/>
    <w:rsid w:val="00DF5CD8"/>
    <w:rsid w:val="00DF79B6"/>
    <w:rsid w:val="00E04359"/>
    <w:rsid w:val="00E115BF"/>
    <w:rsid w:val="00E12451"/>
    <w:rsid w:val="00E16F9E"/>
    <w:rsid w:val="00E17E21"/>
    <w:rsid w:val="00E2290F"/>
    <w:rsid w:val="00E23785"/>
    <w:rsid w:val="00E24E1E"/>
    <w:rsid w:val="00E24E6B"/>
    <w:rsid w:val="00E30A9A"/>
    <w:rsid w:val="00E31204"/>
    <w:rsid w:val="00E33563"/>
    <w:rsid w:val="00E36FA2"/>
    <w:rsid w:val="00E51737"/>
    <w:rsid w:val="00E5716B"/>
    <w:rsid w:val="00E65D8C"/>
    <w:rsid w:val="00E7095D"/>
    <w:rsid w:val="00E72A8A"/>
    <w:rsid w:val="00E73067"/>
    <w:rsid w:val="00E73FE5"/>
    <w:rsid w:val="00E7481C"/>
    <w:rsid w:val="00E748D1"/>
    <w:rsid w:val="00E773AA"/>
    <w:rsid w:val="00E80277"/>
    <w:rsid w:val="00E837B1"/>
    <w:rsid w:val="00E83AEF"/>
    <w:rsid w:val="00E84670"/>
    <w:rsid w:val="00E84987"/>
    <w:rsid w:val="00E84C89"/>
    <w:rsid w:val="00E853A4"/>
    <w:rsid w:val="00E92249"/>
    <w:rsid w:val="00E93D43"/>
    <w:rsid w:val="00E94EAD"/>
    <w:rsid w:val="00EA0077"/>
    <w:rsid w:val="00EA3AE3"/>
    <w:rsid w:val="00EB155A"/>
    <w:rsid w:val="00EB2FD1"/>
    <w:rsid w:val="00ED132D"/>
    <w:rsid w:val="00ED5834"/>
    <w:rsid w:val="00ED5F45"/>
    <w:rsid w:val="00ED724B"/>
    <w:rsid w:val="00EE3391"/>
    <w:rsid w:val="00EF2E93"/>
    <w:rsid w:val="00EF307F"/>
    <w:rsid w:val="00EF46F4"/>
    <w:rsid w:val="00EF53A8"/>
    <w:rsid w:val="00EF6C9E"/>
    <w:rsid w:val="00F10DEE"/>
    <w:rsid w:val="00F13BA8"/>
    <w:rsid w:val="00F13DCC"/>
    <w:rsid w:val="00F14C5B"/>
    <w:rsid w:val="00F16305"/>
    <w:rsid w:val="00F20D08"/>
    <w:rsid w:val="00F23AD6"/>
    <w:rsid w:val="00F244D6"/>
    <w:rsid w:val="00F247D7"/>
    <w:rsid w:val="00F24A22"/>
    <w:rsid w:val="00F26AAE"/>
    <w:rsid w:val="00F26E1D"/>
    <w:rsid w:val="00F30211"/>
    <w:rsid w:val="00F32A58"/>
    <w:rsid w:val="00F3330A"/>
    <w:rsid w:val="00F33E81"/>
    <w:rsid w:val="00F3414C"/>
    <w:rsid w:val="00F3488A"/>
    <w:rsid w:val="00F36060"/>
    <w:rsid w:val="00F37C5C"/>
    <w:rsid w:val="00F40E79"/>
    <w:rsid w:val="00F4100E"/>
    <w:rsid w:val="00F42CE3"/>
    <w:rsid w:val="00F4355B"/>
    <w:rsid w:val="00F437C4"/>
    <w:rsid w:val="00F52479"/>
    <w:rsid w:val="00F5278B"/>
    <w:rsid w:val="00F53E56"/>
    <w:rsid w:val="00F55B09"/>
    <w:rsid w:val="00F622D5"/>
    <w:rsid w:val="00F62BD5"/>
    <w:rsid w:val="00F63CB7"/>
    <w:rsid w:val="00F642FD"/>
    <w:rsid w:val="00F64385"/>
    <w:rsid w:val="00F6689B"/>
    <w:rsid w:val="00F7099B"/>
    <w:rsid w:val="00F716C7"/>
    <w:rsid w:val="00F73909"/>
    <w:rsid w:val="00F7685E"/>
    <w:rsid w:val="00F80738"/>
    <w:rsid w:val="00F80ADD"/>
    <w:rsid w:val="00F80F12"/>
    <w:rsid w:val="00F82FAC"/>
    <w:rsid w:val="00F9400B"/>
    <w:rsid w:val="00F96FEE"/>
    <w:rsid w:val="00FA0992"/>
    <w:rsid w:val="00FA0F02"/>
    <w:rsid w:val="00FA6DCD"/>
    <w:rsid w:val="00FA7837"/>
    <w:rsid w:val="00FB0586"/>
    <w:rsid w:val="00FB10C0"/>
    <w:rsid w:val="00FB341B"/>
    <w:rsid w:val="00FB6E71"/>
    <w:rsid w:val="00FC2DBA"/>
    <w:rsid w:val="00FC494A"/>
    <w:rsid w:val="00FC4AC0"/>
    <w:rsid w:val="00FC630F"/>
    <w:rsid w:val="00FD10BE"/>
    <w:rsid w:val="00FD4B07"/>
    <w:rsid w:val="00FD620A"/>
    <w:rsid w:val="00FD64BF"/>
    <w:rsid w:val="00FE2049"/>
    <w:rsid w:val="00FE2891"/>
    <w:rsid w:val="00FF1610"/>
    <w:rsid w:val="00FF291B"/>
    <w:rsid w:val="00FF3F25"/>
    <w:rsid w:val="00FF4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FEC9"/>
  <w15:chartTrackingRefBased/>
  <w15:docId w15:val="{2769039C-0395-4A81-AA3E-162E8DA9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D"/>
  </w:style>
  <w:style w:type="paragraph" w:styleId="Heading1">
    <w:name w:val="heading 1"/>
    <w:basedOn w:val="Normal"/>
    <w:next w:val="Normal"/>
    <w:link w:val="Heading1Char"/>
    <w:uiPriority w:val="9"/>
    <w:qFormat/>
    <w:rsid w:val="000635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635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5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5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35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35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35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35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35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5A"/>
    <w:pPr>
      <w:ind w:left="720"/>
      <w:contextualSpacing/>
    </w:pPr>
  </w:style>
  <w:style w:type="character" w:customStyle="1" w:styleId="Heading1Char">
    <w:name w:val="Heading 1 Char"/>
    <w:basedOn w:val="DefaultParagraphFont"/>
    <w:link w:val="Heading1"/>
    <w:uiPriority w:val="9"/>
    <w:rsid w:val="0006357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63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5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5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35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35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35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35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35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357D"/>
    <w:pPr>
      <w:spacing w:line="240" w:lineRule="auto"/>
    </w:pPr>
    <w:rPr>
      <w:b/>
      <w:bCs/>
      <w:smallCaps/>
      <w:color w:val="44546A" w:themeColor="text2"/>
    </w:rPr>
  </w:style>
  <w:style w:type="paragraph" w:styleId="Title">
    <w:name w:val="Title"/>
    <w:basedOn w:val="Normal"/>
    <w:next w:val="Normal"/>
    <w:link w:val="TitleChar"/>
    <w:uiPriority w:val="10"/>
    <w:qFormat/>
    <w:rsid w:val="000635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35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35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35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357D"/>
    <w:rPr>
      <w:b/>
      <w:bCs/>
    </w:rPr>
  </w:style>
  <w:style w:type="character" w:styleId="Emphasis">
    <w:name w:val="Emphasis"/>
    <w:basedOn w:val="DefaultParagraphFont"/>
    <w:uiPriority w:val="20"/>
    <w:qFormat/>
    <w:rsid w:val="0006357D"/>
    <w:rPr>
      <w:i/>
      <w:iCs/>
    </w:rPr>
  </w:style>
  <w:style w:type="paragraph" w:styleId="NoSpacing">
    <w:name w:val="No Spacing"/>
    <w:uiPriority w:val="1"/>
    <w:qFormat/>
    <w:rsid w:val="0006357D"/>
    <w:pPr>
      <w:spacing w:after="0" w:line="240" w:lineRule="auto"/>
    </w:pPr>
  </w:style>
  <w:style w:type="paragraph" w:styleId="Quote">
    <w:name w:val="Quote"/>
    <w:basedOn w:val="Normal"/>
    <w:next w:val="Normal"/>
    <w:link w:val="QuoteChar"/>
    <w:uiPriority w:val="29"/>
    <w:qFormat/>
    <w:rsid w:val="000635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357D"/>
    <w:rPr>
      <w:color w:val="44546A" w:themeColor="text2"/>
      <w:sz w:val="24"/>
      <w:szCs w:val="24"/>
    </w:rPr>
  </w:style>
  <w:style w:type="paragraph" w:styleId="IntenseQuote">
    <w:name w:val="Intense Quote"/>
    <w:basedOn w:val="Normal"/>
    <w:next w:val="Normal"/>
    <w:link w:val="IntenseQuoteChar"/>
    <w:uiPriority w:val="30"/>
    <w:qFormat/>
    <w:rsid w:val="000635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35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357D"/>
    <w:rPr>
      <w:i/>
      <w:iCs/>
      <w:color w:val="595959" w:themeColor="text1" w:themeTint="A6"/>
    </w:rPr>
  </w:style>
  <w:style w:type="character" w:styleId="IntenseEmphasis">
    <w:name w:val="Intense Emphasis"/>
    <w:basedOn w:val="DefaultParagraphFont"/>
    <w:uiPriority w:val="21"/>
    <w:qFormat/>
    <w:rsid w:val="0006357D"/>
    <w:rPr>
      <w:b/>
      <w:bCs/>
      <w:i/>
      <w:iCs/>
    </w:rPr>
  </w:style>
  <w:style w:type="character" w:styleId="SubtleReference">
    <w:name w:val="Subtle Reference"/>
    <w:basedOn w:val="DefaultParagraphFont"/>
    <w:uiPriority w:val="31"/>
    <w:qFormat/>
    <w:rsid w:val="000635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357D"/>
    <w:rPr>
      <w:b/>
      <w:bCs/>
      <w:smallCaps/>
      <w:color w:val="44546A" w:themeColor="text2"/>
      <w:u w:val="single"/>
    </w:rPr>
  </w:style>
  <w:style w:type="character" w:styleId="BookTitle">
    <w:name w:val="Book Title"/>
    <w:basedOn w:val="DefaultParagraphFont"/>
    <w:uiPriority w:val="33"/>
    <w:qFormat/>
    <w:rsid w:val="0006357D"/>
    <w:rPr>
      <w:b/>
      <w:bCs/>
      <w:smallCaps/>
      <w:spacing w:val="10"/>
    </w:rPr>
  </w:style>
  <w:style w:type="paragraph" w:styleId="TOCHeading">
    <w:name w:val="TOC Heading"/>
    <w:basedOn w:val="Heading1"/>
    <w:next w:val="Normal"/>
    <w:uiPriority w:val="39"/>
    <w:semiHidden/>
    <w:unhideWhenUsed/>
    <w:qFormat/>
    <w:rsid w:val="0006357D"/>
    <w:pPr>
      <w:outlineLvl w:val="9"/>
    </w:pPr>
  </w:style>
  <w:style w:type="paragraph" w:styleId="FootnoteText">
    <w:name w:val="footnote text"/>
    <w:basedOn w:val="Normal"/>
    <w:link w:val="FootnoteTextChar"/>
    <w:uiPriority w:val="99"/>
    <w:semiHidden/>
    <w:unhideWhenUsed/>
    <w:rsid w:val="004F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36C"/>
    <w:rPr>
      <w:sz w:val="20"/>
      <w:szCs w:val="20"/>
    </w:rPr>
  </w:style>
  <w:style w:type="character" w:styleId="FootnoteReference">
    <w:name w:val="footnote reference"/>
    <w:basedOn w:val="DefaultParagraphFont"/>
    <w:uiPriority w:val="99"/>
    <w:semiHidden/>
    <w:unhideWhenUsed/>
    <w:rsid w:val="004F136C"/>
    <w:rPr>
      <w:vertAlign w:val="superscript"/>
    </w:rPr>
  </w:style>
  <w:style w:type="character" w:styleId="Hyperlink">
    <w:name w:val="Hyperlink"/>
    <w:basedOn w:val="DefaultParagraphFont"/>
    <w:uiPriority w:val="99"/>
    <w:unhideWhenUsed/>
    <w:rsid w:val="00A71F3C"/>
    <w:rPr>
      <w:color w:val="0563C1" w:themeColor="hyperlink"/>
      <w:u w:val="single"/>
    </w:rPr>
  </w:style>
  <w:style w:type="character" w:styleId="UnresolvedMention">
    <w:name w:val="Unresolved Mention"/>
    <w:basedOn w:val="DefaultParagraphFont"/>
    <w:uiPriority w:val="99"/>
    <w:semiHidden/>
    <w:unhideWhenUsed/>
    <w:rsid w:val="00A71F3C"/>
    <w:rPr>
      <w:color w:val="605E5C"/>
      <w:shd w:val="clear" w:color="auto" w:fill="E1DFDD"/>
    </w:rPr>
  </w:style>
  <w:style w:type="paragraph" w:styleId="Header">
    <w:name w:val="header"/>
    <w:basedOn w:val="Normal"/>
    <w:link w:val="HeaderChar"/>
    <w:uiPriority w:val="99"/>
    <w:unhideWhenUsed/>
    <w:rsid w:val="00537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8EA"/>
  </w:style>
  <w:style w:type="paragraph" w:styleId="Footer">
    <w:name w:val="footer"/>
    <w:basedOn w:val="Normal"/>
    <w:link w:val="FooterChar"/>
    <w:uiPriority w:val="99"/>
    <w:unhideWhenUsed/>
    <w:rsid w:val="00537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8EA"/>
  </w:style>
  <w:style w:type="character" w:styleId="FollowedHyperlink">
    <w:name w:val="FollowedHyperlink"/>
    <w:basedOn w:val="DefaultParagraphFont"/>
    <w:uiPriority w:val="99"/>
    <w:semiHidden/>
    <w:unhideWhenUsed/>
    <w:rsid w:val="003A13F2"/>
    <w:rPr>
      <w:color w:val="954F72" w:themeColor="followedHyperlink"/>
      <w:u w:val="single"/>
    </w:rPr>
  </w:style>
  <w:style w:type="paragraph" w:styleId="NormalWeb">
    <w:name w:val="Normal (Web)"/>
    <w:basedOn w:val="Normal"/>
    <w:uiPriority w:val="99"/>
    <w:unhideWhenUsed/>
    <w:rsid w:val="00DD7D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7908">
      <w:bodyDiv w:val="1"/>
      <w:marLeft w:val="0"/>
      <w:marRight w:val="0"/>
      <w:marTop w:val="0"/>
      <w:marBottom w:val="0"/>
      <w:divBdr>
        <w:top w:val="none" w:sz="0" w:space="0" w:color="auto"/>
        <w:left w:val="none" w:sz="0" w:space="0" w:color="auto"/>
        <w:bottom w:val="none" w:sz="0" w:space="0" w:color="auto"/>
        <w:right w:val="none" w:sz="0" w:space="0" w:color="auto"/>
      </w:divBdr>
      <w:divsChild>
        <w:div w:id="298266755">
          <w:marLeft w:val="0"/>
          <w:marRight w:val="0"/>
          <w:marTop w:val="0"/>
          <w:marBottom w:val="0"/>
          <w:divBdr>
            <w:top w:val="none" w:sz="0" w:space="0" w:color="auto"/>
            <w:left w:val="none" w:sz="0" w:space="0" w:color="auto"/>
            <w:bottom w:val="none" w:sz="0" w:space="0" w:color="auto"/>
            <w:right w:val="none" w:sz="0" w:space="0" w:color="auto"/>
          </w:divBdr>
          <w:divsChild>
            <w:div w:id="2109306695">
              <w:marLeft w:val="0"/>
              <w:marRight w:val="0"/>
              <w:marTop w:val="0"/>
              <w:marBottom w:val="0"/>
              <w:divBdr>
                <w:top w:val="none" w:sz="0" w:space="0" w:color="auto"/>
                <w:left w:val="none" w:sz="0" w:space="0" w:color="auto"/>
                <w:bottom w:val="none" w:sz="0" w:space="0" w:color="auto"/>
                <w:right w:val="none" w:sz="0" w:space="0" w:color="auto"/>
              </w:divBdr>
              <w:divsChild>
                <w:div w:id="368073447">
                  <w:marLeft w:val="0"/>
                  <w:marRight w:val="0"/>
                  <w:marTop w:val="0"/>
                  <w:marBottom w:val="0"/>
                  <w:divBdr>
                    <w:top w:val="none" w:sz="0" w:space="0" w:color="auto"/>
                    <w:left w:val="none" w:sz="0" w:space="0" w:color="auto"/>
                    <w:bottom w:val="none" w:sz="0" w:space="0" w:color="auto"/>
                    <w:right w:val="none" w:sz="0" w:space="0" w:color="auto"/>
                  </w:divBdr>
                  <w:divsChild>
                    <w:div w:id="1366175047">
                      <w:marLeft w:val="0"/>
                      <w:marRight w:val="0"/>
                      <w:marTop w:val="0"/>
                      <w:marBottom w:val="0"/>
                      <w:divBdr>
                        <w:top w:val="none" w:sz="0" w:space="0" w:color="auto"/>
                        <w:left w:val="none" w:sz="0" w:space="0" w:color="auto"/>
                        <w:bottom w:val="none" w:sz="0" w:space="0" w:color="auto"/>
                        <w:right w:val="none" w:sz="0" w:space="0" w:color="auto"/>
                      </w:divBdr>
                      <w:divsChild>
                        <w:div w:id="699624945">
                          <w:marLeft w:val="0"/>
                          <w:marRight w:val="0"/>
                          <w:marTop w:val="0"/>
                          <w:marBottom w:val="0"/>
                          <w:divBdr>
                            <w:top w:val="none" w:sz="0" w:space="0" w:color="auto"/>
                            <w:left w:val="none" w:sz="0" w:space="0" w:color="auto"/>
                            <w:bottom w:val="none" w:sz="0" w:space="0" w:color="auto"/>
                            <w:right w:val="none" w:sz="0" w:space="0" w:color="auto"/>
                          </w:divBdr>
                          <w:divsChild>
                            <w:div w:id="158811198">
                              <w:marLeft w:val="0"/>
                              <w:marRight w:val="0"/>
                              <w:marTop w:val="0"/>
                              <w:marBottom w:val="0"/>
                              <w:divBdr>
                                <w:top w:val="none" w:sz="0" w:space="0" w:color="auto"/>
                                <w:left w:val="none" w:sz="0" w:space="0" w:color="auto"/>
                                <w:bottom w:val="none" w:sz="0" w:space="0" w:color="auto"/>
                                <w:right w:val="none" w:sz="0" w:space="0" w:color="auto"/>
                              </w:divBdr>
                              <w:divsChild>
                                <w:div w:id="1439522798">
                                  <w:marLeft w:val="340"/>
                                  <w:marRight w:val="0"/>
                                  <w:marTop w:val="160"/>
                                  <w:marBottom w:val="200"/>
                                  <w:divBdr>
                                    <w:top w:val="none" w:sz="0" w:space="0" w:color="auto"/>
                                    <w:left w:val="none" w:sz="0" w:space="0" w:color="auto"/>
                                    <w:bottom w:val="none" w:sz="0" w:space="0" w:color="auto"/>
                                    <w:right w:val="none" w:sz="0" w:space="0" w:color="auto"/>
                                  </w:divBdr>
                                </w:div>
                                <w:div w:id="19710153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473294">
                                      <w:blockQuote w:val="1"/>
                                      <w:marLeft w:val="400"/>
                                      <w:marRight w:val="0"/>
                                      <w:marTop w:val="160"/>
                                      <w:marBottom w:val="200"/>
                                      <w:divBdr>
                                        <w:top w:val="none" w:sz="0" w:space="0" w:color="auto"/>
                                        <w:left w:val="none" w:sz="0" w:space="0" w:color="auto"/>
                                        <w:bottom w:val="none" w:sz="0" w:space="0" w:color="auto"/>
                                        <w:right w:val="none" w:sz="0" w:space="0" w:color="auto"/>
                                      </w:divBdr>
                                    </w:div>
                                    <w:div w:id="1968663624">
                                      <w:blockQuote w:val="1"/>
                                      <w:marLeft w:val="400"/>
                                      <w:marRight w:val="0"/>
                                      <w:marTop w:val="160"/>
                                      <w:marBottom w:val="200"/>
                                      <w:divBdr>
                                        <w:top w:val="none" w:sz="0" w:space="0" w:color="auto"/>
                                        <w:left w:val="none" w:sz="0" w:space="0" w:color="auto"/>
                                        <w:bottom w:val="none" w:sz="0" w:space="0" w:color="auto"/>
                                        <w:right w:val="none" w:sz="0" w:space="0" w:color="auto"/>
                                      </w:divBdr>
                                    </w:div>
                                    <w:div w:id="18438100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sChild>
                                            <w:div w:id="1023048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515774">
                                          <w:marLeft w:val="0"/>
                                          <w:marRight w:val="0"/>
                                          <w:marTop w:val="0"/>
                                          <w:marBottom w:val="0"/>
                                          <w:divBdr>
                                            <w:top w:val="none" w:sz="0" w:space="0" w:color="auto"/>
                                            <w:left w:val="none" w:sz="0" w:space="0" w:color="auto"/>
                                            <w:bottom w:val="none" w:sz="0" w:space="0" w:color="auto"/>
                                            <w:right w:val="none" w:sz="0" w:space="0" w:color="auto"/>
                                          </w:divBdr>
                                          <w:divsChild>
                                            <w:div w:id="1044719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sChild>
                                            <w:div w:id="1070268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8095044">
                                      <w:blockQuote w:val="1"/>
                                      <w:marLeft w:val="400"/>
                                      <w:marRight w:val="0"/>
                                      <w:marTop w:val="160"/>
                                      <w:marBottom w:val="200"/>
                                      <w:divBdr>
                                        <w:top w:val="none" w:sz="0" w:space="0" w:color="auto"/>
                                        <w:left w:val="none" w:sz="0" w:space="0" w:color="auto"/>
                                        <w:bottom w:val="none" w:sz="0" w:space="0" w:color="auto"/>
                                        <w:right w:val="none" w:sz="0" w:space="0" w:color="auto"/>
                                      </w:divBdr>
                                    </w:div>
                                    <w:div w:id="1907912389">
                                      <w:blockQuote w:val="1"/>
                                      <w:marLeft w:val="400"/>
                                      <w:marRight w:val="0"/>
                                      <w:marTop w:val="160"/>
                                      <w:marBottom w:val="20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160"/>
                                          <w:marBottom w:val="200"/>
                                          <w:divBdr>
                                            <w:top w:val="none" w:sz="0" w:space="0" w:color="auto"/>
                                            <w:left w:val="none" w:sz="0" w:space="0" w:color="auto"/>
                                            <w:bottom w:val="none" w:sz="0" w:space="0" w:color="auto"/>
                                            <w:right w:val="none" w:sz="0" w:space="0" w:color="auto"/>
                                          </w:divBdr>
                                        </w:div>
                                        <w:div w:id="93698692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487496">
      <w:bodyDiv w:val="1"/>
      <w:marLeft w:val="0"/>
      <w:marRight w:val="0"/>
      <w:marTop w:val="0"/>
      <w:marBottom w:val="0"/>
      <w:divBdr>
        <w:top w:val="none" w:sz="0" w:space="0" w:color="auto"/>
        <w:left w:val="none" w:sz="0" w:space="0" w:color="auto"/>
        <w:bottom w:val="none" w:sz="0" w:space="0" w:color="auto"/>
        <w:right w:val="none" w:sz="0" w:space="0" w:color="auto"/>
      </w:divBdr>
      <w:divsChild>
        <w:div w:id="1030644840">
          <w:marLeft w:val="340"/>
          <w:marRight w:val="0"/>
          <w:marTop w:val="160"/>
          <w:marBottom w:val="200"/>
          <w:divBdr>
            <w:top w:val="none" w:sz="0" w:space="0" w:color="auto"/>
            <w:left w:val="none" w:sz="0" w:space="0" w:color="auto"/>
            <w:bottom w:val="none" w:sz="0" w:space="0" w:color="auto"/>
            <w:right w:val="none" w:sz="0" w:space="0" w:color="auto"/>
          </w:divBdr>
        </w:div>
        <w:div w:id="1810158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17347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417200">
                  <w:marLeft w:val="0"/>
                  <w:marRight w:val="0"/>
                  <w:marTop w:val="0"/>
                  <w:marBottom w:val="0"/>
                  <w:divBdr>
                    <w:top w:val="none" w:sz="0" w:space="0" w:color="auto"/>
                    <w:left w:val="none" w:sz="0" w:space="0" w:color="auto"/>
                    <w:bottom w:val="none" w:sz="0" w:space="0" w:color="auto"/>
                    <w:right w:val="none" w:sz="0" w:space="0" w:color="auto"/>
                  </w:divBdr>
                  <w:divsChild>
                    <w:div w:id="224804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45462">
                  <w:marLeft w:val="0"/>
                  <w:marRight w:val="0"/>
                  <w:marTop w:val="0"/>
                  <w:marBottom w:val="0"/>
                  <w:divBdr>
                    <w:top w:val="none" w:sz="0" w:space="0" w:color="auto"/>
                    <w:left w:val="none" w:sz="0" w:space="0" w:color="auto"/>
                    <w:bottom w:val="none" w:sz="0" w:space="0" w:color="auto"/>
                    <w:right w:val="none" w:sz="0" w:space="0" w:color="auto"/>
                  </w:divBdr>
                  <w:divsChild>
                    <w:div w:id="226691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4791981">
              <w:blockQuote w:val="1"/>
              <w:marLeft w:val="400"/>
              <w:marRight w:val="0"/>
              <w:marTop w:val="160"/>
              <w:marBottom w:val="200"/>
              <w:divBdr>
                <w:top w:val="none" w:sz="0" w:space="0" w:color="auto"/>
                <w:left w:val="none" w:sz="0" w:space="0" w:color="auto"/>
                <w:bottom w:val="none" w:sz="0" w:space="0" w:color="auto"/>
                <w:right w:val="none" w:sz="0" w:space="0" w:color="auto"/>
              </w:divBdr>
            </w:div>
            <w:div w:id="1713460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9640961">
                  <w:marLeft w:val="0"/>
                  <w:marRight w:val="0"/>
                  <w:marTop w:val="0"/>
                  <w:marBottom w:val="0"/>
                  <w:divBdr>
                    <w:top w:val="none" w:sz="0" w:space="0" w:color="auto"/>
                    <w:left w:val="none" w:sz="0" w:space="0" w:color="auto"/>
                    <w:bottom w:val="none" w:sz="0" w:space="0" w:color="auto"/>
                    <w:right w:val="none" w:sz="0" w:space="0" w:color="auto"/>
                  </w:divBdr>
                  <w:divsChild>
                    <w:div w:id="932011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75">
                  <w:marLeft w:val="0"/>
                  <w:marRight w:val="0"/>
                  <w:marTop w:val="0"/>
                  <w:marBottom w:val="0"/>
                  <w:divBdr>
                    <w:top w:val="none" w:sz="0" w:space="0" w:color="auto"/>
                    <w:left w:val="none" w:sz="0" w:space="0" w:color="auto"/>
                    <w:bottom w:val="none" w:sz="0" w:space="0" w:color="auto"/>
                    <w:right w:val="none" w:sz="0" w:space="0" w:color="auto"/>
                  </w:divBdr>
                  <w:divsChild>
                    <w:div w:id="26149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977425">
                  <w:marLeft w:val="0"/>
                  <w:marRight w:val="0"/>
                  <w:marTop w:val="0"/>
                  <w:marBottom w:val="0"/>
                  <w:divBdr>
                    <w:top w:val="none" w:sz="0" w:space="0" w:color="auto"/>
                    <w:left w:val="none" w:sz="0" w:space="0" w:color="auto"/>
                    <w:bottom w:val="none" w:sz="0" w:space="0" w:color="auto"/>
                    <w:right w:val="none" w:sz="0" w:space="0" w:color="auto"/>
                  </w:divBdr>
                  <w:divsChild>
                    <w:div w:id="17353507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0337156">
                  <w:marLeft w:val="0"/>
                  <w:marRight w:val="0"/>
                  <w:marTop w:val="0"/>
                  <w:marBottom w:val="0"/>
                  <w:divBdr>
                    <w:top w:val="none" w:sz="0" w:space="0" w:color="auto"/>
                    <w:left w:val="none" w:sz="0" w:space="0" w:color="auto"/>
                    <w:bottom w:val="none" w:sz="0" w:space="0" w:color="auto"/>
                    <w:right w:val="none" w:sz="0" w:space="0" w:color="auto"/>
                  </w:divBdr>
                  <w:divsChild>
                    <w:div w:id="7364383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075515">
                  <w:marLeft w:val="0"/>
                  <w:marRight w:val="0"/>
                  <w:marTop w:val="0"/>
                  <w:marBottom w:val="0"/>
                  <w:divBdr>
                    <w:top w:val="none" w:sz="0" w:space="0" w:color="auto"/>
                    <w:left w:val="none" w:sz="0" w:space="0" w:color="auto"/>
                    <w:bottom w:val="none" w:sz="0" w:space="0" w:color="auto"/>
                    <w:right w:val="none" w:sz="0" w:space="0" w:color="auto"/>
                  </w:divBdr>
                  <w:divsChild>
                    <w:div w:id="669991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1611237">
                  <w:marLeft w:val="0"/>
                  <w:marRight w:val="0"/>
                  <w:marTop w:val="0"/>
                  <w:marBottom w:val="0"/>
                  <w:divBdr>
                    <w:top w:val="none" w:sz="0" w:space="0" w:color="auto"/>
                    <w:left w:val="none" w:sz="0" w:space="0" w:color="auto"/>
                    <w:bottom w:val="none" w:sz="0" w:space="0" w:color="auto"/>
                    <w:right w:val="none" w:sz="0" w:space="0" w:color="auto"/>
                  </w:divBdr>
                  <w:divsChild>
                    <w:div w:id="307974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7414627">
                  <w:marLeft w:val="0"/>
                  <w:marRight w:val="0"/>
                  <w:marTop w:val="0"/>
                  <w:marBottom w:val="0"/>
                  <w:divBdr>
                    <w:top w:val="none" w:sz="0" w:space="0" w:color="auto"/>
                    <w:left w:val="none" w:sz="0" w:space="0" w:color="auto"/>
                    <w:bottom w:val="none" w:sz="0" w:space="0" w:color="auto"/>
                    <w:right w:val="none" w:sz="0" w:space="0" w:color="auto"/>
                  </w:divBdr>
                  <w:divsChild>
                    <w:div w:id="942300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77212844">
      <w:bodyDiv w:val="1"/>
      <w:marLeft w:val="0"/>
      <w:marRight w:val="0"/>
      <w:marTop w:val="0"/>
      <w:marBottom w:val="0"/>
      <w:divBdr>
        <w:top w:val="none" w:sz="0" w:space="0" w:color="auto"/>
        <w:left w:val="none" w:sz="0" w:space="0" w:color="auto"/>
        <w:bottom w:val="none" w:sz="0" w:space="0" w:color="auto"/>
        <w:right w:val="none" w:sz="0" w:space="0" w:color="auto"/>
      </w:divBdr>
      <w:divsChild>
        <w:div w:id="32925655">
          <w:marLeft w:val="0"/>
          <w:marRight w:val="0"/>
          <w:marTop w:val="0"/>
          <w:marBottom w:val="0"/>
          <w:divBdr>
            <w:top w:val="none" w:sz="0" w:space="0" w:color="auto"/>
            <w:left w:val="none" w:sz="0" w:space="0" w:color="auto"/>
            <w:bottom w:val="none" w:sz="0" w:space="0" w:color="auto"/>
            <w:right w:val="none" w:sz="0" w:space="0" w:color="auto"/>
          </w:divBdr>
          <w:divsChild>
            <w:div w:id="17339602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05018">
                  <w:marLeft w:val="0"/>
                  <w:marRight w:val="0"/>
                  <w:marTop w:val="0"/>
                  <w:marBottom w:val="0"/>
                  <w:divBdr>
                    <w:top w:val="none" w:sz="0" w:space="0" w:color="auto"/>
                    <w:left w:val="none" w:sz="0" w:space="0" w:color="auto"/>
                    <w:bottom w:val="none" w:sz="0" w:space="0" w:color="auto"/>
                    <w:right w:val="none" w:sz="0" w:space="0" w:color="auto"/>
                  </w:divBdr>
                  <w:divsChild>
                    <w:div w:id="151900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200659">
                  <w:marLeft w:val="0"/>
                  <w:marRight w:val="0"/>
                  <w:marTop w:val="0"/>
                  <w:marBottom w:val="0"/>
                  <w:divBdr>
                    <w:top w:val="none" w:sz="0" w:space="0" w:color="auto"/>
                    <w:left w:val="none" w:sz="0" w:space="0" w:color="auto"/>
                    <w:bottom w:val="none" w:sz="0" w:space="0" w:color="auto"/>
                    <w:right w:val="none" w:sz="0" w:space="0" w:color="auto"/>
                  </w:divBdr>
                  <w:divsChild>
                    <w:div w:id="758410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4501985">
                  <w:marLeft w:val="0"/>
                  <w:marRight w:val="0"/>
                  <w:marTop w:val="0"/>
                  <w:marBottom w:val="0"/>
                  <w:divBdr>
                    <w:top w:val="none" w:sz="0" w:space="0" w:color="auto"/>
                    <w:left w:val="none" w:sz="0" w:space="0" w:color="auto"/>
                    <w:bottom w:val="none" w:sz="0" w:space="0" w:color="auto"/>
                    <w:right w:val="none" w:sz="0" w:space="0" w:color="auto"/>
                  </w:divBdr>
                  <w:divsChild>
                    <w:div w:id="1803303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7489664">
                  <w:marLeft w:val="0"/>
                  <w:marRight w:val="0"/>
                  <w:marTop w:val="0"/>
                  <w:marBottom w:val="0"/>
                  <w:divBdr>
                    <w:top w:val="none" w:sz="0" w:space="0" w:color="auto"/>
                    <w:left w:val="none" w:sz="0" w:space="0" w:color="auto"/>
                    <w:bottom w:val="none" w:sz="0" w:space="0" w:color="auto"/>
                    <w:right w:val="none" w:sz="0" w:space="0" w:color="auto"/>
                  </w:divBdr>
                  <w:divsChild>
                    <w:div w:id="781270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1366015">
                  <w:marLeft w:val="0"/>
                  <w:marRight w:val="0"/>
                  <w:marTop w:val="0"/>
                  <w:marBottom w:val="0"/>
                  <w:divBdr>
                    <w:top w:val="none" w:sz="0" w:space="0" w:color="auto"/>
                    <w:left w:val="none" w:sz="0" w:space="0" w:color="auto"/>
                    <w:bottom w:val="none" w:sz="0" w:space="0" w:color="auto"/>
                    <w:right w:val="none" w:sz="0" w:space="0" w:color="auto"/>
                  </w:divBdr>
                  <w:divsChild>
                    <w:div w:id="1517382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2948024">
                  <w:marLeft w:val="0"/>
                  <w:marRight w:val="0"/>
                  <w:marTop w:val="0"/>
                  <w:marBottom w:val="0"/>
                  <w:divBdr>
                    <w:top w:val="none" w:sz="0" w:space="0" w:color="auto"/>
                    <w:left w:val="none" w:sz="0" w:space="0" w:color="auto"/>
                    <w:bottom w:val="none" w:sz="0" w:space="0" w:color="auto"/>
                    <w:right w:val="none" w:sz="0" w:space="0" w:color="auto"/>
                  </w:divBdr>
                  <w:divsChild>
                    <w:div w:id="175639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223450">
                  <w:marLeft w:val="0"/>
                  <w:marRight w:val="0"/>
                  <w:marTop w:val="0"/>
                  <w:marBottom w:val="0"/>
                  <w:divBdr>
                    <w:top w:val="none" w:sz="0" w:space="0" w:color="auto"/>
                    <w:left w:val="none" w:sz="0" w:space="0" w:color="auto"/>
                    <w:bottom w:val="none" w:sz="0" w:space="0" w:color="auto"/>
                    <w:right w:val="none" w:sz="0" w:space="0" w:color="auto"/>
                  </w:divBdr>
                  <w:divsChild>
                    <w:div w:id="1755664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378886">
                  <w:marLeft w:val="0"/>
                  <w:marRight w:val="0"/>
                  <w:marTop w:val="0"/>
                  <w:marBottom w:val="0"/>
                  <w:divBdr>
                    <w:top w:val="none" w:sz="0" w:space="0" w:color="auto"/>
                    <w:left w:val="none" w:sz="0" w:space="0" w:color="auto"/>
                    <w:bottom w:val="none" w:sz="0" w:space="0" w:color="auto"/>
                    <w:right w:val="none" w:sz="0" w:space="0" w:color="auto"/>
                  </w:divBdr>
                  <w:divsChild>
                    <w:div w:id="15576246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92695463">
          <w:marLeft w:val="0"/>
          <w:marRight w:val="0"/>
          <w:marTop w:val="0"/>
          <w:marBottom w:val="0"/>
          <w:divBdr>
            <w:top w:val="none" w:sz="0" w:space="0" w:color="auto"/>
            <w:left w:val="none" w:sz="0" w:space="0" w:color="auto"/>
            <w:bottom w:val="none" w:sz="0" w:space="0" w:color="auto"/>
            <w:right w:val="none" w:sz="0" w:space="0" w:color="auto"/>
          </w:divBdr>
          <w:divsChild>
            <w:div w:id="996112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27949">
          <w:marLeft w:val="0"/>
          <w:marRight w:val="0"/>
          <w:marTop w:val="0"/>
          <w:marBottom w:val="0"/>
          <w:divBdr>
            <w:top w:val="none" w:sz="0" w:space="0" w:color="auto"/>
            <w:left w:val="none" w:sz="0" w:space="0" w:color="auto"/>
            <w:bottom w:val="none" w:sz="0" w:space="0" w:color="auto"/>
            <w:right w:val="none" w:sz="0" w:space="0" w:color="auto"/>
          </w:divBdr>
          <w:divsChild>
            <w:div w:id="13742292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41542933">
      <w:bodyDiv w:val="1"/>
      <w:marLeft w:val="0"/>
      <w:marRight w:val="0"/>
      <w:marTop w:val="0"/>
      <w:marBottom w:val="0"/>
      <w:divBdr>
        <w:top w:val="none" w:sz="0" w:space="0" w:color="auto"/>
        <w:left w:val="none" w:sz="0" w:space="0" w:color="auto"/>
        <w:bottom w:val="none" w:sz="0" w:space="0" w:color="auto"/>
        <w:right w:val="none" w:sz="0" w:space="0" w:color="auto"/>
      </w:divBdr>
      <w:divsChild>
        <w:div w:id="1085153786">
          <w:marLeft w:val="340"/>
          <w:marRight w:val="0"/>
          <w:marTop w:val="160"/>
          <w:marBottom w:val="200"/>
          <w:divBdr>
            <w:top w:val="none" w:sz="0" w:space="0" w:color="auto"/>
            <w:left w:val="none" w:sz="0" w:space="0" w:color="auto"/>
            <w:bottom w:val="none" w:sz="0" w:space="0" w:color="auto"/>
            <w:right w:val="none" w:sz="0" w:space="0" w:color="auto"/>
          </w:divBdr>
        </w:div>
        <w:div w:id="51276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16213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8320769">
                  <w:marLeft w:val="0"/>
                  <w:marRight w:val="0"/>
                  <w:marTop w:val="0"/>
                  <w:marBottom w:val="0"/>
                  <w:divBdr>
                    <w:top w:val="none" w:sz="0" w:space="0" w:color="auto"/>
                    <w:left w:val="none" w:sz="0" w:space="0" w:color="auto"/>
                    <w:bottom w:val="none" w:sz="0" w:space="0" w:color="auto"/>
                    <w:right w:val="none" w:sz="0" w:space="0" w:color="auto"/>
                  </w:divBdr>
                  <w:divsChild>
                    <w:div w:id="12264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242226">
                  <w:marLeft w:val="0"/>
                  <w:marRight w:val="0"/>
                  <w:marTop w:val="0"/>
                  <w:marBottom w:val="0"/>
                  <w:divBdr>
                    <w:top w:val="none" w:sz="0" w:space="0" w:color="auto"/>
                    <w:left w:val="none" w:sz="0" w:space="0" w:color="auto"/>
                    <w:bottom w:val="none" w:sz="0" w:space="0" w:color="auto"/>
                    <w:right w:val="none" w:sz="0" w:space="0" w:color="auto"/>
                  </w:divBdr>
                  <w:divsChild>
                    <w:div w:id="435251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7812168">
              <w:blockQuote w:val="1"/>
              <w:marLeft w:val="400"/>
              <w:marRight w:val="0"/>
              <w:marTop w:val="160"/>
              <w:marBottom w:val="200"/>
              <w:divBdr>
                <w:top w:val="none" w:sz="0" w:space="0" w:color="auto"/>
                <w:left w:val="none" w:sz="0" w:space="0" w:color="auto"/>
                <w:bottom w:val="none" w:sz="0" w:space="0" w:color="auto"/>
                <w:right w:val="none" w:sz="0" w:space="0" w:color="auto"/>
              </w:divBdr>
            </w:div>
            <w:div w:id="1426345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3508605">
                  <w:marLeft w:val="0"/>
                  <w:marRight w:val="0"/>
                  <w:marTop w:val="0"/>
                  <w:marBottom w:val="0"/>
                  <w:divBdr>
                    <w:top w:val="none" w:sz="0" w:space="0" w:color="auto"/>
                    <w:left w:val="none" w:sz="0" w:space="0" w:color="auto"/>
                    <w:bottom w:val="none" w:sz="0" w:space="0" w:color="auto"/>
                    <w:right w:val="none" w:sz="0" w:space="0" w:color="auto"/>
                  </w:divBdr>
                  <w:divsChild>
                    <w:div w:id="452945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072838">
                  <w:marLeft w:val="0"/>
                  <w:marRight w:val="0"/>
                  <w:marTop w:val="0"/>
                  <w:marBottom w:val="0"/>
                  <w:divBdr>
                    <w:top w:val="none" w:sz="0" w:space="0" w:color="auto"/>
                    <w:left w:val="none" w:sz="0" w:space="0" w:color="auto"/>
                    <w:bottom w:val="none" w:sz="0" w:space="0" w:color="auto"/>
                    <w:right w:val="none" w:sz="0" w:space="0" w:color="auto"/>
                  </w:divBdr>
                  <w:divsChild>
                    <w:div w:id="329531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1179097">
                  <w:marLeft w:val="0"/>
                  <w:marRight w:val="0"/>
                  <w:marTop w:val="0"/>
                  <w:marBottom w:val="0"/>
                  <w:divBdr>
                    <w:top w:val="none" w:sz="0" w:space="0" w:color="auto"/>
                    <w:left w:val="none" w:sz="0" w:space="0" w:color="auto"/>
                    <w:bottom w:val="none" w:sz="0" w:space="0" w:color="auto"/>
                    <w:right w:val="none" w:sz="0" w:space="0" w:color="auto"/>
                  </w:divBdr>
                  <w:divsChild>
                    <w:div w:id="18291754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4290105">
                  <w:marLeft w:val="0"/>
                  <w:marRight w:val="0"/>
                  <w:marTop w:val="0"/>
                  <w:marBottom w:val="0"/>
                  <w:divBdr>
                    <w:top w:val="none" w:sz="0" w:space="0" w:color="auto"/>
                    <w:left w:val="none" w:sz="0" w:space="0" w:color="auto"/>
                    <w:bottom w:val="none" w:sz="0" w:space="0" w:color="auto"/>
                    <w:right w:val="none" w:sz="0" w:space="0" w:color="auto"/>
                  </w:divBdr>
                  <w:divsChild>
                    <w:div w:id="1079449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2731701">
                  <w:marLeft w:val="0"/>
                  <w:marRight w:val="0"/>
                  <w:marTop w:val="0"/>
                  <w:marBottom w:val="0"/>
                  <w:divBdr>
                    <w:top w:val="none" w:sz="0" w:space="0" w:color="auto"/>
                    <w:left w:val="none" w:sz="0" w:space="0" w:color="auto"/>
                    <w:bottom w:val="none" w:sz="0" w:space="0" w:color="auto"/>
                    <w:right w:val="none" w:sz="0" w:space="0" w:color="auto"/>
                  </w:divBdr>
                  <w:divsChild>
                    <w:div w:id="1063673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027629">
                  <w:marLeft w:val="0"/>
                  <w:marRight w:val="0"/>
                  <w:marTop w:val="0"/>
                  <w:marBottom w:val="0"/>
                  <w:divBdr>
                    <w:top w:val="none" w:sz="0" w:space="0" w:color="auto"/>
                    <w:left w:val="none" w:sz="0" w:space="0" w:color="auto"/>
                    <w:bottom w:val="none" w:sz="0" w:space="0" w:color="auto"/>
                    <w:right w:val="none" w:sz="0" w:space="0" w:color="auto"/>
                  </w:divBdr>
                  <w:divsChild>
                    <w:div w:id="149403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6316156">
                  <w:marLeft w:val="0"/>
                  <w:marRight w:val="0"/>
                  <w:marTop w:val="0"/>
                  <w:marBottom w:val="0"/>
                  <w:divBdr>
                    <w:top w:val="none" w:sz="0" w:space="0" w:color="auto"/>
                    <w:left w:val="none" w:sz="0" w:space="0" w:color="auto"/>
                    <w:bottom w:val="none" w:sz="0" w:space="0" w:color="auto"/>
                    <w:right w:val="none" w:sz="0" w:space="0" w:color="auto"/>
                  </w:divBdr>
                  <w:divsChild>
                    <w:div w:id="337927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ndrews@parliament.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ofcho@health.vi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tools-and-resources/best-practice-guides/consultation-and-cooperation-in-the-workplace" TargetMode="External"/><Relationship Id="rId2" Type="http://schemas.openxmlformats.org/officeDocument/2006/relationships/hyperlink" Target="https://www.dhhs.vic.gov.au/sites/default/files/documents/202109/state-of-emergency-extension-23-september-2021.pdf" TargetMode="External"/><Relationship Id="rId1" Type="http://schemas.openxmlformats.org/officeDocument/2006/relationships/hyperlink" Target="https://www.dhhs.vic.gov.au/sites/default/files/documents/202109/state-of-emergency-extension-23-septembe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D6EA-D92E-4AFF-8F0F-D7A5E2B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5435</Words>
  <Characters>30984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Peter</dc:creator>
  <cp:keywords/>
  <dc:description/>
  <cp:lastModifiedBy>sonnya nicolaci</cp:lastModifiedBy>
  <cp:revision>6</cp:revision>
  <dcterms:created xsi:type="dcterms:W3CDTF">2021-10-07T06:20:00Z</dcterms:created>
  <dcterms:modified xsi:type="dcterms:W3CDTF">2021-10-07T22:48:00Z</dcterms:modified>
</cp:coreProperties>
</file>