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97D5" w14:textId="25611072" w:rsidR="00030760" w:rsidRDefault="008D6523">
      <w:pPr>
        <w:rPr>
          <w:sz w:val="52"/>
          <w:szCs w:val="52"/>
        </w:rPr>
      </w:pPr>
      <w:bookmarkStart w:id="0" w:name="_Toc497211322"/>
      <w:bookmarkStart w:id="1" w:name="_Toc513107241"/>
      <w:r>
        <w:rPr>
          <w:sz w:val="52"/>
          <w:szCs w:val="52"/>
        </w:rPr>
        <w:t xml:space="preserve">Risk Register - </w:t>
      </w:r>
      <w:r w:rsidRPr="008D6523">
        <w:rPr>
          <w:sz w:val="52"/>
          <w:szCs w:val="52"/>
        </w:rPr>
        <w:t>Mandatory COVID-19 vaccination for employees</w:t>
      </w:r>
      <w:bookmarkEnd w:id="0"/>
      <w:bookmarkEnd w:id="1"/>
      <w:r w:rsidRPr="008D6523">
        <w:rPr>
          <w:sz w:val="52"/>
          <w:szCs w:val="52"/>
        </w:rPr>
        <w:t>:</w:t>
      </w:r>
    </w:p>
    <w:p w14:paraId="17C09B97" w14:textId="33A2D1C3" w:rsidR="006968B3" w:rsidRPr="006968B3" w:rsidRDefault="006968B3">
      <w:r>
        <w:t>It is important to understand the risks associated with forced vaccination of employees, before enforcing this policy in your workplace. While COVID-19 itself poses some risks, knowing there are risks associated with COVID-19 vaccines is an important first step in your decision-making process.</w:t>
      </w:r>
      <w:r w:rsidR="001C3FE9">
        <w:t xml:space="preserve"> An extensive information paper on all the facts can be located </w:t>
      </w:r>
      <w:hyperlink r:id="rId5" w:history="1">
        <w:r w:rsidR="001C3FE9" w:rsidRPr="001C3FE9">
          <w:rPr>
            <w:rStyle w:val="Hyperlink"/>
          </w:rPr>
          <w:t>here</w:t>
        </w:r>
      </w:hyperlink>
      <w:r w:rsidR="001C3FE9">
        <w:t xml:space="preserve">. </w:t>
      </w:r>
      <w:r w:rsidR="000F4DB2">
        <w:t xml:space="preserve">It is important to understand that Occupational Health and Safety laws and regulations and/or Work Health and Safety Laws and Regulations do not provide that vaccinations and/or other medical interventions are measures within their </w:t>
      </w:r>
      <w:r w:rsidR="005430E8">
        <w:t>authority</w:t>
      </w:r>
      <w:r w:rsidR="000F4DB2">
        <w:t xml:space="preserve">. Furthermore, </w:t>
      </w:r>
      <w:r w:rsidR="0008669D">
        <w:t>Governments (whether State or Federal)</w:t>
      </w:r>
      <w:r w:rsidR="000F4DB2">
        <w:t xml:space="preserve"> are not providing Employers any indemnity for vaccine damage sustained by the employee. </w:t>
      </w:r>
      <w:r w:rsidR="0008669D">
        <w:t>Safe Work Australia and the respective Workcover organisations in each State and Territory have been silent on whether employees would be covered under Workers’ Compensation schemes. This means that Employers will be directly liable for any employees sustaining damage or death as a result of mandating the vaccines, irrespective as to whether this mandate is Employer driven or driven by Government Mandates. Employers should demand answers from the Government in relation to Government Mandates forcing employees to get vaccinated when Employers have not been provided any indemnity.</w:t>
      </w:r>
    </w:p>
    <w:tbl>
      <w:tblPr>
        <w:tblStyle w:val="TableGrid"/>
        <w:tblW w:w="21541" w:type="dxa"/>
        <w:tblLook w:val="04A0" w:firstRow="1" w:lastRow="0" w:firstColumn="1" w:lastColumn="0" w:noHBand="0" w:noVBand="1"/>
      </w:tblPr>
      <w:tblGrid>
        <w:gridCol w:w="1696"/>
        <w:gridCol w:w="1843"/>
        <w:gridCol w:w="2977"/>
        <w:gridCol w:w="7938"/>
        <w:gridCol w:w="4111"/>
        <w:gridCol w:w="2976"/>
      </w:tblGrid>
      <w:tr w:rsidR="005430E8" w:rsidRPr="008D6523" w14:paraId="55AA72BB" w14:textId="0DBDD635" w:rsidTr="005430E8">
        <w:tc>
          <w:tcPr>
            <w:tcW w:w="1696" w:type="dxa"/>
          </w:tcPr>
          <w:p w14:paraId="2768DECF" w14:textId="3A33BADE" w:rsidR="005430E8" w:rsidRPr="008D6523" w:rsidRDefault="005430E8" w:rsidP="000F4DB2">
            <w:pPr>
              <w:rPr>
                <w:b/>
                <w:bCs/>
              </w:rPr>
            </w:pPr>
            <w:r w:rsidRPr="008D6523">
              <w:rPr>
                <w:b/>
                <w:bCs/>
              </w:rPr>
              <w:t>Hazard</w:t>
            </w:r>
          </w:p>
        </w:tc>
        <w:tc>
          <w:tcPr>
            <w:tcW w:w="1843" w:type="dxa"/>
          </w:tcPr>
          <w:p w14:paraId="7D3862F1" w14:textId="15841DC8" w:rsidR="005430E8" w:rsidRPr="008D6523" w:rsidRDefault="005430E8" w:rsidP="000F4DB2">
            <w:pPr>
              <w:rPr>
                <w:b/>
                <w:bCs/>
              </w:rPr>
            </w:pPr>
            <w:r w:rsidRPr="008D6523">
              <w:rPr>
                <w:b/>
                <w:bCs/>
              </w:rPr>
              <w:t>What is the harm that the hazard could cause?</w:t>
            </w:r>
          </w:p>
        </w:tc>
        <w:tc>
          <w:tcPr>
            <w:tcW w:w="2977" w:type="dxa"/>
          </w:tcPr>
          <w:p w14:paraId="7738BD25" w14:textId="5F0A4735" w:rsidR="005430E8" w:rsidRPr="008D6523" w:rsidRDefault="005430E8" w:rsidP="000F4DB2">
            <w:pPr>
              <w:rPr>
                <w:b/>
                <w:bCs/>
              </w:rPr>
            </w:pPr>
            <w:r w:rsidRPr="008D6523">
              <w:rPr>
                <w:b/>
                <w:bCs/>
              </w:rPr>
              <w:t>What is the likelihood that the harm would occur?</w:t>
            </w:r>
          </w:p>
        </w:tc>
        <w:tc>
          <w:tcPr>
            <w:tcW w:w="7938" w:type="dxa"/>
          </w:tcPr>
          <w:p w14:paraId="56BD2F8C" w14:textId="4DA733CD" w:rsidR="005430E8" w:rsidRPr="008D6523" w:rsidRDefault="005430E8" w:rsidP="000F4DB2">
            <w:pPr>
              <w:rPr>
                <w:b/>
                <w:bCs/>
              </w:rPr>
            </w:pPr>
            <w:r w:rsidRPr="008D6523">
              <w:rPr>
                <w:b/>
                <w:bCs/>
              </w:rPr>
              <w:t>What is the level of risk to employee?</w:t>
            </w:r>
          </w:p>
        </w:tc>
        <w:tc>
          <w:tcPr>
            <w:tcW w:w="4111" w:type="dxa"/>
          </w:tcPr>
          <w:p w14:paraId="6FB21242" w14:textId="3F799602" w:rsidR="005430E8" w:rsidRPr="008D6523" w:rsidRDefault="005430E8" w:rsidP="000F4DB2">
            <w:pPr>
              <w:rPr>
                <w:b/>
                <w:bCs/>
              </w:rPr>
            </w:pPr>
            <w:r w:rsidRPr="008D6523">
              <w:rPr>
                <w:b/>
                <w:bCs/>
              </w:rPr>
              <w:t>What is the risk to the business?</w:t>
            </w:r>
          </w:p>
        </w:tc>
        <w:tc>
          <w:tcPr>
            <w:tcW w:w="2976" w:type="dxa"/>
          </w:tcPr>
          <w:p w14:paraId="2A20FDFC" w14:textId="6D4F99F2" w:rsidR="005430E8" w:rsidRPr="008D6523" w:rsidRDefault="005430E8" w:rsidP="000F4DB2">
            <w:pPr>
              <w:rPr>
                <w:b/>
                <w:bCs/>
              </w:rPr>
            </w:pPr>
            <w:r>
              <w:rPr>
                <w:b/>
                <w:bCs/>
              </w:rPr>
              <w:t>What control measures can be taken to mitigate the hazard?</w:t>
            </w:r>
          </w:p>
        </w:tc>
      </w:tr>
      <w:tr w:rsidR="005430E8" w14:paraId="2AAAB67B" w14:textId="1B0EA880" w:rsidTr="005430E8">
        <w:tc>
          <w:tcPr>
            <w:tcW w:w="1696" w:type="dxa"/>
          </w:tcPr>
          <w:p w14:paraId="5B5BAC66" w14:textId="1227E418" w:rsidR="005430E8" w:rsidRDefault="005430E8" w:rsidP="000F4DB2">
            <w:r>
              <w:rPr>
                <w:rStyle w:val="PlaceholderText"/>
                <w:color w:val="7F7F7F" w:themeColor="text1" w:themeTint="80"/>
              </w:rPr>
              <w:t xml:space="preserve">Injury caused to employee after </w:t>
            </w:r>
            <w:r w:rsidRPr="00135900">
              <w:rPr>
                <w:rStyle w:val="PlaceholderText"/>
                <w:color w:val="7F7F7F" w:themeColor="text1" w:themeTint="80"/>
              </w:rPr>
              <w:t xml:space="preserve">COVID-19 </w:t>
            </w:r>
            <w:r>
              <w:rPr>
                <w:rStyle w:val="PlaceholderText"/>
                <w:color w:val="7F7F7F" w:themeColor="text1" w:themeTint="80"/>
              </w:rPr>
              <w:t>vaccination</w:t>
            </w:r>
          </w:p>
        </w:tc>
        <w:tc>
          <w:tcPr>
            <w:tcW w:w="1843" w:type="dxa"/>
          </w:tcPr>
          <w:p w14:paraId="66F1BEBC" w14:textId="7E51481D" w:rsidR="005430E8" w:rsidRPr="00F570EA" w:rsidRDefault="005430E8" w:rsidP="000F4DB2">
            <w:pPr>
              <w:rPr>
                <w:sz w:val="18"/>
                <w:szCs w:val="18"/>
              </w:rPr>
            </w:pPr>
            <w:r w:rsidRPr="00135900">
              <w:rPr>
                <w:rStyle w:val="PlaceholderText"/>
                <w:color w:val="7F7F7F" w:themeColor="text1" w:themeTint="80"/>
              </w:rPr>
              <w:t xml:space="preserve">Staff </w:t>
            </w:r>
            <w:r>
              <w:rPr>
                <w:rStyle w:val="PlaceholderText"/>
                <w:color w:val="7F7F7F" w:themeColor="text1" w:themeTint="80"/>
              </w:rPr>
              <w:t xml:space="preserve">having an adverse event after having a </w:t>
            </w:r>
            <w:r w:rsidRPr="00135900">
              <w:rPr>
                <w:rStyle w:val="PlaceholderText"/>
                <w:color w:val="7F7F7F" w:themeColor="text1" w:themeTint="80"/>
              </w:rPr>
              <w:t xml:space="preserve">COVID-19 </w:t>
            </w:r>
            <w:r>
              <w:rPr>
                <w:rStyle w:val="PlaceholderText"/>
                <w:color w:val="7F7F7F" w:themeColor="text1" w:themeTint="80"/>
              </w:rPr>
              <w:t xml:space="preserve">vaccination that could result in absenteeism, where the injury is minor, however there are known adverse effects that also result </w:t>
            </w:r>
            <w:r w:rsidRPr="00135900">
              <w:rPr>
                <w:rStyle w:val="PlaceholderText"/>
                <w:color w:val="7F7F7F" w:themeColor="text1" w:themeTint="80"/>
              </w:rPr>
              <w:t xml:space="preserve">in serious illness </w:t>
            </w:r>
            <w:r>
              <w:rPr>
                <w:rStyle w:val="PlaceholderText"/>
                <w:color w:val="7F7F7F" w:themeColor="text1" w:themeTint="80"/>
              </w:rPr>
              <w:t>and</w:t>
            </w:r>
            <w:r w:rsidRPr="00135900">
              <w:rPr>
                <w:rStyle w:val="PlaceholderText"/>
                <w:color w:val="7F7F7F" w:themeColor="text1" w:themeTint="80"/>
              </w:rPr>
              <w:t xml:space="preserve"> death.</w:t>
            </w:r>
          </w:p>
        </w:tc>
        <w:tc>
          <w:tcPr>
            <w:tcW w:w="2977" w:type="dxa"/>
          </w:tcPr>
          <w:p w14:paraId="632F31E6" w14:textId="2C5EAF33" w:rsidR="005430E8" w:rsidRPr="00F570EA" w:rsidRDefault="005430E8" w:rsidP="000F4DB2">
            <w:pPr>
              <w:rPr>
                <w:sz w:val="18"/>
                <w:szCs w:val="18"/>
              </w:rPr>
            </w:pPr>
            <w:r>
              <w:rPr>
                <w:rStyle w:val="PlaceholderText"/>
                <w:color w:val="7F7F7F" w:themeColor="text1" w:themeTint="80"/>
              </w:rPr>
              <w:t>Moderate</w:t>
            </w:r>
            <w:r w:rsidRPr="00135900">
              <w:rPr>
                <w:rStyle w:val="PlaceholderText"/>
                <w:color w:val="7F7F7F" w:themeColor="text1" w:themeTint="80"/>
              </w:rPr>
              <w:t xml:space="preserve">, </w:t>
            </w:r>
            <w:r>
              <w:rPr>
                <w:rStyle w:val="PlaceholderText"/>
                <w:color w:val="7F7F7F" w:themeColor="text1" w:themeTint="80"/>
              </w:rPr>
              <w:t xml:space="preserve">as at </w:t>
            </w:r>
            <w:r w:rsidR="00B63CAD">
              <w:rPr>
                <w:rStyle w:val="PlaceholderText"/>
                <w:color w:val="7F7F7F" w:themeColor="text1" w:themeTint="80"/>
              </w:rPr>
              <w:t>26</w:t>
            </w:r>
            <w:r>
              <w:rPr>
                <w:rStyle w:val="PlaceholderText"/>
                <w:color w:val="7F7F7F" w:themeColor="text1" w:themeTint="80"/>
              </w:rPr>
              <w:t xml:space="preserve">-9-21 </w:t>
            </w:r>
            <w:r w:rsidRPr="00135900">
              <w:rPr>
                <w:rStyle w:val="PlaceholderText"/>
                <w:color w:val="7F7F7F" w:themeColor="text1" w:themeTint="80"/>
              </w:rPr>
              <w:t xml:space="preserve">there have been </w:t>
            </w:r>
            <w:r>
              <w:rPr>
                <w:rStyle w:val="PlaceholderText"/>
                <w:color w:val="7F7F7F" w:themeColor="text1" w:themeTint="80"/>
              </w:rPr>
              <w:t>6</w:t>
            </w:r>
            <w:r w:rsidR="00B63CAD">
              <w:rPr>
                <w:rStyle w:val="PlaceholderText"/>
                <w:color w:val="7F7F7F" w:themeColor="text1" w:themeTint="80"/>
              </w:rPr>
              <w:t>4</w:t>
            </w:r>
            <w:r>
              <w:rPr>
                <w:rStyle w:val="PlaceholderText"/>
                <w:color w:val="7F7F7F" w:themeColor="text1" w:themeTint="80"/>
              </w:rPr>
              <w:t>,</w:t>
            </w:r>
            <w:r w:rsidR="00B63CAD">
              <w:rPr>
                <w:rStyle w:val="PlaceholderText"/>
                <w:color w:val="7F7F7F" w:themeColor="text1" w:themeTint="80"/>
              </w:rPr>
              <w:t>293</w:t>
            </w:r>
            <w:r>
              <w:rPr>
                <w:rStyle w:val="PlaceholderText"/>
                <w:color w:val="7F7F7F" w:themeColor="text1" w:themeTint="80"/>
              </w:rPr>
              <w:t xml:space="preserve"> </w:t>
            </w:r>
            <w:r w:rsidRPr="00135900">
              <w:rPr>
                <w:rStyle w:val="PlaceholderText"/>
                <w:color w:val="7F7F7F" w:themeColor="text1" w:themeTint="80"/>
              </w:rPr>
              <w:t xml:space="preserve">cases </w:t>
            </w:r>
            <w:r>
              <w:rPr>
                <w:rStyle w:val="PlaceholderText"/>
                <w:color w:val="7F7F7F" w:themeColor="text1" w:themeTint="80"/>
              </w:rPr>
              <w:t>of adverse events including 56</w:t>
            </w:r>
            <w:r w:rsidR="00B63CAD">
              <w:rPr>
                <w:rStyle w:val="PlaceholderText"/>
                <w:color w:val="7F7F7F" w:themeColor="text1" w:themeTint="80"/>
              </w:rPr>
              <w:t>4</w:t>
            </w:r>
            <w:r>
              <w:rPr>
                <w:rStyle w:val="PlaceholderText"/>
                <w:color w:val="7F7F7F" w:themeColor="text1" w:themeTint="80"/>
              </w:rPr>
              <w:t xml:space="preserve"> reported deaths in Australia alone, according to TGA data. TGA reports 2.</w:t>
            </w:r>
            <w:r w:rsidR="00B63CAD">
              <w:rPr>
                <w:rStyle w:val="PlaceholderText"/>
                <w:color w:val="7F7F7F" w:themeColor="text1" w:themeTint="80"/>
              </w:rPr>
              <w:t>4</w:t>
            </w:r>
            <w:r>
              <w:rPr>
                <w:rStyle w:val="PlaceholderText"/>
                <w:color w:val="7F7F7F" w:themeColor="text1" w:themeTint="80"/>
              </w:rPr>
              <w:t xml:space="preserve"> injuries per 1000 do</w:t>
            </w:r>
            <w:r w:rsidR="00B530F7">
              <w:rPr>
                <w:rStyle w:val="PlaceholderText"/>
                <w:color w:val="7F7F7F" w:themeColor="text1" w:themeTint="80"/>
              </w:rPr>
              <w:t>s</w:t>
            </w:r>
            <w:r>
              <w:rPr>
                <w:rStyle w:val="PlaceholderText"/>
                <w:color w:val="7F7F7F" w:themeColor="text1" w:themeTint="80"/>
              </w:rPr>
              <w:t xml:space="preserve">e. </w:t>
            </w:r>
            <w:r w:rsidR="006F5A16">
              <w:rPr>
                <w:rStyle w:val="PlaceholderText"/>
                <w:color w:val="7F7F7F" w:themeColor="text1" w:themeTint="80"/>
              </w:rPr>
              <w:t xml:space="preserve">It is estimated that as little as 1% of injuries are actually reported, </w:t>
            </w:r>
            <w:r w:rsidR="006F5A16" w:rsidRPr="006C3EC1">
              <w:rPr>
                <w:rStyle w:val="PlaceholderText"/>
                <w:color w:val="7F7F7F" w:themeColor="text1" w:themeTint="80"/>
              </w:rPr>
              <w:t>because of the voluntary reporting systems that are used by governments and, also, due to the latent effect of months or years for adverse events to develop in the recipients.</w:t>
            </w:r>
            <w:r w:rsidR="006F5A16">
              <w:rPr>
                <w:rStyle w:val="PlaceholderText"/>
                <w:color w:val="7F7F7F" w:themeColor="text1" w:themeTint="80"/>
              </w:rPr>
              <w:t xml:space="preserve"> Which indicates the rate of injury could be significantly higher.</w:t>
            </w:r>
          </w:p>
        </w:tc>
        <w:tc>
          <w:tcPr>
            <w:tcW w:w="7938" w:type="dxa"/>
          </w:tcPr>
          <w:sdt>
            <w:sdtPr>
              <w:rPr>
                <w:rStyle w:val="PlaceholderText"/>
                <w:color w:val="7F7F7F" w:themeColor="text1" w:themeTint="80"/>
              </w:rPr>
              <w:id w:val="-480619773"/>
              <w:placeholder>
                <w:docPart w:val="AE682E13B23C43E4981CCF9B2678F771"/>
              </w:placeholder>
              <w:text/>
            </w:sdtPr>
            <w:sdtEndPr>
              <w:rPr>
                <w:rStyle w:val="PlaceholderText"/>
              </w:rPr>
            </w:sdtEndPr>
            <w:sdtContent>
              <w:p w14:paraId="563826E3" w14:textId="77777777" w:rsidR="005430E8" w:rsidRDefault="005430E8" w:rsidP="000F4DB2">
                <w:pPr>
                  <w:rPr>
                    <w:rStyle w:val="PlaceholderText"/>
                    <w:color w:val="7F7F7F" w:themeColor="text1" w:themeTint="80"/>
                  </w:rPr>
                </w:pPr>
                <w:r w:rsidRPr="00135900">
                  <w:rPr>
                    <w:rStyle w:val="PlaceholderText"/>
                    <w:color w:val="7F7F7F" w:themeColor="text1" w:themeTint="80"/>
                  </w:rPr>
                  <w:t xml:space="preserve">Moderate, while there are </w:t>
                </w:r>
                <w:r>
                  <w:rPr>
                    <w:rStyle w:val="PlaceholderText"/>
                    <w:color w:val="7F7F7F" w:themeColor="text1" w:themeTint="80"/>
                  </w:rPr>
                  <w:t xml:space="preserve">a high number of injuries that are considered minor, some injuries are </w:t>
                </w:r>
                <w:r w:rsidRPr="00135900">
                  <w:rPr>
                    <w:rStyle w:val="PlaceholderText"/>
                    <w:color w:val="7F7F7F" w:themeColor="text1" w:themeTint="80"/>
                  </w:rPr>
                  <w:t>severe</w:t>
                </w:r>
                <w:r>
                  <w:rPr>
                    <w:rStyle w:val="PlaceholderText"/>
                    <w:color w:val="7F7F7F" w:themeColor="text1" w:themeTint="80"/>
                  </w:rPr>
                  <w:t xml:space="preserve"> and include total and permanent disability and even death</w:t>
                </w:r>
                <w:r w:rsidRPr="00135900">
                  <w:rPr>
                    <w:rStyle w:val="PlaceholderText"/>
                    <w:color w:val="7F7F7F" w:themeColor="text1" w:themeTint="80"/>
                  </w:rPr>
                  <w:t xml:space="preserve">. </w:t>
                </w:r>
                <w:r>
                  <w:rPr>
                    <w:rStyle w:val="PlaceholderText"/>
                    <w:color w:val="7F7F7F" w:themeColor="text1" w:themeTint="80"/>
                  </w:rPr>
                  <w:t>Here is a list of known side-effects from the FDA:-</w:t>
                </w:r>
              </w:p>
            </w:sdtContent>
          </w:sdt>
          <w:p w14:paraId="4338B37F"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Guillain-Barré syndrome</w:t>
            </w:r>
          </w:p>
          <w:p w14:paraId="714AF197" w14:textId="29844E40"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Acute disseminated encephalomyelitis (“Characterized by a brief but widespread attack of inflammation in the brain and spinal cord that damages myelin – the protective covering of nerve fibres,” according to NIH.)</w:t>
            </w:r>
          </w:p>
          <w:p w14:paraId="6323219E"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Transverse myelitis</w:t>
            </w:r>
          </w:p>
          <w:p w14:paraId="55CD9CAA" w14:textId="3F942D9B"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Encephalitis/ myelitis/ encephalomyelitis/ meningoencephalitis/ meningitis/ encephalopathy</w:t>
            </w:r>
          </w:p>
          <w:p w14:paraId="4BFFFFAC"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Convulsions/seizures</w:t>
            </w:r>
          </w:p>
          <w:p w14:paraId="37004220"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Stroke</w:t>
            </w:r>
          </w:p>
          <w:p w14:paraId="1FF59AE5"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Narcolepsy and cataplexy</w:t>
            </w:r>
          </w:p>
          <w:p w14:paraId="2C4411CB" w14:textId="1015CC12"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Anaphylaxis</w:t>
            </w:r>
          </w:p>
          <w:p w14:paraId="4A6B60FA"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Acute myocardial infarction</w:t>
            </w:r>
          </w:p>
          <w:p w14:paraId="1474348F"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Myocarditis/pericarditis</w:t>
            </w:r>
          </w:p>
          <w:p w14:paraId="49110E57"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Autoimmune disease</w:t>
            </w:r>
          </w:p>
          <w:p w14:paraId="2E6008E2"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Deaths</w:t>
            </w:r>
          </w:p>
          <w:p w14:paraId="35418172"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Pregnancy and birth outcomes</w:t>
            </w:r>
          </w:p>
          <w:p w14:paraId="2D0FC6DC"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Other acute demyelinating diseases</w:t>
            </w:r>
          </w:p>
          <w:p w14:paraId="514CB499"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Non-anaphylactic allergic reactions</w:t>
            </w:r>
          </w:p>
          <w:p w14:paraId="06B920C9"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Thrombocytopenia</w:t>
            </w:r>
          </w:p>
          <w:p w14:paraId="072B7246"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Disseminated intravascular coagulation</w:t>
            </w:r>
          </w:p>
          <w:p w14:paraId="28CBA433"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Venous thromboembolism</w:t>
            </w:r>
          </w:p>
          <w:p w14:paraId="2766F7EB"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Arthritis and arthralgia/joint pain</w:t>
            </w:r>
          </w:p>
          <w:p w14:paraId="3441BF79"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Kawasaki disease</w:t>
            </w:r>
          </w:p>
          <w:p w14:paraId="595B5B46" w14:textId="77777777" w:rsidR="005430E8" w:rsidRPr="00FB3893" w:rsidRDefault="005430E8" w:rsidP="000F4DB2">
            <w:pPr>
              <w:numPr>
                <w:ilvl w:val="0"/>
                <w:numId w:val="1"/>
              </w:numPr>
              <w:shd w:val="clear" w:color="auto" w:fill="FFFFFF"/>
              <w:spacing w:before="105" w:after="100" w:afterAutospacing="1"/>
              <w:rPr>
                <w:rStyle w:val="PlaceholderText"/>
                <w:rFonts w:ascii="Arial" w:hAnsi="Arial"/>
                <w:color w:val="7F7F7F" w:themeColor="text1" w:themeTint="80"/>
                <w:sz w:val="20"/>
                <w:szCs w:val="24"/>
              </w:rPr>
            </w:pPr>
            <w:r w:rsidRPr="00FB3893">
              <w:rPr>
                <w:rStyle w:val="PlaceholderText"/>
                <w:rFonts w:ascii="Arial" w:hAnsi="Arial"/>
                <w:color w:val="7F7F7F" w:themeColor="text1" w:themeTint="80"/>
                <w:sz w:val="20"/>
                <w:szCs w:val="24"/>
              </w:rPr>
              <w:t>Vaccine enhanced disease</w:t>
            </w:r>
          </w:p>
          <w:p w14:paraId="249A2B35" w14:textId="0909C36E" w:rsidR="005430E8" w:rsidRPr="00F570EA" w:rsidRDefault="005430E8" w:rsidP="000F4DB2">
            <w:pPr>
              <w:rPr>
                <w:sz w:val="18"/>
                <w:szCs w:val="18"/>
              </w:rPr>
            </w:pPr>
            <w:r>
              <w:rPr>
                <w:rStyle w:val="PlaceholderText"/>
                <w:color w:val="7F7F7F" w:themeColor="text1" w:themeTint="80"/>
              </w:rPr>
              <w:t>Because these vaccines have only received ‘provisional approvals’, means they are still in the experimental stage. There are no known medium, long-term and inter-generational side-effects. Meaning there is a chance of vaccine related injury well into the future.</w:t>
            </w:r>
          </w:p>
        </w:tc>
        <w:tc>
          <w:tcPr>
            <w:tcW w:w="4111" w:type="dxa"/>
          </w:tcPr>
          <w:p w14:paraId="367C8FE3" w14:textId="77777777" w:rsidR="005430E8" w:rsidRDefault="005430E8" w:rsidP="000F4DB2">
            <w:pPr>
              <w:pStyle w:val="ListParagraph"/>
              <w:numPr>
                <w:ilvl w:val="0"/>
                <w:numId w:val="2"/>
              </w:numPr>
              <w:rPr>
                <w:rStyle w:val="PlaceholderText"/>
                <w:color w:val="7F7F7F" w:themeColor="text1" w:themeTint="80"/>
              </w:rPr>
            </w:pPr>
            <w:r w:rsidRPr="005F5BFC">
              <w:rPr>
                <w:rStyle w:val="PlaceholderText"/>
                <w:color w:val="7F7F7F" w:themeColor="text1" w:themeTint="80"/>
              </w:rPr>
              <w:t xml:space="preserve">For mild adverse events, the risk to the business may be limited to some lost productivity, due to absenteeism. </w:t>
            </w:r>
          </w:p>
          <w:p w14:paraId="63A8C40A" w14:textId="77777777" w:rsidR="005430E8" w:rsidRDefault="005430E8" w:rsidP="000F4DB2">
            <w:pPr>
              <w:pStyle w:val="ListParagraph"/>
              <w:numPr>
                <w:ilvl w:val="0"/>
                <w:numId w:val="2"/>
              </w:numPr>
              <w:rPr>
                <w:rStyle w:val="PlaceholderText"/>
                <w:color w:val="7F7F7F" w:themeColor="text1" w:themeTint="80"/>
              </w:rPr>
            </w:pPr>
            <w:r w:rsidRPr="005F5BFC">
              <w:rPr>
                <w:rStyle w:val="PlaceholderText"/>
                <w:color w:val="7F7F7F" w:themeColor="text1" w:themeTint="80"/>
              </w:rPr>
              <w:t xml:space="preserve">In the event of serious adverse reaction causing permanent disability and even death, </w:t>
            </w:r>
            <w:r>
              <w:rPr>
                <w:rStyle w:val="PlaceholderText"/>
                <w:color w:val="7F7F7F" w:themeColor="text1" w:themeTint="80"/>
              </w:rPr>
              <w:t>State and Territory Workers’ Compensation may</w:t>
            </w:r>
            <w:r w:rsidRPr="005F5BFC">
              <w:rPr>
                <w:rStyle w:val="PlaceholderText"/>
                <w:color w:val="7F7F7F" w:themeColor="text1" w:themeTint="80"/>
              </w:rPr>
              <w:t xml:space="preserve"> not provide insurance for adverse reactions to vaccination. </w:t>
            </w:r>
          </w:p>
          <w:p w14:paraId="5C75A5E6" w14:textId="77777777" w:rsidR="005430E8" w:rsidRDefault="005430E8" w:rsidP="000F4DB2">
            <w:pPr>
              <w:pStyle w:val="ListParagraph"/>
              <w:numPr>
                <w:ilvl w:val="0"/>
                <w:numId w:val="2"/>
              </w:numPr>
              <w:rPr>
                <w:rStyle w:val="PlaceholderText"/>
                <w:color w:val="7F7F7F" w:themeColor="text1" w:themeTint="80"/>
              </w:rPr>
            </w:pPr>
            <w:r w:rsidRPr="005F5BFC">
              <w:rPr>
                <w:rStyle w:val="PlaceholderText"/>
                <w:color w:val="7F7F7F" w:themeColor="text1" w:themeTint="80"/>
              </w:rPr>
              <w:t xml:space="preserve">Currently no </w:t>
            </w:r>
            <w:r>
              <w:rPr>
                <w:rStyle w:val="PlaceholderText"/>
                <w:color w:val="7F7F7F" w:themeColor="text1" w:themeTint="80"/>
              </w:rPr>
              <w:t xml:space="preserve">other </w:t>
            </w:r>
            <w:r w:rsidRPr="005F5BFC">
              <w:rPr>
                <w:rStyle w:val="PlaceholderText"/>
                <w:color w:val="7F7F7F" w:themeColor="text1" w:themeTint="80"/>
              </w:rPr>
              <w:t>insurer will cover injury and death caused by vaccines.</w:t>
            </w:r>
          </w:p>
          <w:p w14:paraId="286A4278" w14:textId="77777777" w:rsidR="005430E8" w:rsidRDefault="005430E8" w:rsidP="000F4DB2">
            <w:pPr>
              <w:pStyle w:val="ListParagraph"/>
              <w:numPr>
                <w:ilvl w:val="0"/>
                <w:numId w:val="2"/>
              </w:numPr>
              <w:rPr>
                <w:rStyle w:val="PlaceholderText"/>
                <w:color w:val="7F7F7F" w:themeColor="text1" w:themeTint="80"/>
              </w:rPr>
            </w:pPr>
            <w:r w:rsidRPr="005F5BFC">
              <w:rPr>
                <w:rStyle w:val="PlaceholderText"/>
                <w:color w:val="7F7F7F" w:themeColor="text1" w:themeTint="80"/>
              </w:rPr>
              <w:t>Medical interventions are not covered within the scope of the</w:t>
            </w:r>
            <w:r>
              <w:rPr>
                <w:rStyle w:val="PlaceholderText"/>
                <w:color w:val="7F7F7F" w:themeColor="text1" w:themeTint="80"/>
              </w:rPr>
              <w:t xml:space="preserve"> respective State and Territory</w:t>
            </w:r>
            <w:r w:rsidRPr="005F5BFC">
              <w:rPr>
                <w:rStyle w:val="PlaceholderText"/>
                <w:color w:val="7F7F7F" w:themeColor="text1" w:themeTint="80"/>
              </w:rPr>
              <w:t xml:space="preserve"> OH&amp;S </w:t>
            </w:r>
            <w:r>
              <w:rPr>
                <w:rStyle w:val="PlaceholderText"/>
                <w:color w:val="7F7F7F" w:themeColor="text1" w:themeTint="80"/>
              </w:rPr>
              <w:t xml:space="preserve">or WHS </w:t>
            </w:r>
            <w:r w:rsidRPr="005F5BFC">
              <w:rPr>
                <w:rStyle w:val="PlaceholderText"/>
                <w:color w:val="7F7F7F" w:themeColor="text1" w:themeTint="80"/>
              </w:rPr>
              <w:t>legislation, the enterprise agreements and/or awards, nor can it constitute legitimate contractual expectation.</w:t>
            </w:r>
          </w:p>
          <w:p w14:paraId="74E8A910" w14:textId="71B0BB37" w:rsidR="005430E8" w:rsidRPr="00B63CAD" w:rsidRDefault="005430E8" w:rsidP="00910F46">
            <w:pPr>
              <w:pStyle w:val="ListParagraph"/>
              <w:numPr>
                <w:ilvl w:val="0"/>
                <w:numId w:val="2"/>
              </w:numPr>
              <w:rPr>
                <w:rStyle w:val="PlaceholderText"/>
                <w:color w:val="7F7F7F" w:themeColor="text1" w:themeTint="80"/>
              </w:rPr>
            </w:pPr>
            <w:r w:rsidRPr="00B63CAD">
              <w:rPr>
                <w:rStyle w:val="PlaceholderText"/>
                <w:color w:val="7F7F7F" w:themeColor="text1" w:themeTint="80"/>
              </w:rPr>
              <w:t>By forcing a vaccination you are assuming the role of a medical body or enforcer of public health legislation, an area in which you have no expertise or authority</w:t>
            </w:r>
          </w:p>
          <w:p w14:paraId="6E0C46D6" w14:textId="39CB3F08" w:rsidR="005430E8" w:rsidRPr="005F5BFC" w:rsidRDefault="005430E8" w:rsidP="000F4DB2">
            <w:pPr>
              <w:pStyle w:val="ListParagraph"/>
              <w:numPr>
                <w:ilvl w:val="0"/>
                <w:numId w:val="2"/>
              </w:numPr>
              <w:rPr>
                <w:rStyle w:val="PlaceholderText"/>
                <w:color w:val="7F7F7F" w:themeColor="text1" w:themeTint="80"/>
              </w:rPr>
            </w:pPr>
            <w:r>
              <w:rPr>
                <w:rStyle w:val="PlaceholderText"/>
                <w:color w:val="7F7F7F" w:themeColor="text1" w:themeTint="80"/>
              </w:rPr>
              <w:t>This puts the business and its owners or directors at risk of liability from being pursued directly by the employee for negligence and other tortious actions.</w:t>
            </w:r>
          </w:p>
        </w:tc>
        <w:tc>
          <w:tcPr>
            <w:tcW w:w="2976" w:type="dxa"/>
          </w:tcPr>
          <w:p w14:paraId="21D1CC3B" w14:textId="3B7D4AAD" w:rsidR="005430E8" w:rsidRDefault="005430E8" w:rsidP="000F4DB2">
            <w:pPr>
              <w:spacing w:before="100" w:beforeAutospacing="1" w:after="100" w:afterAutospacing="1"/>
              <w:rPr>
                <w:rStyle w:val="PlaceholderText"/>
                <w:color w:val="7F7F7F" w:themeColor="text1" w:themeTint="80"/>
              </w:rPr>
            </w:pPr>
            <w:r>
              <w:rPr>
                <w:rStyle w:val="PlaceholderText"/>
                <w:color w:val="7F7F7F" w:themeColor="text1" w:themeTint="80"/>
              </w:rPr>
              <w:t>According to Safe Work Australia, i</w:t>
            </w:r>
            <w:r w:rsidRPr="008267DF">
              <w:rPr>
                <w:rStyle w:val="PlaceholderText"/>
                <w:color w:val="7F7F7F" w:themeColor="text1" w:themeTint="80"/>
              </w:rPr>
              <w:t>t is unlikely that a requirement to be vaccinated will be reasonably practicable.</w:t>
            </w:r>
          </w:p>
          <w:p w14:paraId="50A6A23E" w14:textId="52DA12C6" w:rsidR="005430E8" w:rsidRPr="008267DF" w:rsidRDefault="005430E8" w:rsidP="000F4DB2">
            <w:pPr>
              <w:spacing w:before="100" w:beforeAutospacing="1" w:after="100" w:afterAutospacing="1"/>
              <w:rPr>
                <w:rStyle w:val="PlaceholderText"/>
                <w:color w:val="7F7F7F" w:themeColor="text1" w:themeTint="80"/>
              </w:rPr>
            </w:pPr>
            <w:r>
              <w:rPr>
                <w:rStyle w:val="PlaceholderText"/>
                <w:color w:val="7F7F7F" w:themeColor="text1" w:themeTint="80"/>
              </w:rPr>
              <w:t>We also say that OHS and WHS legislation and regulations do not include medical interventions as measures covered.</w:t>
            </w:r>
          </w:p>
          <w:p w14:paraId="2E5779D9" w14:textId="0D58C36B" w:rsidR="005430E8" w:rsidRPr="000F4DB2" w:rsidRDefault="005430E8" w:rsidP="000F4DB2">
            <w:pPr>
              <w:rPr>
                <w:rStyle w:val="PlaceholderText"/>
                <w:color w:val="7F7F7F" w:themeColor="text1" w:themeTint="80"/>
              </w:rPr>
            </w:pPr>
            <w:r>
              <w:rPr>
                <w:rStyle w:val="PlaceholderText"/>
                <w:color w:val="7F7F7F" w:themeColor="text1" w:themeTint="80"/>
              </w:rPr>
              <w:t xml:space="preserve">At present, </w:t>
            </w:r>
            <w:r w:rsidRPr="00B03127">
              <w:rPr>
                <w:rStyle w:val="PlaceholderText"/>
                <w:color w:val="7F7F7F" w:themeColor="text1" w:themeTint="80"/>
              </w:rPr>
              <w:t xml:space="preserve">control measures </w:t>
            </w:r>
            <w:r>
              <w:rPr>
                <w:rStyle w:val="PlaceholderText"/>
                <w:color w:val="7F7F7F" w:themeColor="text1" w:themeTint="80"/>
              </w:rPr>
              <w:t>that can be implemented are</w:t>
            </w:r>
            <w:r w:rsidRPr="00B03127">
              <w:rPr>
                <w:rStyle w:val="PlaceholderText"/>
                <w:color w:val="7F7F7F" w:themeColor="text1" w:themeTint="80"/>
              </w:rPr>
              <w:t xml:space="preserve"> PPE</w:t>
            </w:r>
            <w:r>
              <w:rPr>
                <w:rStyle w:val="PlaceholderText"/>
                <w:color w:val="7F7F7F" w:themeColor="text1" w:themeTint="80"/>
              </w:rPr>
              <w:t xml:space="preserve"> </w:t>
            </w:r>
            <w:r w:rsidRPr="00B03127">
              <w:rPr>
                <w:rStyle w:val="PlaceholderText"/>
                <w:color w:val="7F7F7F" w:themeColor="text1" w:themeTint="80"/>
              </w:rPr>
              <w:t>where</w:t>
            </w:r>
            <w:r>
              <w:rPr>
                <w:rStyle w:val="PlaceholderText"/>
                <w:color w:val="7F7F7F" w:themeColor="text1" w:themeTint="80"/>
              </w:rPr>
              <w:t xml:space="preserve"> you</w:t>
            </w:r>
            <w:r w:rsidRPr="00B03127">
              <w:rPr>
                <w:rStyle w:val="PlaceholderText"/>
                <w:color w:val="7F7F7F" w:themeColor="text1" w:themeTint="80"/>
              </w:rPr>
              <w:t xml:space="preserve"> require your workers to work in close proximity to each other</w:t>
            </w:r>
            <w:r>
              <w:rPr>
                <w:rStyle w:val="PlaceholderText"/>
                <w:color w:val="7F7F7F" w:themeColor="text1" w:themeTint="80"/>
              </w:rPr>
              <w:t>, distancing where possible and cleaning, these processes may be adequate in significantly reducing or mitigating any risk of covid-19 spreading in the workplace.</w:t>
            </w:r>
          </w:p>
        </w:tc>
      </w:tr>
      <w:tr w:rsidR="005430E8" w14:paraId="06D2A49A" w14:textId="19B9CD5E" w:rsidTr="005430E8">
        <w:tc>
          <w:tcPr>
            <w:tcW w:w="1696" w:type="dxa"/>
          </w:tcPr>
          <w:p w14:paraId="7AA7C1F8" w14:textId="08E4D4A1" w:rsidR="005430E8" w:rsidRDefault="005430E8" w:rsidP="000F4DB2">
            <w:pPr>
              <w:rPr>
                <w:rStyle w:val="PlaceholderText"/>
                <w:color w:val="7F7F7F" w:themeColor="text1" w:themeTint="80"/>
              </w:rPr>
            </w:pPr>
            <w:r>
              <w:rPr>
                <w:rStyle w:val="PlaceholderText"/>
                <w:color w:val="7F7F7F" w:themeColor="text1" w:themeTint="80"/>
              </w:rPr>
              <w:lastRenderedPageBreak/>
              <w:t>COVID-19 Illness caused to employee after exposure from staff, customers or suppliers</w:t>
            </w:r>
          </w:p>
        </w:tc>
        <w:tc>
          <w:tcPr>
            <w:tcW w:w="1843" w:type="dxa"/>
          </w:tcPr>
          <w:p w14:paraId="10C9401B" w14:textId="44A1CF67" w:rsidR="005430E8" w:rsidRPr="00135900" w:rsidRDefault="005430E8" w:rsidP="000F4DB2">
            <w:pPr>
              <w:rPr>
                <w:rStyle w:val="PlaceholderText"/>
                <w:color w:val="7F7F7F" w:themeColor="text1" w:themeTint="80"/>
              </w:rPr>
            </w:pPr>
            <w:r w:rsidRPr="00135900">
              <w:rPr>
                <w:rStyle w:val="PlaceholderText"/>
                <w:color w:val="7F7F7F" w:themeColor="text1" w:themeTint="80"/>
              </w:rPr>
              <w:t xml:space="preserve">Staff </w:t>
            </w:r>
            <w:r>
              <w:rPr>
                <w:rStyle w:val="PlaceholderText"/>
                <w:color w:val="7F7F7F" w:themeColor="text1" w:themeTint="80"/>
              </w:rPr>
              <w:t xml:space="preserve">having signs and symptoms after contracting </w:t>
            </w:r>
            <w:r w:rsidRPr="00135900">
              <w:rPr>
                <w:rStyle w:val="PlaceholderText"/>
                <w:color w:val="7F7F7F" w:themeColor="text1" w:themeTint="80"/>
              </w:rPr>
              <w:t xml:space="preserve">COVID-19 </w:t>
            </w:r>
            <w:r>
              <w:rPr>
                <w:rStyle w:val="PlaceholderText"/>
                <w:color w:val="7F7F7F" w:themeColor="text1" w:themeTint="80"/>
              </w:rPr>
              <w:t>that could result in absenteeism, where the illness is minor, however a statistically insignificant percentage of the population become seriously ill or die from COVID-19</w:t>
            </w:r>
            <w:r w:rsidRPr="00135900">
              <w:rPr>
                <w:rStyle w:val="PlaceholderText"/>
                <w:color w:val="7F7F7F" w:themeColor="text1" w:themeTint="80"/>
              </w:rPr>
              <w:t>.</w:t>
            </w:r>
          </w:p>
        </w:tc>
        <w:tc>
          <w:tcPr>
            <w:tcW w:w="2977" w:type="dxa"/>
          </w:tcPr>
          <w:p w14:paraId="13AD0CC6" w14:textId="6FF9C857" w:rsidR="005430E8" w:rsidRDefault="005430E8" w:rsidP="000F4DB2">
            <w:pPr>
              <w:rPr>
                <w:rStyle w:val="PlaceholderText"/>
                <w:color w:val="7F7F7F" w:themeColor="text1" w:themeTint="80"/>
              </w:rPr>
            </w:pPr>
            <w:r>
              <w:rPr>
                <w:rStyle w:val="PlaceholderText"/>
                <w:color w:val="7F7F7F" w:themeColor="text1" w:themeTint="80"/>
              </w:rPr>
              <w:t>Low</w:t>
            </w:r>
            <w:r w:rsidRPr="00135900">
              <w:rPr>
                <w:rStyle w:val="PlaceholderText"/>
                <w:color w:val="7F7F7F" w:themeColor="text1" w:themeTint="80"/>
              </w:rPr>
              <w:t xml:space="preserve">, </w:t>
            </w:r>
            <w:r>
              <w:rPr>
                <w:rStyle w:val="PlaceholderText"/>
                <w:color w:val="7F7F7F" w:themeColor="text1" w:themeTint="80"/>
              </w:rPr>
              <w:t>due to very low prevalence of covid-19 in the population.</w:t>
            </w:r>
          </w:p>
        </w:tc>
        <w:tc>
          <w:tcPr>
            <w:tcW w:w="7938" w:type="dxa"/>
          </w:tcPr>
          <w:p w14:paraId="5963DD8C" w14:textId="0563F966" w:rsidR="005430E8" w:rsidRDefault="005430E8" w:rsidP="000F4DB2">
            <w:pPr>
              <w:rPr>
                <w:rStyle w:val="PlaceholderText"/>
                <w:color w:val="7F7F7F" w:themeColor="text1" w:themeTint="80"/>
              </w:rPr>
            </w:pPr>
            <w:r>
              <w:rPr>
                <w:rStyle w:val="PlaceholderText"/>
                <w:color w:val="7F7F7F" w:themeColor="text1" w:themeTint="80"/>
              </w:rPr>
              <w:t xml:space="preserve">Low, as at </w:t>
            </w:r>
            <w:r w:rsidR="006F5A16">
              <w:rPr>
                <w:rStyle w:val="PlaceholderText"/>
                <w:color w:val="7F7F7F" w:themeColor="text1" w:themeTint="80"/>
              </w:rPr>
              <w:t>30</w:t>
            </w:r>
            <w:r>
              <w:rPr>
                <w:rStyle w:val="PlaceholderText"/>
                <w:color w:val="7F7F7F" w:themeColor="text1" w:themeTint="80"/>
              </w:rPr>
              <w:t>-9-21 Australia has a low prevalence of COVID-19, being 0.2</w:t>
            </w:r>
            <w:r w:rsidR="006F5A16">
              <w:rPr>
                <w:rStyle w:val="PlaceholderText"/>
                <w:color w:val="7F7F7F" w:themeColor="text1" w:themeTint="80"/>
              </w:rPr>
              <w:t>5</w:t>
            </w:r>
            <w:r>
              <w:rPr>
                <w:rStyle w:val="PlaceholderText"/>
                <w:color w:val="7F7F7F" w:themeColor="text1" w:themeTint="80"/>
              </w:rPr>
              <w:t>% (</w:t>
            </w:r>
            <w:r w:rsidR="006F5A16">
              <w:rPr>
                <w:rStyle w:val="PlaceholderText"/>
                <w:color w:val="7F7F7F" w:themeColor="text1" w:themeTint="80"/>
              </w:rPr>
              <w:t xml:space="preserve">91138 </w:t>
            </w:r>
            <w:r>
              <w:rPr>
                <w:rStyle w:val="PlaceholderText"/>
                <w:color w:val="7F7F7F" w:themeColor="text1" w:themeTint="80"/>
              </w:rPr>
              <w:t>cases / 3</w:t>
            </w:r>
            <w:r w:rsidR="006F5A16">
              <w:rPr>
                <w:rStyle w:val="PlaceholderText"/>
                <w:color w:val="7F7F7F" w:themeColor="text1" w:themeTint="80"/>
              </w:rPr>
              <w:t>6</w:t>
            </w:r>
            <w:r>
              <w:rPr>
                <w:rStyle w:val="PlaceholderText"/>
                <w:color w:val="7F7F7F" w:themeColor="text1" w:themeTint="80"/>
              </w:rPr>
              <w:t>,</w:t>
            </w:r>
            <w:r w:rsidR="006F5A16">
              <w:rPr>
                <w:rStyle w:val="PlaceholderText"/>
                <w:color w:val="7F7F7F" w:themeColor="text1" w:themeTint="80"/>
              </w:rPr>
              <w:t>308</w:t>
            </w:r>
            <w:r>
              <w:rPr>
                <w:rStyle w:val="PlaceholderText"/>
                <w:color w:val="7F7F7F" w:themeColor="text1" w:themeTint="80"/>
              </w:rPr>
              <w:t>,</w:t>
            </w:r>
            <w:r w:rsidR="006F5A16">
              <w:rPr>
                <w:rStyle w:val="PlaceholderText"/>
                <w:color w:val="7F7F7F" w:themeColor="text1" w:themeTint="80"/>
              </w:rPr>
              <w:t>533</w:t>
            </w:r>
            <w:r>
              <w:rPr>
                <w:rStyle w:val="PlaceholderText"/>
                <w:color w:val="7F7F7F" w:themeColor="text1" w:themeTint="80"/>
              </w:rPr>
              <w:t xml:space="preserve"> tested) and the rate of death with COVID-19 is 0.003% of the population (11</w:t>
            </w:r>
            <w:r w:rsidR="006F5A16">
              <w:rPr>
                <w:rStyle w:val="PlaceholderText"/>
                <w:color w:val="7F7F7F" w:themeColor="text1" w:themeTint="80"/>
              </w:rPr>
              <w:t>90</w:t>
            </w:r>
            <w:r w:rsidRPr="00CC7F94">
              <w:rPr>
                <w:rStyle w:val="PlaceholderText"/>
                <w:color w:val="7F7F7F" w:themeColor="text1" w:themeTint="80"/>
              </w:rPr>
              <w:t xml:space="preserve"> </w:t>
            </w:r>
            <w:r>
              <w:rPr>
                <w:rStyle w:val="PlaceholderText"/>
                <w:color w:val="7F7F7F" w:themeColor="text1" w:themeTint="80"/>
              </w:rPr>
              <w:t>deaths with COVID-19 / 3</w:t>
            </w:r>
            <w:r w:rsidR="006F5A16">
              <w:rPr>
                <w:rStyle w:val="PlaceholderText"/>
                <w:color w:val="7F7F7F" w:themeColor="text1" w:themeTint="80"/>
              </w:rPr>
              <w:t>6</w:t>
            </w:r>
            <w:r>
              <w:rPr>
                <w:rStyle w:val="PlaceholderText"/>
                <w:color w:val="7F7F7F" w:themeColor="text1" w:themeTint="80"/>
              </w:rPr>
              <w:t>,</w:t>
            </w:r>
            <w:r w:rsidR="006F5A16">
              <w:rPr>
                <w:rStyle w:val="PlaceholderText"/>
                <w:color w:val="7F7F7F" w:themeColor="text1" w:themeTint="80"/>
              </w:rPr>
              <w:t>308</w:t>
            </w:r>
            <w:r>
              <w:rPr>
                <w:rStyle w:val="PlaceholderText"/>
                <w:color w:val="7F7F7F" w:themeColor="text1" w:themeTint="80"/>
              </w:rPr>
              <w:t>,</w:t>
            </w:r>
            <w:r w:rsidR="006F5A16">
              <w:rPr>
                <w:rStyle w:val="PlaceholderText"/>
                <w:color w:val="7F7F7F" w:themeColor="text1" w:themeTint="80"/>
              </w:rPr>
              <w:t>533</w:t>
            </w:r>
            <w:r w:rsidRPr="00CC7F94">
              <w:rPr>
                <w:rStyle w:val="PlaceholderText"/>
                <w:color w:val="7F7F7F" w:themeColor="text1" w:themeTint="80"/>
              </w:rPr>
              <w:t xml:space="preserve"> tests</w:t>
            </w:r>
            <w:r>
              <w:rPr>
                <w:rStyle w:val="PlaceholderText"/>
                <w:color w:val="7F7F7F" w:themeColor="text1" w:themeTint="80"/>
              </w:rPr>
              <w:t xml:space="preserve"> conducted</w:t>
            </w:r>
            <w:r w:rsidRPr="00CC7F94">
              <w:rPr>
                <w:rStyle w:val="PlaceholderText"/>
                <w:color w:val="7F7F7F" w:themeColor="text1" w:themeTint="80"/>
              </w:rPr>
              <w:t>)</w:t>
            </w:r>
            <w:r>
              <w:rPr>
                <w:rStyle w:val="PlaceholderText"/>
                <w:color w:val="7F7F7F" w:themeColor="text1" w:themeTint="80"/>
              </w:rPr>
              <w:t xml:space="preserve">. </w:t>
            </w:r>
          </w:p>
          <w:p w14:paraId="499D80A3" w14:textId="77777777" w:rsidR="005430E8" w:rsidRDefault="005430E8" w:rsidP="000F4DB2">
            <w:pPr>
              <w:rPr>
                <w:rStyle w:val="PlaceholderText"/>
                <w:color w:val="7F7F7F" w:themeColor="text1" w:themeTint="80"/>
              </w:rPr>
            </w:pPr>
            <w:r>
              <w:rPr>
                <w:rStyle w:val="PlaceholderText"/>
                <w:color w:val="7F7F7F" w:themeColor="text1" w:themeTint="80"/>
              </w:rPr>
              <w:t xml:space="preserve">A statistically significant portion of COVID-19 cases, 80%+ have mild or no symptoms and make full recovery. </w:t>
            </w:r>
          </w:p>
          <w:p w14:paraId="70CFCDE9" w14:textId="2062CD8A" w:rsidR="005430E8" w:rsidRPr="00135900" w:rsidRDefault="005430E8" w:rsidP="000F4DB2">
            <w:pPr>
              <w:rPr>
                <w:rStyle w:val="PlaceholderText"/>
                <w:color w:val="7F7F7F" w:themeColor="text1" w:themeTint="80"/>
              </w:rPr>
            </w:pPr>
            <w:r>
              <w:rPr>
                <w:rStyle w:val="PlaceholderText"/>
                <w:color w:val="7F7F7F" w:themeColor="text1" w:themeTint="80"/>
              </w:rPr>
              <w:t>It is important to note that people with pre-existing health conditions are in a higher risk of contracting the disease and becoming seriously ill and dying with COVID-19.</w:t>
            </w:r>
          </w:p>
        </w:tc>
        <w:tc>
          <w:tcPr>
            <w:tcW w:w="4111" w:type="dxa"/>
          </w:tcPr>
          <w:p w14:paraId="5CE2D32C" w14:textId="42D6F844" w:rsidR="005430E8" w:rsidRDefault="005430E8" w:rsidP="000F4DB2">
            <w:pPr>
              <w:rPr>
                <w:rStyle w:val="PlaceholderText"/>
                <w:color w:val="7F7F7F" w:themeColor="text1" w:themeTint="80"/>
              </w:rPr>
            </w:pPr>
            <w:r>
              <w:rPr>
                <w:rStyle w:val="PlaceholderText"/>
                <w:color w:val="7F7F7F" w:themeColor="text1" w:themeTint="80"/>
              </w:rPr>
              <w:t>COVID-19 in this country is statistically like influenza. And like Influenza, COVID-19 is more likely to cause more serious illness in people with multiple pre-existing health conditions, especially obesity. This is qualified, however, due to mass vaccination programs giving rise to immune escape variants that maybe more virulent and contagious.</w:t>
            </w:r>
          </w:p>
        </w:tc>
        <w:tc>
          <w:tcPr>
            <w:tcW w:w="2976" w:type="dxa"/>
          </w:tcPr>
          <w:p w14:paraId="44C4C484" w14:textId="093DB152" w:rsidR="005430E8" w:rsidRDefault="005430E8" w:rsidP="000F4DB2">
            <w:pPr>
              <w:pStyle w:val="ListParagraph"/>
              <w:numPr>
                <w:ilvl w:val="0"/>
                <w:numId w:val="2"/>
              </w:numPr>
              <w:rPr>
                <w:rStyle w:val="PlaceholderText"/>
                <w:color w:val="7F7F7F" w:themeColor="text1" w:themeTint="80"/>
              </w:rPr>
            </w:pPr>
            <w:r>
              <w:rPr>
                <w:rStyle w:val="PlaceholderText"/>
                <w:color w:val="7F7F7F" w:themeColor="text1" w:themeTint="80"/>
              </w:rPr>
              <w:t xml:space="preserve">PPE where you </w:t>
            </w:r>
            <w:r w:rsidRPr="00B03127">
              <w:rPr>
                <w:rStyle w:val="PlaceholderText"/>
                <w:color w:val="7F7F7F" w:themeColor="text1" w:themeTint="80"/>
              </w:rPr>
              <w:t>require your workers to work in close proximity to each other</w:t>
            </w:r>
          </w:p>
          <w:p w14:paraId="4BB3D03F" w14:textId="77777777" w:rsidR="005430E8" w:rsidRDefault="005430E8" w:rsidP="000F4DB2">
            <w:pPr>
              <w:pStyle w:val="ListParagraph"/>
              <w:numPr>
                <w:ilvl w:val="0"/>
                <w:numId w:val="2"/>
              </w:numPr>
              <w:rPr>
                <w:rStyle w:val="PlaceholderText"/>
                <w:color w:val="7F7F7F" w:themeColor="text1" w:themeTint="80"/>
              </w:rPr>
            </w:pPr>
            <w:r>
              <w:rPr>
                <w:rStyle w:val="PlaceholderText"/>
                <w:color w:val="7F7F7F" w:themeColor="text1" w:themeTint="80"/>
              </w:rPr>
              <w:t>Distancing where possible</w:t>
            </w:r>
          </w:p>
          <w:p w14:paraId="4C48E7FD" w14:textId="77777777" w:rsidR="005430E8" w:rsidRDefault="005430E8" w:rsidP="000F4DB2">
            <w:pPr>
              <w:pStyle w:val="ListParagraph"/>
              <w:numPr>
                <w:ilvl w:val="0"/>
                <w:numId w:val="2"/>
              </w:numPr>
              <w:rPr>
                <w:rStyle w:val="PlaceholderText"/>
                <w:color w:val="7F7F7F" w:themeColor="text1" w:themeTint="80"/>
              </w:rPr>
            </w:pPr>
            <w:r>
              <w:rPr>
                <w:rStyle w:val="PlaceholderText"/>
                <w:color w:val="7F7F7F" w:themeColor="text1" w:themeTint="80"/>
              </w:rPr>
              <w:t>Cleaning</w:t>
            </w:r>
          </w:p>
          <w:p w14:paraId="74FA7AC2" w14:textId="1EC840FA" w:rsidR="005430E8" w:rsidRDefault="005430E8" w:rsidP="000F4DB2">
            <w:pPr>
              <w:rPr>
                <w:rStyle w:val="PlaceholderText"/>
                <w:color w:val="7F7F7F" w:themeColor="text1" w:themeTint="80"/>
              </w:rPr>
            </w:pPr>
          </w:p>
        </w:tc>
      </w:tr>
    </w:tbl>
    <w:p w14:paraId="028015C6" w14:textId="77777777" w:rsidR="008D6523" w:rsidRDefault="008D6523"/>
    <w:sectPr w:rsidR="008D6523" w:rsidSect="008D6523">
      <w:pgSz w:w="23808" w:h="16840"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1BE2"/>
    <w:multiLevelType w:val="multilevel"/>
    <w:tmpl w:val="DD2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8102C"/>
    <w:multiLevelType w:val="hybridMultilevel"/>
    <w:tmpl w:val="78A0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111AC2"/>
    <w:multiLevelType w:val="hybridMultilevel"/>
    <w:tmpl w:val="19FC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23"/>
    <w:rsid w:val="00030760"/>
    <w:rsid w:val="0008669D"/>
    <w:rsid w:val="000F4DB2"/>
    <w:rsid w:val="000F51C3"/>
    <w:rsid w:val="001A7FB2"/>
    <w:rsid w:val="001C3FE9"/>
    <w:rsid w:val="002E2140"/>
    <w:rsid w:val="003B291B"/>
    <w:rsid w:val="003E6043"/>
    <w:rsid w:val="00474ABA"/>
    <w:rsid w:val="005430E8"/>
    <w:rsid w:val="005A5061"/>
    <w:rsid w:val="005F5BFC"/>
    <w:rsid w:val="0060534D"/>
    <w:rsid w:val="006968B3"/>
    <w:rsid w:val="006F5A16"/>
    <w:rsid w:val="008267DF"/>
    <w:rsid w:val="008D6523"/>
    <w:rsid w:val="00A0419D"/>
    <w:rsid w:val="00B03127"/>
    <w:rsid w:val="00B530F7"/>
    <w:rsid w:val="00B63CAD"/>
    <w:rsid w:val="00CC7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F8AC"/>
  <w15:chartTrackingRefBased/>
  <w15:docId w15:val="{3B042FAA-BB49-4E7A-B52E-6D8764AB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6523"/>
    <w:rPr>
      <w:color w:val="808080"/>
    </w:rPr>
  </w:style>
  <w:style w:type="character" w:styleId="Hyperlink">
    <w:name w:val="Hyperlink"/>
    <w:basedOn w:val="DefaultParagraphFont"/>
    <w:uiPriority w:val="99"/>
    <w:unhideWhenUsed/>
    <w:rsid w:val="001C3FE9"/>
    <w:rPr>
      <w:color w:val="0563C1" w:themeColor="hyperlink"/>
      <w:u w:val="single"/>
    </w:rPr>
  </w:style>
  <w:style w:type="character" w:styleId="UnresolvedMention">
    <w:name w:val="Unresolved Mention"/>
    <w:basedOn w:val="DefaultParagraphFont"/>
    <w:uiPriority w:val="99"/>
    <w:semiHidden/>
    <w:unhideWhenUsed/>
    <w:rsid w:val="001C3FE9"/>
    <w:rPr>
      <w:color w:val="605E5C"/>
      <w:shd w:val="clear" w:color="auto" w:fill="E1DFDD"/>
    </w:rPr>
  </w:style>
  <w:style w:type="character" w:customStyle="1" w:styleId="color15">
    <w:name w:val="color_15"/>
    <w:basedOn w:val="DefaultParagraphFont"/>
    <w:rsid w:val="005F5BFC"/>
  </w:style>
  <w:style w:type="paragraph" w:styleId="ListParagraph">
    <w:name w:val="List Paragraph"/>
    <w:basedOn w:val="Normal"/>
    <w:uiPriority w:val="34"/>
    <w:qFormat/>
    <w:rsid w:val="005F5BFC"/>
    <w:pPr>
      <w:ind w:left="720"/>
      <w:contextualSpacing/>
    </w:pPr>
  </w:style>
  <w:style w:type="paragraph" w:styleId="NormalWeb">
    <w:name w:val="Normal (Web)"/>
    <w:basedOn w:val="Normal"/>
    <w:uiPriority w:val="99"/>
    <w:semiHidden/>
    <w:unhideWhenUsed/>
    <w:rsid w:val="008267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03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19bbe2-4102-4352-8ff3-999101707ad4.filesusr.com/ugd/e12357_d7c1907d83b646a383c5e8bea40f46dc.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82E13B23C43E4981CCF9B2678F771"/>
        <w:category>
          <w:name w:val="General"/>
          <w:gallery w:val="placeholder"/>
        </w:category>
        <w:types>
          <w:type w:val="bbPlcHdr"/>
        </w:types>
        <w:behaviors>
          <w:behavior w:val="content"/>
        </w:behaviors>
        <w:guid w:val="{B6F54403-E792-44AF-A25A-B5EA45310A00}"/>
      </w:docPartPr>
      <w:docPartBody>
        <w:p w:rsidR="00B104F9" w:rsidRDefault="006600FC" w:rsidP="006600FC">
          <w:pPr>
            <w:pStyle w:val="AE682E13B23C43E4981CCF9B2678F771"/>
          </w:pPr>
          <w:r w:rsidRPr="009B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3B"/>
    <w:rsid w:val="00084B1C"/>
    <w:rsid w:val="00306C51"/>
    <w:rsid w:val="00331287"/>
    <w:rsid w:val="00345081"/>
    <w:rsid w:val="003B6E1A"/>
    <w:rsid w:val="00423F0D"/>
    <w:rsid w:val="004A3E7D"/>
    <w:rsid w:val="004E4FE2"/>
    <w:rsid w:val="006600FC"/>
    <w:rsid w:val="007B1C7C"/>
    <w:rsid w:val="00977649"/>
    <w:rsid w:val="00B104F9"/>
    <w:rsid w:val="00C5573B"/>
    <w:rsid w:val="00D8036F"/>
    <w:rsid w:val="00DF1924"/>
    <w:rsid w:val="00F01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0FC"/>
    <w:rPr>
      <w:color w:val="808080"/>
    </w:rPr>
  </w:style>
  <w:style w:type="paragraph" w:customStyle="1" w:styleId="AE682E13B23C43E4981CCF9B2678F771">
    <w:name w:val="AE682E13B23C43E4981CCF9B2678F771"/>
    <w:rsid w:val="00660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Barrett</dc:creator>
  <cp:keywords/>
  <dc:description/>
  <cp:lastModifiedBy>Sandy Barrett</cp:lastModifiedBy>
  <cp:revision>4</cp:revision>
  <cp:lastPrinted>2021-09-30T06:29:00Z</cp:lastPrinted>
  <dcterms:created xsi:type="dcterms:W3CDTF">2021-09-30T07:17:00Z</dcterms:created>
  <dcterms:modified xsi:type="dcterms:W3CDTF">2021-10-01T06:35:00Z</dcterms:modified>
</cp:coreProperties>
</file>