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DA548" w14:textId="77777777" w:rsidR="009245F0" w:rsidRDefault="009245F0" w:rsidP="009245F0">
      <w:pPr>
        <w:pStyle w:val="Resumename15"/>
      </w:pPr>
      <w:r>
        <w:rPr>
          <w:noProof/>
        </w:rPr>
        <w:drawing>
          <wp:anchor distT="0" distB="0" distL="114300" distR="114300" simplePos="0" relativeHeight="251659264" behindDoc="0" locked="0" layoutInCell="1" allowOverlap="1" wp14:anchorId="4D0D3DB4" wp14:editId="100505C0">
            <wp:simplePos x="0" y="0"/>
            <wp:positionH relativeFrom="column">
              <wp:posOffset>47625</wp:posOffset>
            </wp:positionH>
            <wp:positionV relativeFrom="paragraph">
              <wp:posOffset>8890</wp:posOffset>
            </wp:positionV>
            <wp:extent cx="847725" cy="1524000"/>
            <wp:effectExtent l="0" t="0" r="9525" b="0"/>
            <wp:wrapNone/>
            <wp:docPr id="6" name="Picture 6" descr="Low_Rob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w_Robe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1524000"/>
                    </a:xfrm>
                    <a:prstGeom prst="rect">
                      <a:avLst/>
                    </a:prstGeom>
                    <a:noFill/>
                  </pic:spPr>
                </pic:pic>
              </a:graphicData>
            </a:graphic>
            <wp14:sizeRelH relativeFrom="page">
              <wp14:pctWidth>0</wp14:pctWidth>
            </wp14:sizeRelH>
            <wp14:sizeRelV relativeFrom="page">
              <wp14:pctHeight>0</wp14:pctHeight>
            </wp14:sizeRelV>
          </wp:anchor>
        </w:drawing>
      </w:r>
      <w:bookmarkStart w:id="0" w:name="_Toc221167726"/>
      <w:r>
        <w:t>Robert Low, CA</w:t>
      </w:r>
      <w:bookmarkEnd w:id="0"/>
      <w:r>
        <w:t>, CPA, CBV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7187"/>
      </w:tblGrid>
      <w:tr w:rsidR="009245F0" w14:paraId="077C77D1" w14:textId="77777777" w:rsidTr="008A0FCA">
        <w:tc>
          <w:tcPr>
            <w:tcW w:w="2178" w:type="dxa"/>
            <w:tcBorders>
              <w:top w:val="nil"/>
              <w:left w:val="nil"/>
              <w:bottom w:val="nil"/>
              <w:right w:val="nil"/>
            </w:tcBorders>
          </w:tcPr>
          <w:p w14:paraId="3D5AA328" w14:textId="4477370C" w:rsidR="009245F0" w:rsidRDefault="009245F0" w:rsidP="008A0FCA"/>
        </w:tc>
        <w:tc>
          <w:tcPr>
            <w:tcW w:w="7200" w:type="dxa"/>
            <w:tcBorders>
              <w:top w:val="nil"/>
              <w:left w:val="nil"/>
              <w:bottom w:val="nil"/>
              <w:right w:val="nil"/>
            </w:tcBorders>
          </w:tcPr>
          <w:p w14:paraId="593213DD" w14:textId="77777777" w:rsidR="009245F0" w:rsidRDefault="009245F0" w:rsidP="008A0FCA">
            <w:pPr>
              <w:pStyle w:val="Resumetext"/>
            </w:pPr>
          </w:p>
          <w:p w14:paraId="7130F96C" w14:textId="77777777" w:rsidR="009245F0" w:rsidRDefault="009245F0" w:rsidP="008A0FCA">
            <w:pPr>
              <w:pStyle w:val="Resumetext"/>
            </w:pPr>
          </w:p>
          <w:p w14:paraId="7EDD92E6" w14:textId="77777777" w:rsidR="009245F0" w:rsidRDefault="009245F0" w:rsidP="008A0FCA">
            <w:pPr>
              <w:pStyle w:val="Resumetext"/>
            </w:pPr>
          </w:p>
          <w:p w14:paraId="15598CB3" w14:textId="77777777" w:rsidR="009245F0" w:rsidRDefault="009245F0" w:rsidP="008A0FCA">
            <w:pPr>
              <w:pStyle w:val="Resumetext"/>
            </w:pPr>
          </w:p>
          <w:p w14:paraId="27776E58" w14:textId="77777777" w:rsidR="009245F0" w:rsidRDefault="009245F0" w:rsidP="008A0FCA">
            <w:pPr>
              <w:pStyle w:val="Resumetext"/>
            </w:pPr>
          </w:p>
          <w:p w14:paraId="2BD0EC1A" w14:textId="77777777" w:rsidR="009245F0" w:rsidRDefault="009245F0" w:rsidP="008A0FCA">
            <w:pPr>
              <w:pStyle w:val="Resumetext"/>
            </w:pPr>
          </w:p>
          <w:p w14:paraId="08FE7BE3" w14:textId="77777777" w:rsidR="009245F0" w:rsidRDefault="009245F0" w:rsidP="008A0FCA">
            <w:pPr>
              <w:pStyle w:val="Resumetext"/>
            </w:pPr>
          </w:p>
          <w:p w14:paraId="25E37029" w14:textId="77777777" w:rsidR="009245F0" w:rsidRDefault="009245F0" w:rsidP="008A0FCA">
            <w:pPr>
              <w:pStyle w:val="Resumetext"/>
            </w:pPr>
            <w:r>
              <w:t>President</w:t>
            </w:r>
          </w:p>
          <w:p w14:paraId="21528D51" w14:textId="77777777" w:rsidR="009245F0" w:rsidRDefault="009245F0" w:rsidP="008A0FCA">
            <w:pPr>
              <w:pStyle w:val="Resumetext"/>
              <w:contextualSpacing/>
              <w:rPr>
                <w:lang w:val="en-US"/>
              </w:rPr>
            </w:pPr>
            <w:r>
              <w:rPr>
                <w:lang w:val="en-US"/>
              </w:rPr>
              <w:t>Robert Low Financial Advisory Inc.</w:t>
            </w:r>
          </w:p>
          <w:p w14:paraId="77042DA5" w14:textId="77777777" w:rsidR="009245F0" w:rsidRDefault="009245F0" w:rsidP="008A0FCA">
            <w:pPr>
              <w:pStyle w:val="Resumetext"/>
              <w:tabs>
                <w:tab w:val="right" w:pos="6912"/>
              </w:tabs>
              <w:contextualSpacing/>
              <w:rPr>
                <w:lang w:val="en-US"/>
              </w:rPr>
            </w:pPr>
            <w:r>
              <w:rPr>
                <w:lang w:val="en-US"/>
              </w:rPr>
              <w:t>Oakville, Ontario</w:t>
            </w:r>
          </w:p>
          <w:p w14:paraId="76580F3F" w14:textId="77777777" w:rsidR="009245F0" w:rsidRDefault="009245F0" w:rsidP="008A0FCA">
            <w:pPr>
              <w:pStyle w:val="Resumetext"/>
              <w:tabs>
                <w:tab w:val="right" w:pos="5742"/>
              </w:tabs>
              <w:contextualSpacing/>
              <w:rPr>
                <w:lang w:val="en-US"/>
              </w:rPr>
            </w:pPr>
            <w:r>
              <w:rPr>
                <w:lang w:val="en-US"/>
              </w:rPr>
              <w:t>Tel: 416-587-8025</w:t>
            </w:r>
            <w:r>
              <w:rPr>
                <w:lang w:val="en-US"/>
              </w:rPr>
              <w:tab/>
              <w:t>Email: robertlow@rlfa.ca</w:t>
            </w:r>
          </w:p>
          <w:p w14:paraId="2B4DCAEA" w14:textId="77777777" w:rsidR="009245F0" w:rsidRDefault="009245F0" w:rsidP="008A0FCA">
            <w:pPr>
              <w:pStyle w:val="Resumeheadinginfo"/>
              <w:rPr>
                <w:sz w:val="22"/>
                <w:szCs w:val="22"/>
              </w:rPr>
            </w:pPr>
            <w:r>
              <w:rPr>
                <w:sz w:val="22"/>
                <w:szCs w:val="22"/>
              </w:rPr>
              <w:t>Profile</w:t>
            </w:r>
          </w:p>
          <w:p w14:paraId="626E438E" w14:textId="77777777" w:rsidR="009245F0" w:rsidRDefault="009245F0" w:rsidP="008A0FCA">
            <w:pPr>
              <w:spacing w:before="60"/>
              <w:rPr>
                <w:sz w:val="20"/>
              </w:rPr>
            </w:pPr>
            <w:r>
              <w:t>Involved exclusively in business valuations, financial litigation and related matters since 1978, acting on behalf of shareholders and other parties (including Federal, Provincial and Municipal Governments) in connection with companies engaged in diverse industries.</w:t>
            </w:r>
          </w:p>
          <w:p w14:paraId="3B22828A" w14:textId="77777777" w:rsidR="009245F0" w:rsidRDefault="009245F0" w:rsidP="008A0FCA">
            <w:pPr>
              <w:pStyle w:val="Resumeheadinginfo"/>
              <w:rPr>
                <w:sz w:val="22"/>
                <w:szCs w:val="22"/>
              </w:rPr>
            </w:pPr>
            <w:r>
              <w:rPr>
                <w:sz w:val="22"/>
                <w:szCs w:val="22"/>
              </w:rPr>
              <w:t>Experience</w:t>
            </w:r>
          </w:p>
          <w:p w14:paraId="35F6CDD0" w14:textId="77777777" w:rsidR="009245F0" w:rsidRDefault="009245F0" w:rsidP="008A0FCA">
            <w:pPr>
              <w:spacing w:before="60" w:after="120"/>
              <w:rPr>
                <w:sz w:val="20"/>
              </w:rPr>
            </w:pPr>
            <w:r>
              <w:t>2012             President of Robert Low Financial Advisory Inc.</w:t>
            </w:r>
          </w:p>
          <w:p w14:paraId="58426AB2" w14:textId="77777777" w:rsidR="009245F0" w:rsidRDefault="009245F0" w:rsidP="008A0FCA">
            <w:pPr>
              <w:spacing w:before="60" w:after="120"/>
            </w:pPr>
            <w:r>
              <w:t>2007 – 2012 Partner, Deloitte LLP</w:t>
            </w:r>
          </w:p>
          <w:p w14:paraId="0704091B" w14:textId="77777777" w:rsidR="009245F0" w:rsidRDefault="009245F0" w:rsidP="008A0FCA">
            <w:pPr>
              <w:spacing w:after="120"/>
            </w:pPr>
            <w:r>
              <w:t>2004 – 2007 Director, LECG Canada, Ltd.</w:t>
            </w:r>
          </w:p>
          <w:p w14:paraId="40DE0D80" w14:textId="77777777" w:rsidR="009245F0" w:rsidRDefault="009245F0" w:rsidP="008A0FCA">
            <w:pPr>
              <w:spacing w:after="120"/>
            </w:pPr>
            <w:r>
              <w:t>1998 – 2004 Principal, Low Rosen Taylor Soriano</w:t>
            </w:r>
          </w:p>
          <w:p w14:paraId="21B8C649" w14:textId="77777777" w:rsidR="009245F0" w:rsidRDefault="009245F0" w:rsidP="008A0FCA">
            <w:pPr>
              <w:spacing w:after="120"/>
            </w:pPr>
            <w:r>
              <w:t>1995 – 1998 Partner, Arthur Andersen &amp; Co.</w:t>
            </w:r>
          </w:p>
          <w:p w14:paraId="489BAFBE" w14:textId="77777777" w:rsidR="009245F0" w:rsidRDefault="009245F0" w:rsidP="008A0FCA">
            <w:pPr>
              <w:spacing w:after="120"/>
            </w:pPr>
            <w:r>
              <w:t xml:space="preserve">1978 – 1995 Partner, Campbell Valuation Partners Limited </w:t>
            </w:r>
          </w:p>
          <w:p w14:paraId="17B1E1F8" w14:textId="77777777" w:rsidR="009245F0" w:rsidRDefault="009245F0" w:rsidP="008A0FCA">
            <w:pPr>
              <w:pStyle w:val="ListBullet1"/>
              <w:numPr>
                <w:ilvl w:val="0"/>
                <w:numId w:val="0"/>
              </w:numPr>
              <w:tabs>
                <w:tab w:val="left" w:pos="720"/>
              </w:tabs>
              <w:spacing w:after="40"/>
              <w:ind w:left="360" w:hanging="360"/>
              <w:rPr>
                <w:i/>
              </w:rPr>
            </w:pPr>
            <w:r>
              <w:rPr>
                <w:i/>
              </w:rPr>
              <w:t xml:space="preserve">Business valuations for: </w:t>
            </w:r>
          </w:p>
          <w:p w14:paraId="1E36A7AF" w14:textId="77777777" w:rsidR="009245F0" w:rsidRDefault="009245F0" w:rsidP="008A0FCA">
            <w:pPr>
              <w:pStyle w:val="ListBullet1"/>
              <w:numPr>
                <w:ilvl w:val="0"/>
                <w:numId w:val="0"/>
              </w:numPr>
              <w:tabs>
                <w:tab w:val="left" w:pos="720"/>
              </w:tabs>
            </w:pPr>
            <w:r>
              <w:t>Corporate reorganizations; Estate planning/settlement; Expropriations; International arbitration; Matrimonial disputes; Merger, acquisition and divestiture; Public offerings/OSC rule 61-501; Shareholder agreements; Shareholder disputes/oppression remedies and Tax purposes.</w:t>
            </w:r>
          </w:p>
          <w:p w14:paraId="31CBAE14" w14:textId="77777777" w:rsidR="009245F0" w:rsidRDefault="009245F0" w:rsidP="008A0FCA">
            <w:pPr>
              <w:pStyle w:val="ListBullet1"/>
              <w:numPr>
                <w:ilvl w:val="0"/>
                <w:numId w:val="0"/>
              </w:numPr>
              <w:tabs>
                <w:tab w:val="left" w:pos="720"/>
              </w:tabs>
              <w:spacing w:before="60" w:after="40"/>
              <w:ind w:left="360" w:hanging="360"/>
              <w:rPr>
                <w:i/>
              </w:rPr>
            </w:pPr>
            <w:r>
              <w:rPr>
                <w:i/>
              </w:rPr>
              <w:t>Quantification of economic damages for cases involving:</w:t>
            </w:r>
          </w:p>
          <w:p w14:paraId="6DE2165F" w14:textId="77777777" w:rsidR="009245F0" w:rsidRDefault="009245F0" w:rsidP="008A0FCA">
            <w:pPr>
              <w:pStyle w:val="ListBullet1"/>
              <w:numPr>
                <w:ilvl w:val="0"/>
                <w:numId w:val="0"/>
              </w:numPr>
              <w:tabs>
                <w:tab w:val="left" w:pos="720"/>
              </w:tabs>
              <w:spacing w:after="240"/>
            </w:pPr>
            <w:r>
              <w:t>Business interruption; Business loss; Contract disputes; Commercial disputes; Expropriation; Intellectual property; Professional liability and Class actions; International arbitration.</w:t>
            </w:r>
          </w:p>
          <w:p w14:paraId="158123F0" w14:textId="77777777" w:rsidR="009245F0" w:rsidRDefault="009245F0" w:rsidP="008A0FCA">
            <w:pPr>
              <w:pStyle w:val="Resumeheadinginfo"/>
              <w:widowControl w:val="0"/>
              <w:spacing w:after="80"/>
              <w:rPr>
                <w:sz w:val="22"/>
                <w:szCs w:val="22"/>
              </w:rPr>
            </w:pPr>
            <w:r>
              <w:rPr>
                <w:sz w:val="22"/>
                <w:szCs w:val="22"/>
              </w:rPr>
              <w:lastRenderedPageBreak/>
              <w:t>Education / professional designations</w:t>
            </w:r>
          </w:p>
          <w:p w14:paraId="164C778C" w14:textId="77777777" w:rsidR="009245F0" w:rsidRDefault="009245F0" w:rsidP="009245F0">
            <w:pPr>
              <w:pStyle w:val="ListBullet1"/>
              <w:keepNext/>
              <w:pageBreakBefore/>
              <w:numPr>
                <w:ilvl w:val="0"/>
                <w:numId w:val="2"/>
              </w:numPr>
              <w:spacing w:before="60" w:after="0"/>
            </w:pPr>
            <w:r w:rsidRPr="0064298C">
              <w:t>Chartered Accountant, 1974</w:t>
            </w:r>
          </w:p>
          <w:p w14:paraId="0E92E2AB" w14:textId="77777777" w:rsidR="009245F0" w:rsidRPr="0064298C" w:rsidRDefault="009245F0" w:rsidP="009245F0">
            <w:pPr>
              <w:pStyle w:val="ListBullet1"/>
              <w:keepNext/>
              <w:pageBreakBefore/>
              <w:numPr>
                <w:ilvl w:val="0"/>
                <w:numId w:val="2"/>
              </w:numPr>
              <w:spacing w:before="60" w:after="0"/>
            </w:pPr>
            <w:r w:rsidRPr="0064298C">
              <w:t>Chartered Business Valuator, 1980</w:t>
            </w:r>
          </w:p>
          <w:p w14:paraId="340E856D" w14:textId="77777777" w:rsidR="009245F0" w:rsidRDefault="009245F0" w:rsidP="009245F0">
            <w:pPr>
              <w:pStyle w:val="ListBullet1"/>
              <w:keepNext/>
              <w:numPr>
                <w:ilvl w:val="0"/>
                <w:numId w:val="2"/>
              </w:numPr>
              <w:spacing w:before="60" w:after="0"/>
            </w:pPr>
            <w:r>
              <w:t>Bachelor of Commerce (Honours), 1972</w:t>
            </w:r>
          </w:p>
          <w:p w14:paraId="2C216F21" w14:textId="77777777" w:rsidR="009245F0" w:rsidRDefault="009245F0" w:rsidP="009245F0">
            <w:pPr>
              <w:pStyle w:val="ListBullet1"/>
              <w:keepNext/>
              <w:numPr>
                <w:ilvl w:val="0"/>
                <w:numId w:val="2"/>
              </w:numPr>
              <w:spacing w:before="60"/>
            </w:pPr>
            <w:r>
              <w:t>Certified Director, 2008</w:t>
            </w:r>
          </w:p>
          <w:p w14:paraId="19B1183C" w14:textId="77777777" w:rsidR="009245F0" w:rsidRDefault="009245F0" w:rsidP="008A0FCA">
            <w:pPr>
              <w:pStyle w:val="ListBullet1"/>
              <w:keepNext/>
              <w:widowControl w:val="0"/>
              <w:numPr>
                <w:ilvl w:val="0"/>
                <w:numId w:val="0"/>
              </w:numPr>
              <w:tabs>
                <w:tab w:val="left" w:pos="720"/>
              </w:tabs>
              <w:spacing w:after="40"/>
              <w:rPr>
                <w:i/>
              </w:rPr>
            </w:pPr>
            <w:r>
              <w:rPr>
                <w:i/>
              </w:rPr>
              <w:t>Acted As:</w:t>
            </w:r>
          </w:p>
          <w:p w14:paraId="39FB8812" w14:textId="77777777" w:rsidR="009245F0" w:rsidRDefault="009245F0" w:rsidP="009245F0">
            <w:pPr>
              <w:pStyle w:val="ListBullet1"/>
              <w:keepNext/>
              <w:widowControl w:val="0"/>
              <w:numPr>
                <w:ilvl w:val="0"/>
                <w:numId w:val="2"/>
              </w:numPr>
              <w:spacing w:before="60" w:after="0"/>
            </w:pPr>
            <w:r>
              <w:t>Arbitrator – Commercial disputes</w:t>
            </w:r>
          </w:p>
          <w:p w14:paraId="019FDEF4" w14:textId="77777777" w:rsidR="009245F0" w:rsidRDefault="009245F0" w:rsidP="009245F0">
            <w:pPr>
              <w:pStyle w:val="ListBullet1"/>
              <w:keepNext/>
              <w:widowControl w:val="0"/>
              <w:numPr>
                <w:ilvl w:val="0"/>
                <w:numId w:val="2"/>
              </w:numPr>
              <w:spacing w:before="60" w:after="0"/>
            </w:pPr>
            <w:r>
              <w:t>Mediator – Commercial disputes</w:t>
            </w:r>
          </w:p>
          <w:p w14:paraId="6D38E3E5" w14:textId="77777777" w:rsidR="009245F0" w:rsidRDefault="009245F0" w:rsidP="009245F0">
            <w:pPr>
              <w:pStyle w:val="ListBullet1"/>
              <w:keepNext/>
              <w:widowControl w:val="0"/>
              <w:numPr>
                <w:ilvl w:val="0"/>
                <w:numId w:val="2"/>
              </w:numPr>
              <w:spacing w:before="60"/>
            </w:pPr>
            <w:r>
              <w:t>Director of two publicly traded mining companies from 2006 to 2007</w:t>
            </w:r>
          </w:p>
          <w:p w14:paraId="3A8BBD4E" w14:textId="77777777" w:rsidR="009245F0" w:rsidRDefault="009245F0" w:rsidP="009245F0">
            <w:pPr>
              <w:pStyle w:val="ListBullet1"/>
              <w:keepNext/>
              <w:widowControl w:val="0"/>
              <w:numPr>
                <w:ilvl w:val="0"/>
                <w:numId w:val="2"/>
              </w:numPr>
              <w:spacing w:before="60"/>
            </w:pPr>
            <w:r>
              <w:t>Director of a publicly traded mining company from 2013</w:t>
            </w:r>
          </w:p>
          <w:p w14:paraId="1DEA3B1F" w14:textId="77777777" w:rsidR="009245F0" w:rsidRDefault="009245F0" w:rsidP="008A0FCA">
            <w:pPr>
              <w:pStyle w:val="ListBullet1"/>
              <w:pageBreakBefore/>
              <w:numPr>
                <w:ilvl w:val="0"/>
                <w:numId w:val="0"/>
              </w:numPr>
              <w:tabs>
                <w:tab w:val="left" w:pos="720"/>
              </w:tabs>
              <w:spacing w:before="60" w:after="0"/>
              <w:ind w:left="90"/>
            </w:pPr>
          </w:p>
          <w:p w14:paraId="3DEAC950" w14:textId="77777777" w:rsidR="009245F0" w:rsidRDefault="009245F0" w:rsidP="008A0FCA">
            <w:pPr>
              <w:pStyle w:val="ListBullet1"/>
              <w:keepNext/>
              <w:widowControl w:val="0"/>
              <w:numPr>
                <w:ilvl w:val="0"/>
                <w:numId w:val="0"/>
              </w:numPr>
              <w:tabs>
                <w:tab w:val="left" w:pos="720"/>
              </w:tabs>
              <w:spacing w:before="80" w:after="0"/>
              <w:rPr>
                <w:i/>
              </w:rPr>
            </w:pPr>
            <w:r>
              <w:rPr>
                <w:i/>
              </w:rPr>
              <w:t>Qualified as an Expert Witness in:</w:t>
            </w:r>
          </w:p>
          <w:p w14:paraId="7339CC9D" w14:textId="77777777" w:rsidR="009245F0" w:rsidRDefault="009245F0" w:rsidP="009245F0">
            <w:pPr>
              <w:pStyle w:val="ListBullet1"/>
              <w:keepNext/>
              <w:widowControl w:val="0"/>
              <w:numPr>
                <w:ilvl w:val="0"/>
                <w:numId w:val="2"/>
              </w:numPr>
              <w:spacing w:before="60" w:after="0"/>
            </w:pPr>
            <w:r>
              <w:t>NAFTA/UNCITRAL arbitration</w:t>
            </w:r>
          </w:p>
          <w:p w14:paraId="0B6B98FA" w14:textId="77777777" w:rsidR="009245F0" w:rsidRDefault="009245F0" w:rsidP="009245F0">
            <w:pPr>
              <w:pStyle w:val="ListBullet1"/>
              <w:keepNext/>
              <w:widowControl w:val="0"/>
              <w:numPr>
                <w:ilvl w:val="0"/>
                <w:numId w:val="2"/>
              </w:numPr>
              <w:spacing w:before="60" w:after="0"/>
            </w:pPr>
            <w:r>
              <w:t>Ontario Superior Court of Justice</w:t>
            </w:r>
          </w:p>
          <w:p w14:paraId="39D85EB3" w14:textId="77777777" w:rsidR="009245F0" w:rsidRDefault="009245F0" w:rsidP="009245F0">
            <w:pPr>
              <w:pStyle w:val="ListBullet1"/>
              <w:keepNext/>
              <w:widowControl w:val="0"/>
              <w:numPr>
                <w:ilvl w:val="0"/>
                <w:numId w:val="2"/>
              </w:numPr>
              <w:spacing w:before="60" w:after="0"/>
            </w:pPr>
            <w:r>
              <w:t>Supreme Court of British Columbia</w:t>
            </w:r>
          </w:p>
          <w:p w14:paraId="3CB5D57D" w14:textId="77777777" w:rsidR="009245F0" w:rsidRDefault="009245F0" w:rsidP="009245F0">
            <w:pPr>
              <w:pStyle w:val="ListBullet1"/>
              <w:keepNext/>
              <w:widowControl w:val="0"/>
              <w:numPr>
                <w:ilvl w:val="0"/>
                <w:numId w:val="2"/>
              </w:numPr>
              <w:spacing w:before="60" w:after="0"/>
            </w:pPr>
            <w:r>
              <w:t>Supreme Court of Prince Edward Island</w:t>
            </w:r>
          </w:p>
          <w:p w14:paraId="26CBFBCC" w14:textId="77777777" w:rsidR="009245F0" w:rsidRDefault="009245F0" w:rsidP="009245F0">
            <w:pPr>
              <w:pStyle w:val="ListBullet1"/>
              <w:keepNext/>
              <w:widowControl w:val="0"/>
              <w:numPr>
                <w:ilvl w:val="0"/>
                <w:numId w:val="2"/>
              </w:numPr>
              <w:spacing w:before="60" w:after="0"/>
            </w:pPr>
            <w:r>
              <w:t>Court of Queen’s Bench – Manitoba</w:t>
            </w:r>
          </w:p>
          <w:p w14:paraId="7A877D59" w14:textId="77777777" w:rsidR="009245F0" w:rsidRDefault="009245F0" w:rsidP="009245F0">
            <w:pPr>
              <w:pStyle w:val="ListBullet1"/>
              <w:keepNext/>
              <w:widowControl w:val="0"/>
              <w:numPr>
                <w:ilvl w:val="0"/>
                <w:numId w:val="2"/>
              </w:numPr>
              <w:spacing w:before="60" w:after="0"/>
            </w:pPr>
            <w:r>
              <w:t>Court of Queen’s Bench – Alberta</w:t>
            </w:r>
          </w:p>
          <w:p w14:paraId="3AE0C109" w14:textId="77777777" w:rsidR="009245F0" w:rsidRDefault="009245F0" w:rsidP="009245F0">
            <w:pPr>
              <w:pStyle w:val="ListBullet1"/>
              <w:keepNext/>
              <w:widowControl w:val="0"/>
              <w:numPr>
                <w:ilvl w:val="0"/>
                <w:numId w:val="2"/>
              </w:numPr>
              <w:spacing w:before="60" w:after="0"/>
            </w:pPr>
            <w:r>
              <w:t>Court of Queen’s Bench – New Brunswick</w:t>
            </w:r>
          </w:p>
          <w:p w14:paraId="5B5A39EE" w14:textId="77777777" w:rsidR="009245F0" w:rsidRDefault="009245F0" w:rsidP="009245F0">
            <w:pPr>
              <w:pStyle w:val="ListBullet1"/>
              <w:keepNext/>
              <w:widowControl w:val="0"/>
              <w:numPr>
                <w:ilvl w:val="0"/>
                <w:numId w:val="2"/>
              </w:numPr>
              <w:spacing w:before="60" w:after="0"/>
            </w:pPr>
            <w:r>
              <w:t>Federal Court of Canada</w:t>
            </w:r>
          </w:p>
          <w:p w14:paraId="2F6D3A20" w14:textId="77777777" w:rsidR="009245F0" w:rsidRDefault="009245F0" w:rsidP="009245F0">
            <w:pPr>
              <w:pStyle w:val="ListBullet1"/>
              <w:keepNext/>
              <w:widowControl w:val="0"/>
              <w:numPr>
                <w:ilvl w:val="0"/>
                <w:numId w:val="2"/>
              </w:numPr>
              <w:spacing w:before="60" w:after="0"/>
            </w:pPr>
            <w:r>
              <w:t>Ontario Municipal Board</w:t>
            </w:r>
          </w:p>
          <w:p w14:paraId="0C5BAF3A" w14:textId="77777777" w:rsidR="009245F0" w:rsidRDefault="009245F0" w:rsidP="009245F0">
            <w:pPr>
              <w:pStyle w:val="ListBullet1"/>
              <w:keepNext/>
              <w:widowControl w:val="0"/>
              <w:numPr>
                <w:ilvl w:val="0"/>
                <w:numId w:val="2"/>
              </w:numPr>
              <w:spacing w:before="60" w:after="0"/>
            </w:pPr>
            <w:r>
              <w:t>Land Value Appraisal Commission – Manitoba</w:t>
            </w:r>
          </w:p>
          <w:p w14:paraId="345DF021" w14:textId="77777777" w:rsidR="009245F0" w:rsidRDefault="009245F0" w:rsidP="009245F0">
            <w:pPr>
              <w:pStyle w:val="ListBullet1"/>
              <w:keepNext/>
              <w:widowControl w:val="0"/>
              <w:numPr>
                <w:ilvl w:val="0"/>
                <w:numId w:val="2"/>
              </w:numPr>
              <w:spacing w:before="60" w:after="0"/>
            </w:pPr>
            <w:r>
              <w:t>Expropriation Compensation Board – British Columbia</w:t>
            </w:r>
          </w:p>
          <w:p w14:paraId="12D1F456" w14:textId="77777777" w:rsidR="009245F0" w:rsidRDefault="009245F0" w:rsidP="009245F0">
            <w:pPr>
              <w:pStyle w:val="ListBullet1"/>
              <w:keepNext/>
              <w:widowControl w:val="0"/>
              <w:numPr>
                <w:ilvl w:val="0"/>
                <w:numId w:val="2"/>
              </w:numPr>
              <w:spacing w:before="60" w:after="0"/>
            </w:pPr>
            <w:r>
              <w:t>Alberta Energy and Utilities Board</w:t>
            </w:r>
          </w:p>
          <w:p w14:paraId="1B97529F" w14:textId="77777777" w:rsidR="009245F0" w:rsidRDefault="009245F0" w:rsidP="009245F0">
            <w:pPr>
              <w:pStyle w:val="ListBullet1"/>
              <w:keepNext/>
              <w:widowControl w:val="0"/>
              <w:numPr>
                <w:ilvl w:val="0"/>
                <w:numId w:val="2"/>
              </w:numPr>
              <w:spacing w:before="60" w:after="0"/>
            </w:pPr>
            <w:r>
              <w:t>American Arbitration Association international arbitration</w:t>
            </w:r>
          </w:p>
          <w:p w14:paraId="17496D43" w14:textId="77777777" w:rsidR="009245F0" w:rsidRDefault="009245F0" w:rsidP="009245F0">
            <w:pPr>
              <w:pStyle w:val="ListBullet1"/>
              <w:keepNext/>
              <w:widowControl w:val="0"/>
              <w:numPr>
                <w:ilvl w:val="0"/>
                <w:numId w:val="2"/>
              </w:numPr>
              <w:spacing w:before="60" w:after="240"/>
            </w:pPr>
            <w:r>
              <w:t>Various private arbitrations</w:t>
            </w:r>
          </w:p>
          <w:p w14:paraId="76F17276" w14:textId="77777777" w:rsidR="009245F0" w:rsidRDefault="009245F0" w:rsidP="008A0FCA">
            <w:pPr>
              <w:pStyle w:val="Resumeheadinginfo"/>
              <w:spacing w:after="80"/>
              <w:rPr>
                <w:sz w:val="22"/>
                <w:szCs w:val="22"/>
              </w:rPr>
            </w:pPr>
            <w:r>
              <w:rPr>
                <w:sz w:val="22"/>
                <w:szCs w:val="22"/>
              </w:rPr>
              <w:t>Professional and community affairs</w:t>
            </w:r>
          </w:p>
          <w:p w14:paraId="27C111E1" w14:textId="77777777" w:rsidR="009245F0" w:rsidRDefault="009245F0" w:rsidP="009245F0">
            <w:pPr>
              <w:pStyle w:val="ListBullet1"/>
              <w:numPr>
                <w:ilvl w:val="0"/>
                <w:numId w:val="2"/>
              </w:numPr>
              <w:spacing w:after="80"/>
            </w:pPr>
            <w:r>
              <w:t>Institute of Chartered Professional Accountants of Manitoba</w:t>
            </w:r>
          </w:p>
          <w:p w14:paraId="34D7A5B4" w14:textId="77777777" w:rsidR="009245F0" w:rsidRDefault="009245F0" w:rsidP="009245F0">
            <w:pPr>
              <w:pStyle w:val="ListBullet1"/>
              <w:numPr>
                <w:ilvl w:val="0"/>
                <w:numId w:val="2"/>
              </w:numPr>
              <w:spacing w:after="80"/>
            </w:pPr>
            <w:r>
              <w:t>Institute of Chartered Professional Accountants of Ontario</w:t>
            </w:r>
          </w:p>
          <w:p w14:paraId="4FFCB05F" w14:textId="77777777" w:rsidR="009245F0" w:rsidRDefault="009245F0" w:rsidP="009245F0">
            <w:pPr>
              <w:pStyle w:val="ListBullet1"/>
              <w:numPr>
                <w:ilvl w:val="0"/>
                <w:numId w:val="2"/>
              </w:numPr>
              <w:spacing w:after="80"/>
            </w:pPr>
            <w:r>
              <w:t>Canadian Institute of Chartered Business Valuators</w:t>
            </w:r>
          </w:p>
          <w:p w14:paraId="2C071F61" w14:textId="77777777" w:rsidR="009245F0" w:rsidRDefault="009245F0" w:rsidP="009245F0">
            <w:pPr>
              <w:pStyle w:val="ListBullet1"/>
              <w:numPr>
                <w:ilvl w:val="0"/>
                <w:numId w:val="2"/>
              </w:numPr>
              <w:spacing w:after="80"/>
            </w:pPr>
            <w:r>
              <w:t>Institute of Corporate Directors</w:t>
            </w:r>
          </w:p>
          <w:p w14:paraId="284B912D" w14:textId="77777777" w:rsidR="009245F0" w:rsidRDefault="009245F0" w:rsidP="009245F0">
            <w:pPr>
              <w:pStyle w:val="ListBullet1"/>
              <w:numPr>
                <w:ilvl w:val="0"/>
                <w:numId w:val="2"/>
              </w:numPr>
              <w:spacing w:after="240"/>
            </w:pPr>
            <w:r>
              <w:t>Ontario Expropriation Association (past Director and past President)</w:t>
            </w:r>
          </w:p>
          <w:p w14:paraId="760D2304" w14:textId="77777777" w:rsidR="009245F0" w:rsidRDefault="009245F0" w:rsidP="008A0FCA">
            <w:pPr>
              <w:pStyle w:val="Resumeheadinginfo"/>
            </w:pPr>
            <w:r>
              <w:t>Publications</w:t>
            </w:r>
          </w:p>
          <w:p w14:paraId="71054F14" w14:textId="77777777" w:rsidR="009245F0" w:rsidRDefault="009245F0" w:rsidP="008A0FCA">
            <w:pPr>
              <w:pStyle w:val="ResumeSubhead"/>
            </w:pPr>
            <w:bookmarkStart w:id="1" w:name="_Toc100826558"/>
            <w:bookmarkStart w:id="2" w:name="_Toc100827002"/>
            <w:bookmarkStart w:id="3" w:name="_Toc119152990"/>
            <w:r>
              <w:t>Books/articles</w:t>
            </w:r>
            <w:bookmarkEnd w:id="1"/>
            <w:bookmarkEnd w:id="2"/>
            <w:bookmarkEnd w:id="3"/>
          </w:p>
          <w:p w14:paraId="73B7B191" w14:textId="77777777" w:rsidR="009245F0" w:rsidRDefault="009245F0" w:rsidP="009245F0">
            <w:pPr>
              <w:pStyle w:val="ListBullet1"/>
              <w:numPr>
                <w:ilvl w:val="0"/>
                <w:numId w:val="2"/>
              </w:numPr>
              <w:spacing w:after="80"/>
            </w:pPr>
            <w:r>
              <w:rPr>
                <w:i/>
              </w:rPr>
              <w:t>“The Valuation &amp; Pricing of Privately-Held Business Interests”</w:t>
            </w:r>
            <w:r>
              <w:br/>
              <w:t>(Toronto: Canadian Institute of Chartered Accountants.  Published 1990, co</w:t>
            </w:r>
            <w:r>
              <w:noBreakHyphen/>
              <w:t>author.)</w:t>
            </w:r>
          </w:p>
          <w:p w14:paraId="6923F8E4" w14:textId="77777777" w:rsidR="009245F0" w:rsidRDefault="009245F0" w:rsidP="009245F0">
            <w:pPr>
              <w:pStyle w:val="ListBullet1"/>
              <w:numPr>
                <w:ilvl w:val="0"/>
                <w:numId w:val="2"/>
              </w:numPr>
              <w:spacing w:after="80"/>
            </w:pPr>
            <w:r>
              <w:t>Contributor: “</w:t>
            </w:r>
            <w:r>
              <w:rPr>
                <w:i/>
              </w:rPr>
              <w:t>Valuing a Business in Volatile Markets</w:t>
            </w:r>
            <w:r>
              <w:t>” (Toronto: Carswell.  Published 2010)</w:t>
            </w:r>
          </w:p>
          <w:p w14:paraId="24102E5A" w14:textId="77777777" w:rsidR="009245F0" w:rsidRDefault="009245F0" w:rsidP="009245F0">
            <w:pPr>
              <w:pStyle w:val="ListBullet1"/>
              <w:numPr>
                <w:ilvl w:val="0"/>
                <w:numId w:val="2"/>
              </w:numPr>
              <w:spacing w:after="180"/>
            </w:pPr>
            <w:r>
              <w:t xml:space="preserve">Various articles in trade magazines respecting valuation topics </w:t>
            </w:r>
          </w:p>
          <w:p w14:paraId="1BCEFF46" w14:textId="77777777" w:rsidR="009245F0" w:rsidRDefault="009245F0" w:rsidP="008A0FCA">
            <w:pPr>
              <w:pStyle w:val="ResumeSubhead"/>
            </w:pPr>
            <w:bookmarkStart w:id="4" w:name="_Toc100826559"/>
            <w:bookmarkStart w:id="5" w:name="_Toc100827003"/>
            <w:bookmarkStart w:id="6" w:name="_Toc119152991"/>
            <w:r>
              <w:t>Educational materials</w:t>
            </w:r>
            <w:bookmarkEnd w:id="4"/>
            <w:bookmarkEnd w:id="5"/>
            <w:bookmarkEnd w:id="6"/>
          </w:p>
          <w:p w14:paraId="6F23EC54" w14:textId="77777777" w:rsidR="009245F0" w:rsidRDefault="009245F0" w:rsidP="009245F0">
            <w:pPr>
              <w:pStyle w:val="ListBullet1"/>
              <w:numPr>
                <w:ilvl w:val="0"/>
                <w:numId w:val="2"/>
              </w:numPr>
              <w:spacing w:after="180"/>
            </w:pPr>
            <w:r>
              <w:t>The Valuation of Business Interests; The World Bank (1995)</w:t>
            </w:r>
          </w:p>
          <w:p w14:paraId="502E52CB" w14:textId="77777777" w:rsidR="009245F0" w:rsidRDefault="009245F0" w:rsidP="008A0FCA">
            <w:pPr>
              <w:pStyle w:val="ResumeSubhead"/>
              <w:spacing w:after="80"/>
            </w:pPr>
            <w:bookmarkStart w:id="7" w:name="_Toc100826560"/>
            <w:bookmarkStart w:id="8" w:name="_Toc100827004"/>
            <w:bookmarkStart w:id="9" w:name="_Toc119152992"/>
            <w:r>
              <w:lastRenderedPageBreak/>
              <w:t>Lecturing</w:t>
            </w:r>
            <w:bookmarkEnd w:id="7"/>
            <w:bookmarkEnd w:id="8"/>
            <w:bookmarkEnd w:id="9"/>
          </w:p>
          <w:p w14:paraId="1C2B0E64" w14:textId="77777777" w:rsidR="009245F0" w:rsidRDefault="009245F0" w:rsidP="009245F0">
            <w:pPr>
              <w:pStyle w:val="ListBullet1"/>
              <w:numPr>
                <w:ilvl w:val="0"/>
                <w:numId w:val="2"/>
              </w:numPr>
              <w:spacing w:after="80"/>
            </w:pPr>
            <w:r>
              <w:t>York University - Combined MBA/LLB Programs - Seminars 1996 - 2016</w:t>
            </w:r>
          </w:p>
          <w:p w14:paraId="3AD3C13C" w14:textId="77777777" w:rsidR="009245F0" w:rsidRDefault="009245F0" w:rsidP="009245F0">
            <w:pPr>
              <w:pStyle w:val="ListBullet1"/>
              <w:numPr>
                <w:ilvl w:val="0"/>
                <w:numId w:val="2"/>
              </w:numPr>
              <w:spacing w:after="80"/>
            </w:pPr>
            <w:r>
              <w:t>Schulich School of Business – MBA Program – 2008 and 2015</w:t>
            </w:r>
          </w:p>
          <w:p w14:paraId="68A8E965" w14:textId="77777777" w:rsidR="009245F0" w:rsidRDefault="009245F0" w:rsidP="009245F0">
            <w:pPr>
              <w:pStyle w:val="ListBullet1"/>
              <w:numPr>
                <w:ilvl w:val="0"/>
                <w:numId w:val="2"/>
              </w:numPr>
              <w:spacing w:after="80"/>
            </w:pPr>
            <w:r>
              <w:t>Speaker at ADR Institute of Canada Annual Conference, 2007 - 2012</w:t>
            </w:r>
          </w:p>
          <w:p w14:paraId="330EB649" w14:textId="77777777" w:rsidR="009245F0" w:rsidRDefault="009245F0" w:rsidP="009245F0">
            <w:pPr>
              <w:pStyle w:val="ListBullet1"/>
              <w:widowControl w:val="0"/>
              <w:numPr>
                <w:ilvl w:val="0"/>
                <w:numId w:val="2"/>
              </w:numPr>
              <w:spacing w:after="80"/>
            </w:pPr>
            <w:r>
              <w:t>Ontario Expropriation Association - Fall Conference, 1990 and 1996</w:t>
            </w:r>
          </w:p>
          <w:p w14:paraId="5673EC41" w14:textId="77777777" w:rsidR="009245F0" w:rsidRDefault="009245F0" w:rsidP="009245F0">
            <w:pPr>
              <w:pStyle w:val="ListBullet1"/>
              <w:keepLines/>
              <w:widowControl w:val="0"/>
              <w:numPr>
                <w:ilvl w:val="0"/>
                <w:numId w:val="2"/>
              </w:numPr>
              <w:spacing w:after="80"/>
            </w:pPr>
            <w:r>
              <w:t>Canadian Institute of Chartered Accountants - Professional Development Programs, Lecturer and Seminar Leader in all provinces, 1979 - 1996</w:t>
            </w:r>
          </w:p>
          <w:p w14:paraId="383B5C5F" w14:textId="77777777" w:rsidR="009245F0" w:rsidRDefault="009245F0" w:rsidP="009245F0">
            <w:pPr>
              <w:pStyle w:val="ListBullet1"/>
              <w:numPr>
                <w:ilvl w:val="0"/>
                <w:numId w:val="2"/>
              </w:numPr>
              <w:spacing w:after="80"/>
            </w:pPr>
            <w:r>
              <w:t>The Valuation of Business Interests - The World Bank/Central Auditing Organization - Egypt (1995)</w:t>
            </w:r>
          </w:p>
          <w:p w14:paraId="58536B6C" w14:textId="77777777" w:rsidR="009245F0" w:rsidRDefault="009245F0" w:rsidP="009245F0">
            <w:pPr>
              <w:pStyle w:val="ListBullet1"/>
              <w:numPr>
                <w:ilvl w:val="0"/>
                <w:numId w:val="2"/>
              </w:numPr>
              <w:spacing w:after="80"/>
            </w:pPr>
            <w:r>
              <w:t>University of Toronto Law School - Seminar , 1992  - 1995</w:t>
            </w:r>
          </w:p>
          <w:p w14:paraId="134CEFF2" w14:textId="77777777" w:rsidR="009245F0" w:rsidRDefault="009245F0" w:rsidP="009245F0">
            <w:pPr>
              <w:pStyle w:val="ListBullet1"/>
              <w:numPr>
                <w:ilvl w:val="0"/>
                <w:numId w:val="2"/>
              </w:numPr>
              <w:spacing w:after="80"/>
            </w:pPr>
            <w:r>
              <w:t>Canadian Bar Association (Ontario) - Professional Development Courses</w:t>
            </w:r>
          </w:p>
          <w:p w14:paraId="099DC500" w14:textId="77777777" w:rsidR="009245F0" w:rsidRDefault="009245F0" w:rsidP="009245F0">
            <w:pPr>
              <w:pStyle w:val="ListBullet1"/>
              <w:numPr>
                <w:ilvl w:val="0"/>
                <w:numId w:val="2"/>
              </w:numPr>
            </w:pPr>
            <w:r>
              <w:t>Various Seminars for Insight, the Canadian Institute and Federated Press respecting valuation and damages topics.</w:t>
            </w:r>
          </w:p>
          <w:p w14:paraId="75ACF694" w14:textId="39A0DEDC" w:rsidR="009245F0" w:rsidRDefault="009245F0" w:rsidP="009245F0">
            <w:pPr>
              <w:pStyle w:val="table-e"/>
              <w:tabs>
                <w:tab w:val="left" w:pos="5040"/>
              </w:tabs>
              <w:spacing w:before="0" w:after="120"/>
              <w:rPr>
                <w:lang w:val="en-CA"/>
              </w:rPr>
            </w:pPr>
            <w:r>
              <w:rPr>
                <w:noProof/>
              </w:rPr>
              <mc:AlternateContent>
                <mc:Choice Requires="wps">
                  <w:drawing>
                    <wp:anchor distT="0" distB="0" distL="114300" distR="114300" simplePos="0" relativeHeight="251660288" behindDoc="0" locked="0" layoutInCell="1" allowOverlap="1" wp14:anchorId="2BBA44AF" wp14:editId="23E9AE50">
                      <wp:simplePos x="0" y="0"/>
                      <wp:positionH relativeFrom="column">
                        <wp:posOffset>3200400</wp:posOffset>
                      </wp:positionH>
                      <wp:positionV relativeFrom="paragraph">
                        <wp:posOffset>112395</wp:posOffset>
                      </wp:positionV>
                      <wp:extent cx="30861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7D00E"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8.85pt" to="4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f/rwEAAEgDAAAOAAAAZHJzL2Uyb0RvYy54bWysU8Fu2zAMvQ/YPwi6L3YytO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"/>
                  </w:pict>
                </mc:Fallback>
              </mc:AlternateContent>
            </w:r>
          </w:p>
        </w:tc>
      </w:tr>
    </w:tbl>
    <w:p w14:paraId="1F1B752E" w14:textId="77777777" w:rsidR="00634EFA" w:rsidRPr="009245F0" w:rsidRDefault="00634EFA" w:rsidP="009245F0"/>
    <w:sectPr w:rsidR="00634EFA" w:rsidRPr="009245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3C9ED2"/>
    <w:name w:val="UnnamedList72181"/>
    <w:lvl w:ilvl="0">
      <w:start w:val="1"/>
      <w:numFmt w:val="bullet"/>
      <w:lvlText w:val=""/>
      <w:lvlJc w:val="left"/>
      <w:pPr>
        <w:tabs>
          <w:tab w:val="num" w:pos="374"/>
        </w:tabs>
        <w:ind w:left="374" w:hanging="284"/>
      </w:pPr>
      <w:rPr>
        <w:rFonts w:ascii="Symbol" w:hAnsi="Symbol" w:hint="default"/>
      </w:rPr>
    </w:lvl>
  </w:abstractNum>
  <w:abstractNum w:abstractNumId="1" w15:restartNumberingAfterBreak="0">
    <w:nsid w:val="210A37B1"/>
    <w:multiLevelType w:val="multilevel"/>
    <w:tmpl w:val="2DFA592C"/>
    <w:lvl w:ilvl="0">
      <w:start w:val="1"/>
      <w:numFmt w:val="bullet"/>
      <w:pStyle w:val="ListBullet1"/>
      <w:lvlText w:val=""/>
      <w:lvlJc w:val="left"/>
      <w:pPr>
        <w:tabs>
          <w:tab w:val="num" w:pos="360"/>
        </w:tabs>
        <w:ind w:left="360" w:hanging="360"/>
      </w:pPr>
      <w:rPr>
        <w:rFonts w:ascii="Symbol" w:hAnsi="Symbol" w:hint="default"/>
      </w:rPr>
    </w:lvl>
    <w:lvl w:ilvl="1">
      <w:start w:val="1"/>
      <w:numFmt w:val="bullet"/>
      <w:pStyle w:val="ListBullet21"/>
      <w:lvlText w:val="–"/>
      <w:lvlJc w:val="left"/>
      <w:pPr>
        <w:tabs>
          <w:tab w:val="num" w:pos="720"/>
        </w:tabs>
        <w:ind w:left="720" w:hanging="360"/>
      </w:pPr>
      <w:rPr>
        <w:rFonts w:ascii="Verdana" w:hAnsi="Verdana" w:hint="default"/>
      </w:rPr>
    </w:lvl>
    <w:lvl w:ilvl="2">
      <w:start w:val="1"/>
      <w:numFmt w:val="bullet"/>
      <w:pStyle w:val="ListBullet31"/>
      <w:lvlText w:val="o"/>
      <w:lvlJc w:val="left"/>
      <w:pPr>
        <w:tabs>
          <w:tab w:val="num" w:pos="1080"/>
        </w:tabs>
        <w:ind w:left="1080" w:hanging="360"/>
      </w:pPr>
      <w:rPr>
        <w:rFonts w:ascii="Courier New" w:hAnsi="Courier New"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DEF7712"/>
    <w:multiLevelType w:val="hybridMultilevel"/>
    <w:tmpl w:val="8DE402A4"/>
    <w:name w:val="UnnamedList88216"/>
    <w:lvl w:ilvl="0" w:tplc="48BCC19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3E63EB9"/>
    <w:multiLevelType w:val="hybridMultilevel"/>
    <w:tmpl w:val="CF0A72F6"/>
    <w:name w:val="UnnamedList44253"/>
    <w:lvl w:ilvl="0" w:tplc="805233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6483468">
    <w:abstractNumId w:val="1"/>
  </w:num>
  <w:num w:numId="2" w16cid:durableId="822699825">
    <w:abstractNumId w:val="0"/>
  </w:num>
  <w:num w:numId="3" w16cid:durableId="13189937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18018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5F0"/>
    <w:rsid w:val="000004BE"/>
    <w:rsid w:val="00004CEE"/>
    <w:rsid w:val="000071DD"/>
    <w:rsid w:val="000078B1"/>
    <w:rsid w:val="00011860"/>
    <w:rsid w:val="00021CF5"/>
    <w:rsid w:val="00043664"/>
    <w:rsid w:val="0005055C"/>
    <w:rsid w:val="00062260"/>
    <w:rsid w:val="00064059"/>
    <w:rsid w:val="00071D34"/>
    <w:rsid w:val="000A14C8"/>
    <w:rsid w:val="000A3007"/>
    <w:rsid w:val="000B2416"/>
    <w:rsid w:val="000B2C91"/>
    <w:rsid w:val="000B4AC2"/>
    <w:rsid w:val="000B4C1A"/>
    <w:rsid w:val="000B5BE6"/>
    <w:rsid w:val="000B6D1F"/>
    <w:rsid w:val="000C048B"/>
    <w:rsid w:val="000C123D"/>
    <w:rsid w:val="000C14EC"/>
    <w:rsid w:val="000C6398"/>
    <w:rsid w:val="000D5523"/>
    <w:rsid w:val="000F057A"/>
    <w:rsid w:val="000F10B4"/>
    <w:rsid w:val="00102081"/>
    <w:rsid w:val="00106721"/>
    <w:rsid w:val="001068A3"/>
    <w:rsid w:val="00107856"/>
    <w:rsid w:val="00117386"/>
    <w:rsid w:val="00126C04"/>
    <w:rsid w:val="001311FD"/>
    <w:rsid w:val="00134C44"/>
    <w:rsid w:val="00144489"/>
    <w:rsid w:val="0015559D"/>
    <w:rsid w:val="00155A03"/>
    <w:rsid w:val="0017032B"/>
    <w:rsid w:val="0018030A"/>
    <w:rsid w:val="0018402E"/>
    <w:rsid w:val="00185B56"/>
    <w:rsid w:val="00186992"/>
    <w:rsid w:val="00191C58"/>
    <w:rsid w:val="00192DCF"/>
    <w:rsid w:val="00193784"/>
    <w:rsid w:val="001941BC"/>
    <w:rsid w:val="00197041"/>
    <w:rsid w:val="001A3DB9"/>
    <w:rsid w:val="001B342F"/>
    <w:rsid w:val="001B64BC"/>
    <w:rsid w:val="001C3606"/>
    <w:rsid w:val="001C43E3"/>
    <w:rsid w:val="001C6745"/>
    <w:rsid w:val="001E1354"/>
    <w:rsid w:val="00204087"/>
    <w:rsid w:val="002123A5"/>
    <w:rsid w:val="002130B0"/>
    <w:rsid w:val="00217391"/>
    <w:rsid w:val="002218A8"/>
    <w:rsid w:val="00225D35"/>
    <w:rsid w:val="00233432"/>
    <w:rsid w:val="002337C4"/>
    <w:rsid w:val="0024092C"/>
    <w:rsid w:val="002457DE"/>
    <w:rsid w:val="002474AA"/>
    <w:rsid w:val="00250B6C"/>
    <w:rsid w:val="00254C78"/>
    <w:rsid w:val="0026071D"/>
    <w:rsid w:val="00264E94"/>
    <w:rsid w:val="00273180"/>
    <w:rsid w:val="00275170"/>
    <w:rsid w:val="0028472C"/>
    <w:rsid w:val="00284BD9"/>
    <w:rsid w:val="00284FD9"/>
    <w:rsid w:val="002C0935"/>
    <w:rsid w:val="002C447B"/>
    <w:rsid w:val="002C7E0B"/>
    <w:rsid w:val="002D56A7"/>
    <w:rsid w:val="002D59B7"/>
    <w:rsid w:val="002D7D29"/>
    <w:rsid w:val="002E2A96"/>
    <w:rsid w:val="002E4C59"/>
    <w:rsid w:val="002F2828"/>
    <w:rsid w:val="0031103E"/>
    <w:rsid w:val="00313A90"/>
    <w:rsid w:val="00314E1A"/>
    <w:rsid w:val="00315ECB"/>
    <w:rsid w:val="00316BC4"/>
    <w:rsid w:val="0034372F"/>
    <w:rsid w:val="00343BC3"/>
    <w:rsid w:val="003721CF"/>
    <w:rsid w:val="00375E94"/>
    <w:rsid w:val="003A24BB"/>
    <w:rsid w:val="003A2756"/>
    <w:rsid w:val="003A3D78"/>
    <w:rsid w:val="003A410C"/>
    <w:rsid w:val="003A43D6"/>
    <w:rsid w:val="003A7A41"/>
    <w:rsid w:val="003B16F4"/>
    <w:rsid w:val="003C3E9B"/>
    <w:rsid w:val="003D0EB0"/>
    <w:rsid w:val="003D19EC"/>
    <w:rsid w:val="003D4C02"/>
    <w:rsid w:val="003D4ED0"/>
    <w:rsid w:val="003E4CA1"/>
    <w:rsid w:val="003F09B8"/>
    <w:rsid w:val="003F6502"/>
    <w:rsid w:val="00401DF6"/>
    <w:rsid w:val="004033FC"/>
    <w:rsid w:val="00410A4D"/>
    <w:rsid w:val="00410C06"/>
    <w:rsid w:val="00410D8B"/>
    <w:rsid w:val="00420430"/>
    <w:rsid w:val="00422C1D"/>
    <w:rsid w:val="00423F21"/>
    <w:rsid w:val="00425454"/>
    <w:rsid w:val="00425765"/>
    <w:rsid w:val="004326CC"/>
    <w:rsid w:val="0044322E"/>
    <w:rsid w:val="00460DA6"/>
    <w:rsid w:val="0046300B"/>
    <w:rsid w:val="00465C79"/>
    <w:rsid w:val="004674C3"/>
    <w:rsid w:val="00476E43"/>
    <w:rsid w:val="00480853"/>
    <w:rsid w:val="0048090C"/>
    <w:rsid w:val="00484F82"/>
    <w:rsid w:val="0048715F"/>
    <w:rsid w:val="00487C19"/>
    <w:rsid w:val="0049198F"/>
    <w:rsid w:val="004A1CB4"/>
    <w:rsid w:val="004A1EC0"/>
    <w:rsid w:val="004A403B"/>
    <w:rsid w:val="004B47AC"/>
    <w:rsid w:val="004B536A"/>
    <w:rsid w:val="004C1B68"/>
    <w:rsid w:val="004C1EF8"/>
    <w:rsid w:val="004C210E"/>
    <w:rsid w:val="004C5DEC"/>
    <w:rsid w:val="004D760A"/>
    <w:rsid w:val="004E4C87"/>
    <w:rsid w:val="004F59C8"/>
    <w:rsid w:val="004F5E1C"/>
    <w:rsid w:val="00515A5B"/>
    <w:rsid w:val="00516444"/>
    <w:rsid w:val="0053059B"/>
    <w:rsid w:val="00536FAA"/>
    <w:rsid w:val="00543B0F"/>
    <w:rsid w:val="00547ACA"/>
    <w:rsid w:val="005513FB"/>
    <w:rsid w:val="00563DDD"/>
    <w:rsid w:val="005660BD"/>
    <w:rsid w:val="005706D2"/>
    <w:rsid w:val="00571749"/>
    <w:rsid w:val="005737A8"/>
    <w:rsid w:val="00574702"/>
    <w:rsid w:val="0058143D"/>
    <w:rsid w:val="0058393F"/>
    <w:rsid w:val="00584BFB"/>
    <w:rsid w:val="0059567B"/>
    <w:rsid w:val="0059631E"/>
    <w:rsid w:val="005B2819"/>
    <w:rsid w:val="005B45C8"/>
    <w:rsid w:val="005C41A9"/>
    <w:rsid w:val="005D768F"/>
    <w:rsid w:val="005E2B76"/>
    <w:rsid w:val="005E34AC"/>
    <w:rsid w:val="005E358B"/>
    <w:rsid w:val="005E569C"/>
    <w:rsid w:val="005E5998"/>
    <w:rsid w:val="005E5BE4"/>
    <w:rsid w:val="005F6FF0"/>
    <w:rsid w:val="0060752C"/>
    <w:rsid w:val="0061027F"/>
    <w:rsid w:val="006137DD"/>
    <w:rsid w:val="00621C36"/>
    <w:rsid w:val="00624657"/>
    <w:rsid w:val="00630651"/>
    <w:rsid w:val="00632F09"/>
    <w:rsid w:val="00634EFA"/>
    <w:rsid w:val="0063667F"/>
    <w:rsid w:val="00636B04"/>
    <w:rsid w:val="0064101A"/>
    <w:rsid w:val="00643570"/>
    <w:rsid w:val="006447EC"/>
    <w:rsid w:val="0064792B"/>
    <w:rsid w:val="0065502B"/>
    <w:rsid w:val="00662476"/>
    <w:rsid w:val="00673534"/>
    <w:rsid w:val="00675459"/>
    <w:rsid w:val="006775F3"/>
    <w:rsid w:val="0069544F"/>
    <w:rsid w:val="006A0E02"/>
    <w:rsid w:val="006A3A81"/>
    <w:rsid w:val="006A7444"/>
    <w:rsid w:val="006B3C9B"/>
    <w:rsid w:val="006B584F"/>
    <w:rsid w:val="006B773A"/>
    <w:rsid w:val="006E17A5"/>
    <w:rsid w:val="006E6502"/>
    <w:rsid w:val="006E74C1"/>
    <w:rsid w:val="006F4891"/>
    <w:rsid w:val="00702C47"/>
    <w:rsid w:val="00706196"/>
    <w:rsid w:val="00710BAE"/>
    <w:rsid w:val="00713205"/>
    <w:rsid w:val="00713C56"/>
    <w:rsid w:val="00713D9F"/>
    <w:rsid w:val="00722813"/>
    <w:rsid w:val="007260B8"/>
    <w:rsid w:val="007279E1"/>
    <w:rsid w:val="00732761"/>
    <w:rsid w:val="0073375F"/>
    <w:rsid w:val="0074168B"/>
    <w:rsid w:val="00741D61"/>
    <w:rsid w:val="00747F47"/>
    <w:rsid w:val="00760135"/>
    <w:rsid w:val="0077035D"/>
    <w:rsid w:val="0077732C"/>
    <w:rsid w:val="007849D3"/>
    <w:rsid w:val="00787396"/>
    <w:rsid w:val="007A3198"/>
    <w:rsid w:val="007A7654"/>
    <w:rsid w:val="007C1270"/>
    <w:rsid w:val="007D07CE"/>
    <w:rsid w:val="007D686F"/>
    <w:rsid w:val="007E29C9"/>
    <w:rsid w:val="007F192C"/>
    <w:rsid w:val="007F3735"/>
    <w:rsid w:val="007F70DA"/>
    <w:rsid w:val="007F7FFC"/>
    <w:rsid w:val="00801740"/>
    <w:rsid w:val="008018B5"/>
    <w:rsid w:val="008028FC"/>
    <w:rsid w:val="00802CBA"/>
    <w:rsid w:val="00803A07"/>
    <w:rsid w:val="00814D2F"/>
    <w:rsid w:val="00815195"/>
    <w:rsid w:val="0082066E"/>
    <w:rsid w:val="00823936"/>
    <w:rsid w:val="00823CF2"/>
    <w:rsid w:val="00824D41"/>
    <w:rsid w:val="00832509"/>
    <w:rsid w:val="00834399"/>
    <w:rsid w:val="00834F5B"/>
    <w:rsid w:val="00835B11"/>
    <w:rsid w:val="0084363C"/>
    <w:rsid w:val="008510EC"/>
    <w:rsid w:val="00855524"/>
    <w:rsid w:val="00855550"/>
    <w:rsid w:val="008640A1"/>
    <w:rsid w:val="0086565B"/>
    <w:rsid w:val="008749C1"/>
    <w:rsid w:val="008846DF"/>
    <w:rsid w:val="008B73FA"/>
    <w:rsid w:val="008C36D9"/>
    <w:rsid w:val="008C6015"/>
    <w:rsid w:val="008D089C"/>
    <w:rsid w:val="008E2021"/>
    <w:rsid w:val="008E3082"/>
    <w:rsid w:val="008F76FB"/>
    <w:rsid w:val="008F7E5C"/>
    <w:rsid w:val="00903EE4"/>
    <w:rsid w:val="00905BDF"/>
    <w:rsid w:val="009112AD"/>
    <w:rsid w:val="009142A3"/>
    <w:rsid w:val="00921FDF"/>
    <w:rsid w:val="009245F0"/>
    <w:rsid w:val="00952F7C"/>
    <w:rsid w:val="00955AEC"/>
    <w:rsid w:val="00960FB0"/>
    <w:rsid w:val="00981430"/>
    <w:rsid w:val="00991DC1"/>
    <w:rsid w:val="009B1C7A"/>
    <w:rsid w:val="009B3FE8"/>
    <w:rsid w:val="009C08F7"/>
    <w:rsid w:val="009D0E72"/>
    <w:rsid w:val="009D2FAE"/>
    <w:rsid w:val="009E05EF"/>
    <w:rsid w:val="009E18D7"/>
    <w:rsid w:val="009E7303"/>
    <w:rsid w:val="009F6B21"/>
    <w:rsid w:val="00A04F2C"/>
    <w:rsid w:val="00A101D4"/>
    <w:rsid w:val="00A112F7"/>
    <w:rsid w:val="00A259B1"/>
    <w:rsid w:val="00A36FE0"/>
    <w:rsid w:val="00A3713D"/>
    <w:rsid w:val="00A5619C"/>
    <w:rsid w:val="00A64071"/>
    <w:rsid w:val="00A66457"/>
    <w:rsid w:val="00A71199"/>
    <w:rsid w:val="00A71F82"/>
    <w:rsid w:val="00A72AF6"/>
    <w:rsid w:val="00A77EE9"/>
    <w:rsid w:val="00A96EFA"/>
    <w:rsid w:val="00A976FD"/>
    <w:rsid w:val="00AC10D6"/>
    <w:rsid w:val="00AE271B"/>
    <w:rsid w:val="00AE778D"/>
    <w:rsid w:val="00AF4DE6"/>
    <w:rsid w:val="00B0115A"/>
    <w:rsid w:val="00B1593B"/>
    <w:rsid w:val="00B2158F"/>
    <w:rsid w:val="00B24031"/>
    <w:rsid w:val="00B60DF3"/>
    <w:rsid w:val="00B6689A"/>
    <w:rsid w:val="00B700AD"/>
    <w:rsid w:val="00B810A5"/>
    <w:rsid w:val="00B837E8"/>
    <w:rsid w:val="00B83E38"/>
    <w:rsid w:val="00B87C8D"/>
    <w:rsid w:val="00B94013"/>
    <w:rsid w:val="00BA3234"/>
    <w:rsid w:val="00BA39F5"/>
    <w:rsid w:val="00BA4ED2"/>
    <w:rsid w:val="00BB0642"/>
    <w:rsid w:val="00BB4DBA"/>
    <w:rsid w:val="00BB68BF"/>
    <w:rsid w:val="00BC52D5"/>
    <w:rsid w:val="00BD22D9"/>
    <w:rsid w:val="00BD471D"/>
    <w:rsid w:val="00BF2B3A"/>
    <w:rsid w:val="00BF3F61"/>
    <w:rsid w:val="00BF5577"/>
    <w:rsid w:val="00BF6869"/>
    <w:rsid w:val="00C06928"/>
    <w:rsid w:val="00C0750A"/>
    <w:rsid w:val="00C07688"/>
    <w:rsid w:val="00C12627"/>
    <w:rsid w:val="00C137E4"/>
    <w:rsid w:val="00C15759"/>
    <w:rsid w:val="00C17390"/>
    <w:rsid w:val="00C33BF3"/>
    <w:rsid w:val="00C3663A"/>
    <w:rsid w:val="00C4100B"/>
    <w:rsid w:val="00C45526"/>
    <w:rsid w:val="00C478FF"/>
    <w:rsid w:val="00C50059"/>
    <w:rsid w:val="00C550F8"/>
    <w:rsid w:val="00C55297"/>
    <w:rsid w:val="00C57D60"/>
    <w:rsid w:val="00C57EDE"/>
    <w:rsid w:val="00C63063"/>
    <w:rsid w:val="00C6412F"/>
    <w:rsid w:val="00C64CD9"/>
    <w:rsid w:val="00C73887"/>
    <w:rsid w:val="00C73D1F"/>
    <w:rsid w:val="00C75553"/>
    <w:rsid w:val="00C80AFF"/>
    <w:rsid w:val="00C811FE"/>
    <w:rsid w:val="00C82B4D"/>
    <w:rsid w:val="00CA60F6"/>
    <w:rsid w:val="00CB01B9"/>
    <w:rsid w:val="00CB3840"/>
    <w:rsid w:val="00CC1B86"/>
    <w:rsid w:val="00CC3FE2"/>
    <w:rsid w:val="00CE5C3A"/>
    <w:rsid w:val="00CF20AF"/>
    <w:rsid w:val="00D07456"/>
    <w:rsid w:val="00D11739"/>
    <w:rsid w:val="00D16728"/>
    <w:rsid w:val="00D208D2"/>
    <w:rsid w:val="00D265A4"/>
    <w:rsid w:val="00D4061F"/>
    <w:rsid w:val="00D42E7E"/>
    <w:rsid w:val="00D43BC6"/>
    <w:rsid w:val="00D4624D"/>
    <w:rsid w:val="00D53A57"/>
    <w:rsid w:val="00D63EDA"/>
    <w:rsid w:val="00D70EA1"/>
    <w:rsid w:val="00D73430"/>
    <w:rsid w:val="00D760BF"/>
    <w:rsid w:val="00D80B35"/>
    <w:rsid w:val="00D815B1"/>
    <w:rsid w:val="00D84712"/>
    <w:rsid w:val="00D84BA5"/>
    <w:rsid w:val="00D92B1F"/>
    <w:rsid w:val="00D9528B"/>
    <w:rsid w:val="00DB4957"/>
    <w:rsid w:val="00DB5CE0"/>
    <w:rsid w:val="00DB7C43"/>
    <w:rsid w:val="00DC4BCB"/>
    <w:rsid w:val="00DC7DBD"/>
    <w:rsid w:val="00DD2853"/>
    <w:rsid w:val="00DD389B"/>
    <w:rsid w:val="00DD5A73"/>
    <w:rsid w:val="00DE24EB"/>
    <w:rsid w:val="00DE3C30"/>
    <w:rsid w:val="00E04432"/>
    <w:rsid w:val="00E07A86"/>
    <w:rsid w:val="00E11130"/>
    <w:rsid w:val="00E126C4"/>
    <w:rsid w:val="00E13DE2"/>
    <w:rsid w:val="00E16BEA"/>
    <w:rsid w:val="00E264DD"/>
    <w:rsid w:val="00E324CE"/>
    <w:rsid w:val="00E40337"/>
    <w:rsid w:val="00E4425F"/>
    <w:rsid w:val="00E53D83"/>
    <w:rsid w:val="00E60CF8"/>
    <w:rsid w:val="00E700A4"/>
    <w:rsid w:val="00E703EF"/>
    <w:rsid w:val="00E765E9"/>
    <w:rsid w:val="00EB3C3C"/>
    <w:rsid w:val="00ED15F9"/>
    <w:rsid w:val="00EE32BE"/>
    <w:rsid w:val="00EF1797"/>
    <w:rsid w:val="00F00422"/>
    <w:rsid w:val="00F03B2A"/>
    <w:rsid w:val="00F05EFC"/>
    <w:rsid w:val="00F30B2A"/>
    <w:rsid w:val="00F310DA"/>
    <w:rsid w:val="00F32B95"/>
    <w:rsid w:val="00F368AC"/>
    <w:rsid w:val="00F570DB"/>
    <w:rsid w:val="00F66BFE"/>
    <w:rsid w:val="00F81065"/>
    <w:rsid w:val="00F8341C"/>
    <w:rsid w:val="00F96C3A"/>
    <w:rsid w:val="00FA2D21"/>
    <w:rsid w:val="00FB0DB6"/>
    <w:rsid w:val="00FB2224"/>
    <w:rsid w:val="00FB5214"/>
    <w:rsid w:val="00FB551A"/>
    <w:rsid w:val="00FB5AFA"/>
    <w:rsid w:val="00FC0C66"/>
    <w:rsid w:val="00FC3A35"/>
    <w:rsid w:val="00FC63FA"/>
    <w:rsid w:val="00FD03C5"/>
    <w:rsid w:val="00FD22EE"/>
    <w:rsid w:val="00FD7388"/>
    <w:rsid w:val="00FD75E9"/>
    <w:rsid w:val="00FF07D2"/>
    <w:rsid w:val="00FF31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A45BE"/>
  <w15:chartTrackingRefBased/>
  <w15:docId w15:val="{322600F0-DB5E-4B7F-8FD4-F1BB0E67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5F0"/>
    <w:pPr>
      <w:spacing w:after="240" w:line="240" w:lineRule="auto"/>
    </w:pPr>
    <w:rPr>
      <w:rFonts w:ascii="Times New Roman" w:eastAsia="Times New Roman" w:hAnsi="Times New Roman" w:cs="Times New Roman"/>
      <w:szCs w:val="20"/>
      <w:lang w:val="en-US"/>
    </w:rPr>
  </w:style>
  <w:style w:type="paragraph" w:styleId="Heading2">
    <w:name w:val="heading 2"/>
    <w:basedOn w:val="Normal"/>
    <w:next w:val="Normal"/>
    <w:link w:val="Heading2Char"/>
    <w:uiPriority w:val="9"/>
    <w:semiHidden/>
    <w:unhideWhenUsed/>
    <w:qFormat/>
    <w:rsid w:val="009245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umetext">
    <w:name w:val="Resume text"/>
    <w:basedOn w:val="Normal"/>
    <w:qFormat/>
    <w:rsid w:val="009245F0"/>
    <w:pPr>
      <w:spacing w:after="0"/>
    </w:pPr>
    <w:rPr>
      <w:rFonts w:ascii="Verdana" w:hAnsi="Verdana"/>
      <w:sz w:val="18"/>
      <w:lang w:val="en-CA"/>
    </w:rPr>
  </w:style>
  <w:style w:type="paragraph" w:customStyle="1" w:styleId="ResumeSubhead">
    <w:name w:val="Resume Subhead"/>
    <w:basedOn w:val="Heading2"/>
    <w:rsid w:val="009245F0"/>
    <w:pPr>
      <w:keepLines w:val="0"/>
      <w:spacing w:before="60" w:after="60"/>
    </w:pPr>
    <w:rPr>
      <w:rFonts w:ascii="Verdana" w:eastAsia="Times New Roman" w:hAnsi="Verdana" w:cs="Times New Roman"/>
      <w:b/>
      <w:color w:val="667DD1"/>
      <w:sz w:val="20"/>
      <w:szCs w:val="20"/>
      <w:lang w:val="en-CA"/>
    </w:rPr>
  </w:style>
  <w:style w:type="paragraph" w:customStyle="1" w:styleId="act-e">
    <w:name w:val="act-e"/>
    <w:rsid w:val="009245F0"/>
    <w:pPr>
      <w:keepNext/>
      <w:tabs>
        <w:tab w:val="left" w:pos="0"/>
      </w:tabs>
      <w:suppressAutoHyphens/>
      <w:spacing w:before="140" w:after="0" w:line="190" w:lineRule="exact"/>
      <w:jc w:val="center"/>
    </w:pPr>
    <w:rPr>
      <w:rFonts w:ascii="Times New Roman" w:eastAsia="Times New Roman" w:hAnsi="Times New Roman" w:cs="Times New Roman"/>
      <w:i/>
      <w:snapToGrid w:val="0"/>
      <w:sz w:val="20"/>
      <w:szCs w:val="20"/>
      <w:lang w:val="en-GB"/>
    </w:rPr>
  </w:style>
  <w:style w:type="paragraph" w:customStyle="1" w:styleId="form-e">
    <w:name w:val="form-e"/>
    <w:rsid w:val="009245F0"/>
    <w:pPr>
      <w:keepNext/>
      <w:tabs>
        <w:tab w:val="left" w:pos="0"/>
      </w:tabs>
      <w:suppressAutoHyphens/>
      <w:spacing w:before="140" w:after="0" w:line="190" w:lineRule="exact"/>
      <w:jc w:val="center"/>
    </w:pPr>
    <w:rPr>
      <w:rFonts w:ascii="Times New Roman" w:eastAsia="Times New Roman" w:hAnsi="Times New Roman" w:cs="Times New Roman"/>
      <w:caps/>
      <w:snapToGrid w:val="0"/>
      <w:sz w:val="20"/>
      <w:szCs w:val="20"/>
      <w:lang w:val="en-GB"/>
    </w:rPr>
  </w:style>
  <w:style w:type="paragraph" w:customStyle="1" w:styleId="subject-e">
    <w:name w:val="subject-e"/>
    <w:rsid w:val="009245F0"/>
    <w:pPr>
      <w:keepNext/>
      <w:tabs>
        <w:tab w:val="left" w:pos="0"/>
      </w:tabs>
      <w:suppressAutoHyphens/>
      <w:spacing w:before="140" w:after="0" w:line="190" w:lineRule="exact"/>
      <w:jc w:val="center"/>
    </w:pPr>
    <w:rPr>
      <w:rFonts w:ascii="Times New Roman" w:eastAsia="Times New Roman" w:hAnsi="Times New Roman" w:cs="Times New Roman"/>
      <w:caps/>
      <w:snapToGrid w:val="0"/>
      <w:sz w:val="20"/>
      <w:szCs w:val="20"/>
      <w:lang w:val="en-GB"/>
    </w:rPr>
  </w:style>
  <w:style w:type="paragraph" w:customStyle="1" w:styleId="table-e">
    <w:name w:val="table-e"/>
    <w:rsid w:val="009245F0"/>
    <w:pPr>
      <w:suppressAutoHyphens/>
      <w:spacing w:before="11" w:after="0" w:line="189" w:lineRule="exact"/>
    </w:pPr>
    <w:rPr>
      <w:rFonts w:ascii="Times New Roman" w:eastAsia="Times New Roman" w:hAnsi="Times New Roman" w:cs="Times New Roman"/>
      <w:snapToGrid w:val="0"/>
      <w:sz w:val="18"/>
      <w:szCs w:val="20"/>
      <w:lang w:val="en-GB"/>
    </w:rPr>
  </w:style>
  <w:style w:type="paragraph" w:customStyle="1" w:styleId="zc-i-ul-e">
    <w:name w:val="zc-i-u/l-e"/>
    <w:rsid w:val="009245F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eastAsia="Times New Roman" w:hAnsi="Times" w:cs="Times New Roman"/>
      <w:i/>
      <w:snapToGrid w:val="0"/>
      <w:sz w:val="17"/>
      <w:szCs w:val="20"/>
      <w:lang w:val="en-GB"/>
    </w:rPr>
  </w:style>
  <w:style w:type="paragraph" w:customStyle="1" w:styleId="zparawtab-e">
    <w:name w:val="zparawtab-e"/>
    <w:rsid w:val="009245F0"/>
    <w:pPr>
      <w:tabs>
        <w:tab w:val="right" w:pos="239"/>
        <w:tab w:val="left" w:pos="279"/>
      </w:tabs>
      <w:spacing w:after="139" w:line="190" w:lineRule="exact"/>
      <w:jc w:val="both"/>
    </w:pPr>
    <w:rPr>
      <w:rFonts w:ascii="Times" w:eastAsia="Times New Roman" w:hAnsi="Times" w:cs="Times New Roman"/>
      <w:snapToGrid w:val="0"/>
      <w:sz w:val="17"/>
      <w:szCs w:val="20"/>
      <w:lang w:val="en-GB"/>
    </w:rPr>
  </w:style>
  <w:style w:type="paragraph" w:customStyle="1" w:styleId="Resumeheadinginfo">
    <w:name w:val="Resume heading info"/>
    <w:basedOn w:val="Normal"/>
    <w:next w:val="Normal"/>
    <w:uiPriority w:val="7"/>
    <w:qFormat/>
    <w:rsid w:val="009245F0"/>
    <w:pPr>
      <w:keepNext/>
      <w:spacing w:after="0"/>
    </w:pPr>
    <w:rPr>
      <w:rFonts w:ascii="Arial" w:eastAsia="Times" w:hAnsi="Arial"/>
      <w:b/>
      <w:color w:val="000000"/>
      <w:sz w:val="20"/>
      <w:lang w:val="en-CA"/>
    </w:rPr>
  </w:style>
  <w:style w:type="paragraph" w:customStyle="1" w:styleId="Resumename15">
    <w:name w:val="Resume name 1.5&quot;"/>
    <w:basedOn w:val="Normal"/>
    <w:next w:val="Normal"/>
    <w:qFormat/>
    <w:rsid w:val="009245F0"/>
    <w:pPr>
      <w:keepNext/>
      <w:pageBreakBefore/>
      <w:snapToGrid w:val="0"/>
      <w:spacing w:after="640"/>
      <w:ind w:left="2160"/>
    </w:pPr>
    <w:rPr>
      <w:color w:val="002776"/>
      <w:sz w:val="44"/>
      <w:szCs w:val="44"/>
      <w:lang w:val="en-CA"/>
    </w:rPr>
  </w:style>
  <w:style w:type="character" w:customStyle="1" w:styleId="ListbulletChar">
    <w:name w:val="List bullet Char"/>
    <w:basedOn w:val="DefaultParagraphFont"/>
    <w:link w:val="ListBullet1"/>
    <w:uiPriority w:val="1"/>
    <w:locked/>
    <w:rsid w:val="009245F0"/>
    <w:rPr>
      <w:rFonts w:ascii="Arial" w:hAnsi="Arial" w:cs="Arial"/>
      <w:color w:val="000000"/>
    </w:rPr>
  </w:style>
  <w:style w:type="paragraph" w:customStyle="1" w:styleId="ListBullet1">
    <w:name w:val="List Bullet1"/>
    <w:basedOn w:val="Normal"/>
    <w:link w:val="ListbulletChar"/>
    <w:uiPriority w:val="1"/>
    <w:qFormat/>
    <w:rsid w:val="009245F0"/>
    <w:pPr>
      <w:numPr>
        <w:numId w:val="1"/>
      </w:numPr>
      <w:spacing w:after="120" w:line="220" w:lineRule="exact"/>
    </w:pPr>
    <w:rPr>
      <w:rFonts w:ascii="Arial" w:eastAsiaTheme="minorHAnsi" w:hAnsi="Arial" w:cs="Arial"/>
      <w:color w:val="000000"/>
      <w:szCs w:val="22"/>
      <w:lang w:val="en-CA"/>
    </w:rPr>
  </w:style>
  <w:style w:type="paragraph" w:customStyle="1" w:styleId="ListBullet21">
    <w:name w:val="List Bullet 21"/>
    <w:basedOn w:val="ListBullet1"/>
    <w:uiPriority w:val="1"/>
    <w:qFormat/>
    <w:rsid w:val="009245F0"/>
    <w:pPr>
      <w:numPr>
        <w:ilvl w:val="1"/>
      </w:numPr>
      <w:tabs>
        <w:tab w:val="clear" w:pos="720"/>
        <w:tab w:val="num" w:pos="360"/>
        <w:tab w:val="num" w:pos="1416"/>
      </w:tabs>
      <w:ind w:left="1613" w:hanging="708"/>
    </w:pPr>
  </w:style>
  <w:style w:type="paragraph" w:customStyle="1" w:styleId="ListBullet31">
    <w:name w:val="List Bullet 31"/>
    <w:basedOn w:val="ListBullet21"/>
    <w:uiPriority w:val="1"/>
    <w:qFormat/>
    <w:rsid w:val="009245F0"/>
    <w:pPr>
      <w:numPr>
        <w:ilvl w:val="2"/>
      </w:numPr>
      <w:tabs>
        <w:tab w:val="clear" w:pos="1080"/>
        <w:tab w:val="num" w:pos="360"/>
        <w:tab w:val="num" w:pos="2520"/>
      </w:tabs>
      <w:ind w:left="2333" w:firstLine="0"/>
    </w:pPr>
  </w:style>
  <w:style w:type="character" w:customStyle="1" w:styleId="Heading2Char">
    <w:name w:val="Heading 2 Char"/>
    <w:basedOn w:val="DefaultParagraphFont"/>
    <w:link w:val="Heading2"/>
    <w:uiPriority w:val="9"/>
    <w:semiHidden/>
    <w:rsid w:val="009245F0"/>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553</Words>
  <Characters>3070</Characters>
  <Application>Microsoft Office Word</Application>
  <DocSecurity>0</DocSecurity>
  <Lines>95</Lines>
  <Paragraphs>50</Paragraphs>
  <ScaleCrop>false</ScaleCrop>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Low</dc:creator>
  <cp:keywords/>
  <dc:description/>
  <cp:lastModifiedBy>Robert Low</cp:lastModifiedBy>
  <cp:revision>2</cp:revision>
  <dcterms:created xsi:type="dcterms:W3CDTF">2022-12-07T20:08:00Z</dcterms:created>
  <dcterms:modified xsi:type="dcterms:W3CDTF">2022-12-07T20:12:00Z</dcterms:modified>
</cp:coreProperties>
</file>