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6DCB" w:rsidRDefault="00D36DCB"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617452" w:rsidP="007A0103">
      <w:pPr>
        <w:jc w:val="center"/>
      </w:pPr>
      <w:r>
        <w:t xml:space="preserve">“To Cover </w:t>
      </w:r>
      <w:r w:rsidR="00E025B4">
        <w:t>with</w:t>
      </w:r>
      <w:r>
        <w:t xml:space="preserve"> Thick Infamy”: A Case Study on t</w:t>
      </w:r>
      <w:r w:rsidR="00E87ED0">
        <w:t xml:space="preserve">he Libel Suit </w:t>
      </w:r>
      <w:r w:rsidR="007A0103">
        <w:t>of William Lloyd Garrison</w:t>
      </w: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865E69" w:rsidP="007A0103">
      <w:pPr>
        <w:jc w:val="center"/>
      </w:pPr>
      <w:r>
        <w:t>Holly Atkins</w:t>
      </w: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7A0103" w:rsidP="007A0103">
      <w:pPr>
        <w:jc w:val="center"/>
      </w:pPr>
    </w:p>
    <w:p w:rsidR="007A0103" w:rsidRDefault="00865E69" w:rsidP="007A0103">
      <w:pPr>
        <w:spacing w:line="480" w:lineRule="auto"/>
        <w:jc w:val="center"/>
      </w:pPr>
      <w:r>
        <w:t>HIS 551 Intellectual History</w:t>
      </w:r>
    </w:p>
    <w:p w:rsidR="00865E69" w:rsidRDefault="00865E69" w:rsidP="007A0103">
      <w:pPr>
        <w:spacing w:line="480" w:lineRule="auto"/>
        <w:jc w:val="center"/>
      </w:pPr>
      <w:r>
        <w:t>Dr. Tamara Thornton</w:t>
      </w:r>
    </w:p>
    <w:p w:rsidR="007A0103" w:rsidRDefault="007A0103" w:rsidP="007A0103">
      <w:pPr>
        <w:spacing w:line="480" w:lineRule="auto"/>
        <w:jc w:val="center"/>
      </w:pPr>
      <w:r>
        <w:t>5/15/18</w:t>
      </w:r>
    </w:p>
    <w:p w:rsidR="00BA28F0" w:rsidRDefault="007A0103" w:rsidP="007A0103">
      <w:pPr>
        <w:spacing w:line="480" w:lineRule="auto"/>
      </w:pPr>
      <w:r>
        <w:lastRenderedPageBreak/>
        <w:tab/>
        <w:t>On November 20</w:t>
      </w:r>
      <w:r w:rsidRPr="007A0103">
        <w:rPr>
          <w:vertAlign w:val="superscript"/>
        </w:rPr>
        <w:t>th</w:t>
      </w:r>
      <w:r>
        <w:t xml:space="preserve">, 1829, </w:t>
      </w:r>
      <w:r w:rsidR="00B31B8C">
        <w:t>an</w:t>
      </w:r>
      <w:r>
        <w:t xml:space="preserve"> article titled “Black List” appeared </w:t>
      </w:r>
      <w:r w:rsidR="004D466B">
        <w:t xml:space="preserve">in the abolitionist paper </w:t>
      </w:r>
      <w:r w:rsidR="003508DF" w:rsidRPr="003508DF">
        <w:rPr>
          <w:i/>
        </w:rPr>
        <w:t>The</w:t>
      </w:r>
      <w:r w:rsidR="004D466B">
        <w:t xml:space="preserve"> </w:t>
      </w:r>
      <w:r w:rsidR="004D466B">
        <w:rPr>
          <w:i/>
        </w:rPr>
        <w:t xml:space="preserve">Genius of Universal Emancipation. </w:t>
      </w:r>
      <w:r w:rsidR="004D466B">
        <w:t>The article, written by “G,” detailed the case of The Francis, a slave ship commanded by Captain Nicholas Brown and owned by Francis Todd, which “sailed a few weeks since from [Baltimore], with a cargo of slaves, for the New Orleans market.” The writer denounced this “horrible traffic” and took aim at “the men who have the wickedness to p</w:t>
      </w:r>
      <w:r w:rsidR="002A469C">
        <w:t>articipate [in the Slave Trade].” The legality of the trade was not of issue to the writer; instead, he sought “to illustrate New England humanity and morality…[and] to cover with thick infamy all who are concerned in this nef</w:t>
      </w:r>
      <w:r w:rsidR="00B31B8C">
        <w:t xml:space="preserve">arious business.” He </w:t>
      </w:r>
      <w:r w:rsidR="002A469C">
        <w:t>claim</w:t>
      </w:r>
      <w:r w:rsidR="00B31B8C">
        <w:t>ed</w:t>
      </w:r>
      <w:r w:rsidR="002A469C">
        <w:t xml:space="preserve"> that men who use the slave trade as a “</w:t>
      </w:r>
      <w:r w:rsidR="004D466B">
        <w:t xml:space="preserve">purpose of heaping up wealth should be SENTENCED TO SOLITARY CONFINEMENT FOR LIFE, </w:t>
      </w:r>
      <w:r w:rsidR="004D466B">
        <w:rPr>
          <w:i/>
        </w:rPr>
        <w:t xml:space="preserve">they are the enemies of their own species—high-way robbers and murderers; </w:t>
      </w:r>
      <w:r w:rsidR="004D466B">
        <w:t xml:space="preserve">and their final doom will be, unless they speedily repent, </w:t>
      </w:r>
      <w:r w:rsidR="004D466B">
        <w:rPr>
          <w:i/>
        </w:rPr>
        <w:t>to occupy the lowest depths of perdition.</w:t>
      </w:r>
      <w:r w:rsidR="00A673CC">
        <w:t>”</w:t>
      </w:r>
      <w:r w:rsidR="00BA28F0">
        <w:rPr>
          <w:rStyle w:val="FootnoteReference"/>
        </w:rPr>
        <w:footnoteReference w:id="1"/>
      </w:r>
      <w:r w:rsidR="004D466B">
        <w:t xml:space="preserve"> </w:t>
      </w:r>
    </w:p>
    <w:p w:rsidR="00A27C53" w:rsidRDefault="00BA28F0" w:rsidP="007A0103">
      <w:pPr>
        <w:spacing w:line="480" w:lineRule="auto"/>
      </w:pPr>
      <w:r>
        <w:tab/>
      </w:r>
      <w:r w:rsidR="0055793D">
        <w:t>The writer—who turned out to be William Lloyd Garrison—would not get his wish. Instead</w:t>
      </w:r>
      <w:r w:rsidR="00B31B8C">
        <w:t>,</w:t>
      </w:r>
      <w:r w:rsidR="0055793D">
        <w:t xml:space="preserve"> </w:t>
      </w:r>
      <w:r w:rsidR="00B31B8C">
        <w:t>the article would earn him a libel suit brou</w:t>
      </w:r>
      <w:r w:rsidR="00FD49C3">
        <w:t>ght agai</w:t>
      </w:r>
      <w:r w:rsidR="003508DF">
        <w:t>nst him by Francis Todd. Fined one thousand dollars</w:t>
      </w:r>
      <w:r w:rsidR="00FD49C3">
        <w:t xml:space="preserve">, </w:t>
      </w:r>
      <w:r w:rsidR="00B31B8C">
        <w:t>G</w:t>
      </w:r>
      <w:r w:rsidR="002E7408">
        <w:t xml:space="preserve">arrison would spend the next six months in </w:t>
      </w:r>
      <w:r w:rsidR="00FD49C3">
        <w:t xml:space="preserve">debtor’s </w:t>
      </w:r>
      <w:r w:rsidR="002E7408">
        <w:t xml:space="preserve">prison. The Garrison Case is neither a unique </w:t>
      </w:r>
      <w:r w:rsidR="00732906">
        <w:t>n</w:t>
      </w:r>
      <w:r w:rsidR="002E7408">
        <w:t xml:space="preserve">or </w:t>
      </w:r>
      <w:r w:rsidR="00732906">
        <w:t xml:space="preserve">an </w:t>
      </w:r>
      <w:r w:rsidR="002E7408">
        <w:t>unusual case in American history—on the contrary, it exemplifies the typical attitudes Americans held towards abolitionism, freedom of speech, and libel laws</w:t>
      </w:r>
      <w:r w:rsidR="00A27C53">
        <w:t xml:space="preserve"> during the 1830s</w:t>
      </w:r>
      <w:r w:rsidR="00923BCB">
        <w:t xml:space="preserve">. Therefore, </w:t>
      </w:r>
      <w:r w:rsidR="002E7408">
        <w:t>the Garrison Cas</w:t>
      </w:r>
      <w:r w:rsidR="00923BCB">
        <w:t>e is an excellent case study to determine</w:t>
      </w:r>
      <w:r w:rsidR="002E7408">
        <w:t xml:space="preserve"> the common trends and beliefs concerning abolitionism, freedom of speech, and libel laws, and how they intersected</w:t>
      </w:r>
      <w:r w:rsidR="00923BCB">
        <w:t xml:space="preserve"> in 1830s America</w:t>
      </w:r>
      <w:r w:rsidR="002E7408">
        <w:t xml:space="preserve">. </w:t>
      </w:r>
    </w:p>
    <w:p w:rsidR="00BA28F0" w:rsidRDefault="00A27C53" w:rsidP="007A0103">
      <w:pPr>
        <w:spacing w:line="480" w:lineRule="auto"/>
      </w:pPr>
      <w:r>
        <w:tab/>
      </w:r>
      <w:r w:rsidR="00050326">
        <w:t xml:space="preserve">Libel, on its surface, concerns defamatory remarks made in writing or in print, communicated to a third party, which </w:t>
      </w:r>
      <w:r w:rsidR="00732906">
        <w:t xml:space="preserve">harm someone’s reputation and good name, and subjects </w:t>
      </w:r>
      <w:r w:rsidR="00732906">
        <w:lastRenderedPageBreak/>
        <w:t>them to ridicule and/or fi</w:t>
      </w:r>
      <w:r w:rsidR="008B62DA">
        <w:t>nancial harm</w:t>
      </w:r>
      <w:r w:rsidR="00732906">
        <w:t>.</w:t>
      </w:r>
      <w:r w:rsidR="005D6720">
        <w:rPr>
          <w:rStyle w:val="FootnoteReference"/>
        </w:rPr>
        <w:footnoteReference w:id="2"/>
      </w:r>
      <w:r w:rsidR="00FE58CC">
        <w:t xml:space="preserve"> Libel laws, therefore, are meant to protect those who come under unreasonable attack, and, as legal historian Norman L. Rosenberg explains, </w:t>
      </w:r>
      <w:r w:rsidR="003508DF">
        <w:t>they</w:t>
      </w:r>
      <w:r w:rsidR="00FE58CC">
        <w:t xml:space="preserve"> originated in </w:t>
      </w:r>
      <w:r w:rsidR="00732906">
        <w:t xml:space="preserve">Western societies in </w:t>
      </w:r>
      <w:r w:rsidR="00FE58CC">
        <w:t>order to “</w:t>
      </w:r>
      <w:r w:rsidR="003508DF">
        <w:t>protect the best men”</w:t>
      </w:r>
      <w:r w:rsidR="00732906">
        <w:t xml:space="preserve"> (</w:t>
      </w:r>
      <w:r w:rsidR="00093318">
        <w:t>e.g. government officials</w:t>
      </w:r>
      <w:r w:rsidR="00732906">
        <w:t>)</w:t>
      </w:r>
      <w:r w:rsidR="00093318">
        <w:t>.</w:t>
      </w:r>
      <w:r w:rsidR="00FE58CC">
        <w:rPr>
          <w:rStyle w:val="FootnoteReference"/>
        </w:rPr>
        <w:footnoteReference w:id="3"/>
      </w:r>
    </w:p>
    <w:p w:rsidR="009530B4" w:rsidRDefault="00661BD7" w:rsidP="007A0103">
      <w:pPr>
        <w:spacing w:line="480" w:lineRule="auto"/>
      </w:pPr>
      <w:r>
        <w:tab/>
        <w:t xml:space="preserve">Yet </w:t>
      </w:r>
      <w:r w:rsidR="009530B4">
        <w:t>libel laws are not always that simple. Determining whether or not an article is lib</w:t>
      </w:r>
      <w:r w:rsidR="00B22CE3">
        <w:t xml:space="preserve">elous can be tricky </w:t>
      </w:r>
      <w:r w:rsidR="009530B4">
        <w:t>if the facts produced in the article are true. If an article printed falsehoods, then that “fully demonstrated malicious intent,” but if an article printed defamatory remarks that were also true</w:t>
      </w:r>
      <w:r>
        <w:t>,</w:t>
      </w:r>
      <w:r w:rsidR="009530B4">
        <w:t xml:space="preserve"> was it still libel?</w:t>
      </w:r>
    </w:p>
    <w:p w:rsidR="00661BD7" w:rsidRDefault="009530B4" w:rsidP="009530B4">
      <w:pPr>
        <w:spacing w:line="480" w:lineRule="auto"/>
        <w:ind w:firstLine="720"/>
      </w:pPr>
      <w:r>
        <w:t>In the late 18</w:t>
      </w:r>
      <w:r w:rsidRPr="009530B4">
        <w:rPr>
          <w:vertAlign w:val="superscript"/>
        </w:rPr>
        <w:t>th</w:t>
      </w:r>
      <w:r>
        <w:t xml:space="preserve"> and early 19</w:t>
      </w:r>
      <w:r w:rsidRPr="009530B4">
        <w:rPr>
          <w:vertAlign w:val="superscript"/>
        </w:rPr>
        <w:t>th</w:t>
      </w:r>
      <w:r>
        <w:t xml:space="preserve"> centuries, the answer was yes—it could still be libel. The veracity of the material was not the issue, but the </w:t>
      </w:r>
      <w:r>
        <w:rPr>
          <w:i/>
        </w:rPr>
        <w:t xml:space="preserve">intent. </w:t>
      </w:r>
      <w:r>
        <w:t>The Hamil</w:t>
      </w:r>
      <w:r w:rsidR="000A5D55">
        <w:t xml:space="preserve">tonian Doctrine of Libel Law—also known as </w:t>
      </w:r>
      <w:r>
        <w:t>the “truth-pl</w:t>
      </w:r>
      <w:r w:rsidR="000A5D55">
        <w:t>us” doctrine</w:t>
      </w:r>
      <w:r>
        <w:t>—</w:t>
      </w:r>
      <w:r w:rsidR="00026C66">
        <w:t>asserted</w:t>
      </w:r>
      <w:r>
        <w:t xml:space="preserve"> that </w:t>
      </w:r>
      <w:r w:rsidR="00884C2C">
        <w:t>people could publish “injurious statements, though true, for purely malicious motives and without any intention of advancing the public good.”</w:t>
      </w:r>
      <w:r w:rsidR="005D6720">
        <w:rPr>
          <w:rStyle w:val="FootnoteReference"/>
        </w:rPr>
        <w:footnoteReference w:id="4"/>
      </w:r>
      <w:r w:rsidR="00884C2C">
        <w:t xml:space="preserve"> The emphasis on the public good is crucial, for it is what often proved good intent. In his 1830’s </w:t>
      </w:r>
      <w:r w:rsidR="00884C2C">
        <w:rPr>
          <w:i/>
        </w:rPr>
        <w:t xml:space="preserve">Treatise </w:t>
      </w:r>
      <w:r w:rsidR="005D6720">
        <w:rPr>
          <w:i/>
        </w:rPr>
        <w:t>o</w:t>
      </w:r>
      <w:r w:rsidR="00884C2C">
        <w:rPr>
          <w:i/>
        </w:rPr>
        <w:t xml:space="preserve">n the Law of Libel and the Liberty of the Press, </w:t>
      </w:r>
      <w:r w:rsidR="00884C2C">
        <w:t>Thomas Cooper explained how “the liberty of the press consists in the right to publish with impunity, truth, with good motives, and for justifiable ends; whether it respects government, magistracy, or individuals.”</w:t>
      </w:r>
      <w:r w:rsidR="009C0548">
        <w:rPr>
          <w:rStyle w:val="FootnoteReference"/>
        </w:rPr>
        <w:footnoteReference w:id="5"/>
      </w:r>
      <w:r w:rsidR="00884C2C">
        <w:t xml:space="preserve"> </w:t>
      </w:r>
      <w:r w:rsidR="00A75319">
        <w:t>If a statement was defamatory, but also true and published with the intent to protect the public good from corrupt individuals, that</w:t>
      </w:r>
      <w:r w:rsidR="006F51F2">
        <w:t xml:space="preserve"> statement would be protected b</w:t>
      </w:r>
      <w:r w:rsidR="00FD49C3">
        <w:t>y the First Amendment</w:t>
      </w:r>
      <w:r w:rsidR="000A5D55">
        <w:t>.</w:t>
      </w:r>
    </w:p>
    <w:p w:rsidR="003C65D0" w:rsidRDefault="00B645C6" w:rsidP="003C65D0">
      <w:pPr>
        <w:spacing w:line="480" w:lineRule="auto"/>
        <w:ind w:firstLine="720"/>
      </w:pPr>
      <w:r>
        <w:t>At its core</w:t>
      </w:r>
      <w:r w:rsidR="00CC59B6">
        <w:t>, the Hamiltonian Doctrine was centered on the intent of the libeler, and it is this emphasis on intent which pl</w:t>
      </w:r>
      <w:r w:rsidR="00FD49C3">
        <w:t xml:space="preserve">ayed out </w:t>
      </w:r>
      <w:r w:rsidR="00CC59B6">
        <w:t>in Garrison’s trial</w:t>
      </w:r>
      <w:r w:rsidR="003508DF">
        <w:t>.</w:t>
      </w:r>
      <w:r w:rsidR="00CC59B6">
        <w:t xml:space="preserve"> </w:t>
      </w:r>
      <w:r w:rsidR="00030093">
        <w:t>The indictment stated that Garrison</w:t>
      </w:r>
      <w:r w:rsidR="008A67E1">
        <w:t xml:space="preserve"> </w:t>
      </w:r>
      <w:r w:rsidR="008A67E1">
        <w:lastRenderedPageBreak/>
        <w:t xml:space="preserve">contrived “unlawfully, wickedly and maliciously…to hurt, injure, and vilify one Francis Todd, and to deprive him of his good name, fame and reputation, and to bring him into great contempt, scandal, infamy, and disgrace.” </w:t>
      </w:r>
      <w:r w:rsidR="00030093">
        <w:t>Furthermore, at the trial,</w:t>
      </w:r>
      <w:r w:rsidR="008A67E1">
        <w:t xml:space="preserve"> the entire article was read to the Jury “in order to show a malicious </w:t>
      </w:r>
      <w:r w:rsidR="00EC4CFA">
        <w:t>intent</w:t>
      </w:r>
      <w:r w:rsidR="0019219F">
        <w:t>,</w:t>
      </w:r>
      <w:r w:rsidR="00EC4CFA">
        <w:t xml:space="preserve">” and </w:t>
      </w:r>
      <w:r w:rsidR="00BE5A54">
        <w:t xml:space="preserve">the section where Garrison declared </w:t>
      </w:r>
      <w:r w:rsidR="0019219F">
        <w:t>his wish</w:t>
      </w:r>
      <w:r w:rsidR="00BE5A54">
        <w:t xml:space="preserve"> to cover all those involved in the trade “with thick infamy” was put under intense scrutiny.</w:t>
      </w:r>
      <w:r w:rsidR="005D6720">
        <w:rPr>
          <w:rStyle w:val="FootnoteReference"/>
        </w:rPr>
        <w:footnoteReference w:id="6"/>
      </w:r>
      <w:r w:rsidR="00BE5A54">
        <w:t xml:space="preserve"> Indeed, in a pamphlet </w:t>
      </w:r>
      <w:r w:rsidR="00030093">
        <w:t xml:space="preserve">by William </w:t>
      </w:r>
      <w:proofErr w:type="spellStart"/>
      <w:r w:rsidR="00030093">
        <w:t>Wooddy</w:t>
      </w:r>
      <w:proofErr w:type="spellEnd"/>
      <w:r w:rsidR="00030093">
        <w:t xml:space="preserve"> </w:t>
      </w:r>
      <w:r w:rsidR="00BE5A54">
        <w:t>detailing the case over a decade later, that phrase, it was argued, “left nothing for inference and innuendo.”</w:t>
      </w:r>
      <w:r w:rsidR="00BE5A54">
        <w:rPr>
          <w:rStyle w:val="FootnoteReference"/>
        </w:rPr>
        <w:footnoteReference w:id="7"/>
      </w:r>
      <w:r w:rsidR="003C65D0">
        <w:t xml:space="preserve"> The truth of Garrison’s claims was not the object of inquiry, it was his intent on covering Todd “with thick infamy” that sent him to prison for six months.</w:t>
      </w:r>
    </w:p>
    <w:p w:rsidR="00A83C71" w:rsidRDefault="008A7473" w:rsidP="003C65D0">
      <w:pPr>
        <w:spacing w:line="480" w:lineRule="auto"/>
        <w:ind w:firstLine="720"/>
      </w:pPr>
      <w:r>
        <w:t>Yet while Garrison intended to cover Todd “with thick infamy,” he also intended on</w:t>
      </w:r>
      <w:r w:rsidR="00A83C71">
        <w:t xml:space="preserve"> presenting the facts of the situation to the public</w:t>
      </w:r>
      <w:r w:rsidR="009F2A06">
        <w:t xml:space="preserve"> so they could</w:t>
      </w:r>
      <w:r w:rsidR="00A83C71">
        <w:t xml:space="preserve"> cr</w:t>
      </w:r>
      <w:r w:rsidR="00A64E1E">
        <w:t>aft their own opinions</w:t>
      </w:r>
      <w:r w:rsidR="009F2A06">
        <w:t xml:space="preserve"> on the slave trade and Garrison’s attacks on Todd</w:t>
      </w:r>
      <w:r w:rsidR="00A64E1E">
        <w:t xml:space="preserve">. </w:t>
      </w:r>
      <w:r>
        <w:t xml:space="preserve">In other words, </w:t>
      </w:r>
      <w:r w:rsidR="00A83C71">
        <w:t>Garrison wanted the situation to be handled not in the court of law, but in the court of public opinion. According to Jeannine Marie DeLombard, this was a common tactic by white abolitionists</w:t>
      </w:r>
      <w:r w:rsidR="009F2A06">
        <w:t xml:space="preserve"> of the time period. P</w:t>
      </w:r>
      <w:r w:rsidR="00A83C71">
        <w:t>resent</w:t>
      </w:r>
      <w:r w:rsidR="009F2A06">
        <w:t xml:space="preserve">ing </w:t>
      </w:r>
      <w:r w:rsidR="00A83C71">
        <w:t>themselves “as advocates for the slave, and the American reading publ</w:t>
      </w:r>
      <w:r w:rsidR="009F2A06">
        <w:t>ic as a court of public opinion,</w:t>
      </w:r>
      <w:r w:rsidR="00A83C71">
        <w:t>”</w:t>
      </w:r>
      <w:r w:rsidR="009F2A06">
        <w:t xml:space="preserve"> </w:t>
      </w:r>
      <w:r w:rsidR="001D480D">
        <w:t>writers and journalists</w:t>
      </w:r>
      <w:r w:rsidR="009F2A06">
        <w:t xml:space="preserve"> positioned themselves </w:t>
      </w:r>
      <w:r w:rsidR="001D480D">
        <w:t>as lawyers defending their client (the slave), and their readers as the jury who would eventually make the verdict. This stemmed from the belief that a democratic government required the public “to supervise and correct government actions through strategies that went beyond voting to include petitioning, assembly, and print protest.”</w:t>
      </w:r>
      <w:r w:rsidR="005D6720">
        <w:rPr>
          <w:rStyle w:val="FootnoteReference"/>
        </w:rPr>
        <w:footnoteReference w:id="8"/>
      </w:r>
      <w:r w:rsidR="00A83C71">
        <w:t xml:space="preserve"> </w:t>
      </w:r>
      <w:r w:rsidR="001D480D">
        <w:t xml:space="preserve">And in the case of libel, a </w:t>
      </w:r>
      <w:r w:rsidR="005D6720">
        <w:t>“self-regulating marketplace of ideas</w:t>
      </w:r>
      <w:r w:rsidR="001D480D">
        <w:t xml:space="preserve">” was necessary to </w:t>
      </w:r>
      <w:r w:rsidR="001D480D">
        <w:lastRenderedPageBreak/>
        <w:t>counter “political slanders</w:t>
      </w:r>
      <w:r w:rsidR="009F2A06">
        <w:t>,</w:t>
      </w:r>
      <w:r w:rsidR="001D480D">
        <w:t>” let</w:t>
      </w:r>
      <w:r w:rsidR="009F2A06">
        <w:t>ting</w:t>
      </w:r>
      <w:r w:rsidR="009A714C">
        <w:t xml:space="preserve"> the people decide who was in the right and who wa</w:t>
      </w:r>
      <w:r w:rsidR="001D480D">
        <w:t>s in the wrong.</w:t>
      </w:r>
      <w:r w:rsidR="001D480D">
        <w:rPr>
          <w:rStyle w:val="FootnoteReference"/>
        </w:rPr>
        <w:footnoteReference w:id="9"/>
      </w:r>
    </w:p>
    <w:p w:rsidR="008A7473" w:rsidRDefault="008A7473" w:rsidP="008A7473">
      <w:pPr>
        <w:spacing w:line="480" w:lineRule="auto"/>
        <w:ind w:firstLine="720"/>
      </w:pPr>
      <w:r>
        <w:t>To do so, Garrison sent a copy of his articl</w:t>
      </w:r>
      <w:r w:rsidR="003F6D4F">
        <w:t xml:space="preserve">e to Todd in order </w:t>
      </w:r>
      <w:r>
        <w:t xml:space="preserve">to vindicate “his conduct in the columns of the </w:t>
      </w:r>
      <w:r>
        <w:rPr>
          <w:i/>
        </w:rPr>
        <w:t>Genius</w:t>
      </w:r>
      <w:r>
        <w:t xml:space="preserve">, and…to show that my statement </w:t>
      </w:r>
      <w:r w:rsidR="00093318">
        <w:t>was materially false.” Instead</w:t>
      </w:r>
      <w:r>
        <w:t xml:space="preserve">, “[Todd] entered a civil action against me for injuring ‘his good name, fame and reputation.’” This, according to Garrison, proved Todd’s criminality, for had he been “innocent, he would not have instantaneously kindled into a passion, and presented me as a libeler to a jury whom he </w:t>
      </w:r>
      <w:proofErr w:type="gramStart"/>
      <w:r>
        <w:t>suspect</w:t>
      </w:r>
      <w:proofErr w:type="gramEnd"/>
      <w:r>
        <w:t xml:space="preserve"> of cherishing hostile feelings toward the </w:t>
      </w:r>
      <w:r>
        <w:rPr>
          <w:i/>
        </w:rPr>
        <w:t>Genius of Universal Emancipation.</w:t>
      </w:r>
      <w:r>
        <w:t>”</w:t>
      </w:r>
      <w:r>
        <w:rPr>
          <w:rStyle w:val="FootnoteReference"/>
        </w:rPr>
        <w:footnoteReference w:id="10"/>
      </w:r>
      <w:r>
        <w:t xml:space="preserve"> </w:t>
      </w:r>
    </w:p>
    <w:p w:rsidR="00E73E8A" w:rsidRDefault="003F6D4F" w:rsidP="003C65D0">
      <w:pPr>
        <w:spacing w:line="480" w:lineRule="auto"/>
        <w:ind w:firstLine="720"/>
      </w:pPr>
      <w:r>
        <w:t>While</w:t>
      </w:r>
      <w:r w:rsidR="008A7473">
        <w:t xml:space="preserve"> in prison and after, Garrison </w:t>
      </w:r>
      <w:r w:rsidR="001C0BF4">
        <w:t>used the court of public opinion to his advantage</w:t>
      </w:r>
      <w:r w:rsidR="00093318">
        <w:t>, constantly insisting on publishing the facts of the trial so the people could decide the issue at hand for themselves</w:t>
      </w:r>
      <w:r>
        <w:t xml:space="preserve">. </w:t>
      </w:r>
      <w:r w:rsidR="001C0BF4">
        <w:t>In his “Brief Sketch</w:t>
      </w:r>
      <w:r w:rsidR="00F15318">
        <w:t xml:space="preserve"> of the Trial of William Lloyd Garrison”—</w:t>
      </w:r>
      <w:r w:rsidR="001C0BF4">
        <w:t>w</w:t>
      </w:r>
      <w:r w:rsidR="00F15318">
        <w:t>ritten during his time in jail—</w:t>
      </w:r>
      <w:r w:rsidR="001C0BF4">
        <w:t xml:space="preserve">Garrison </w:t>
      </w:r>
      <w:r>
        <w:t>explains</w:t>
      </w:r>
      <w:r w:rsidR="00F15318">
        <w:t xml:space="preserve"> the case in detail and </w:t>
      </w:r>
      <w:r w:rsidR="001C0BF4">
        <w:t>declares that “the facts are before the public. The</w:t>
      </w:r>
      <w:r w:rsidR="00F15318">
        <w:t xml:space="preserve"> case, I believe, is important.” </w:t>
      </w:r>
      <w:r w:rsidR="00643C62">
        <w:t>He goes on to ask</w:t>
      </w:r>
      <w:r w:rsidR="001C0BF4">
        <w:t xml:space="preserve"> his “editorial brethren…to publis</w:t>
      </w:r>
      <w:r w:rsidR="00E73E8A">
        <w:t>h the facts growing out of this</w:t>
      </w:r>
      <w:r w:rsidR="001C0BF4">
        <w:t xml:space="preserve"> trial, and to make such comments as may seem expedient.</w:t>
      </w:r>
      <w:r w:rsidR="00E73E8A">
        <w:t>”</w:t>
      </w:r>
      <w:r w:rsidR="00E73E8A">
        <w:rPr>
          <w:rStyle w:val="FootnoteReference"/>
        </w:rPr>
        <w:footnoteReference w:id="11"/>
      </w:r>
      <w:r w:rsidR="00E73E8A">
        <w:t xml:space="preserve"> </w:t>
      </w:r>
    </w:p>
    <w:p w:rsidR="001C0BF4" w:rsidRDefault="00643C62" w:rsidP="003C65D0">
      <w:pPr>
        <w:spacing w:line="480" w:lineRule="auto"/>
        <w:ind w:firstLine="720"/>
      </w:pPr>
      <w:r>
        <w:t>One</w:t>
      </w:r>
      <w:r w:rsidR="00E73E8A">
        <w:t xml:space="preserve"> year </w:t>
      </w:r>
      <w:r>
        <w:t xml:space="preserve">later, in </w:t>
      </w:r>
      <w:r w:rsidR="00E73E8A">
        <w:t xml:space="preserve">one of the first issues of the </w:t>
      </w:r>
      <w:r w:rsidR="00E73E8A">
        <w:rPr>
          <w:i/>
        </w:rPr>
        <w:t xml:space="preserve">Liberator, </w:t>
      </w:r>
      <w:r>
        <w:t>Garrison</w:t>
      </w:r>
      <w:r w:rsidR="00E73E8A">
        <w:t xml:space="preserve"> </w:t>
      </w:r>
      <w:r w:rsidR="003F6D4F">
        <w:t xml:space="preserve">yet again </w:t>
      </w:r>
      <w:r w:rsidR="00E73E8A">
        <w:t xml:space="preserve">discusses the trial and </w:t>
      </w:r>
      <w:r>
        <w:t>proclaims how</w:t>
      </w:r>
      <w:r w:rsidR="00E73E8A">
        <w:t xml:space="preserve"> “the facts are now before the public. It is for them to judge, whether imprisonment and a fine of </w:t>
      </w:r>
      <w:r w:rsidR="00E73E8A">
        <w:rPr>
          <w:i/>
        </w:rPr>
        <w:t xml:space="preserve">one thousand dollars </w:t>
      </w:r>
      <w:r w:rsidR="00E73E8A">
        <w:t>(giving the worst construction to my motives and language) are not excessive punishment; and whether, in the publication of my strictures, I exceeded the freedom of the press, or the legitimate province of an independent editor.”</w:t>
      </w:r>
      <w:r w:rsidR="00E73E8A">
        <w:rPr>
          <w:rStyle w:val="FootnoteReference"/>
        </w:rPr>
        <w:footnoteReference w:id="12"/>
      </w:r>
    </w:p>
    <w:p w:rsidR="00827314" w:rsidRDefault="00836EB7" w:rsidP="003C65D0">
      <w:pPr>
        <w:spacing w:line="480" w:lineRule="auto"/>
        <w:ind w:firstLine="720"/>
      </w:pPr>
      <w:r>
        <w:t>Whether or not the public b</w:t>
      </w:r>
      <w:r w:rsidR="003F6D4F">
        <w:t>elieved that Garrison “exceeded</w:t>
      </w:r>
      <w:r>
        <w:t xml:space="preserve"> the freedom of the press” </w:t>
      </w:r>
      <w:r w:rsidR="001C0D04">
        <w:t xml:space="preserve">was largely dependent </w:t>
      </w:r>
      <w:r w:rsidR="0022350E">
        <w:t xml:space="preserve">on beliefs concerning </w:t>
      </w:r>
      <w:r w:rsidR="001C0D04">
        <w:t>First Amendment</w:t>
      </w:r>
      <w:r w:rsidR="0022350E">
        <w:t xml:space="preserve"> rights</w:t>
      </w:r>
      <w:r w:rsidR="001C0D04">
        <w:t xml:space="preserve"> during this time period</w:t>
      </w:r>
      <w:r w:rsidR="0022350E">
        <w:t xml:space="preserve">. Many </w:t>
      </w:r>
      <w:r w:rsidR="003F6D4F">
        <w:lastRenderedPageBreak/>
        <w:t>insisted that</w:t>
      </w:r>
      <w:r w:rsidR="001C0D04">
        <w:t xml:space="preserve"> “a vigorous press, one free from governmental controls, was an essential aid to national progress.”</w:t>
      </w:r>
      <w:r w:rsidR="001C0D04">
        <w:rPr>
          <w:rStyle w:val="FootnoteReference"/>
        </w:rPr>
        <w:footnoteReference w:id="13"/>
      </w:r>
      <w:r w:rsidR="001C0D04">
        <w:t xml:space="preserve"> </w:t>
      </w:r>
      <w:r w:rsidR="004960BF">
        <w:t>Whenever</w:t>
      </w:r>
      <w:r w:rsidR="001C0D04">
        <w:t xml:space="preserve"> “the government of the country has arrogated the right of the control over the press</w:t>
      </w:r>
      <w:r w:rsidR="004960BF">
        <w:t>,” Thomas Cooper insisted, “</w:t>
      </w:r>
      <w:r w:rsidR="001C0D04">
        <w:t>we shall find that they are the times and places where despotism and ignorance have most prevailed.”</w:t>
      </w:r>
      <w:r w:rsidR="001C0D04">
        <w:rPr>
          <w:rStyle w:val="FootnoteReference"/>
        </w:rPr>
        <w:footnoteReference w:id="14"/>
      </w:r>
    </w:p>
    <w:p w:rsidR="0053372F" w:rsidRDefault="001C0D04" w:rsidP="003C65D0">
      <w:pPr>
        <w:spacing w:line="480" w:lineRule="auto"/>
        <w:ind w:firstLine="720"/>
      </w:pPr>
      <w:r>
        <w:t xml:space="preserve">As we have seen, the Hamiltonian Doctrine explicitly stated that First Amendment rights do not </w:t>
      </w:r>
      <w:r w:rsidR="007726EA">
        <w:t xml:space="preserve">always </w:t>
      </w:r>
      <w:r>
        <w:t>protect defamatory remark</w:t>
      </w:r>
      <w:r w:rsidR="007726EA">
        <w:t xml:space="preserve">s. </w:t>
      </w:r>
      <w:r w:rsidR="0053372F">
        <w:t>Men like Coope</w:t>
      </w:r>
      <w:r w:rsidR="007726EA">
        <w:t xml:space="preserve">r were in full accord with the Hamiltonian </w:t>
      </w:r>
      <w:r w:rsidR="0053372F">
        <w:t xml:space="preserve">view, believing that “the liberty of the press has nothing to do with public opinion, or popular excitement; it is naked abstract inquiry, instituted for the purpose of satisfying ourselves concerning our duties.” </w:t>
      </w:r>
      <w:r w:rsidR="0053372F">
        <w:rPr>
          <w:rStyle w:val="FootnoteReference"/>
        </w:rPr>
        <w:footnoteReference w:id="15"/>
      </w:r>
      <w:r w:rsidR="0053372F">
        <w:t xml:space="preserve"> </w:t>
      </w:r>
    </w:p>
    <w:p w:rsidR="001C0D04" w:rsidRDefault="005A511F" w:rsidP="003C65D0">
      <w:pPr>
        <w:spacing w:line="480" w:lineRule="auto"/>
        <w:ind w:firstLine="720"/>
      </w:pPr>
      <w:r>
        <w:t>Nonetheless</w:t>
      </w:r>
      <w:r w:rsidR="0053372F">
        <w:t xml:space="preserve">, </w:t>
      </w:r>
      <w:r>
        <w:t xml:space="preserve">others </w:t>
      </w:r>
      <w:r w:rsidR="0053372F">
        <w:t>proposed the liberalization of libel law, stressing “some familiar themes, such as the press’ role in spreading useful information and political democracy.”</w:t>
      </w:r>
      <w:r w:rsidR="0053372F">
        <w:rPr>
          <w:rStyle w:val="FootnoteReference"/>
        </w:rPr>
        <w:footnoteReference w:id="16"/>
      </w:r>
      <w:r w:rsidR="004960BF">
        <w:t xml:space="preserve"> In </w:t>
      </w:r>
      <w:r w:rsidR="0053372F">
        <w:t>Garrison</w:t>
      </w:r>
      <w:r w:rsidR="004960BF">
        <w:t>’s opinion</w:t>
      </w:r>
      <w:r w:rsidR="0013610B">
        <w:t xml:space="preserve"> specifically</w:t>
      </w:r>
      <w:r w:rsidR="0053372F">
        <w:t xml:space="preserve">, “every new prosecution for libel…may be viewed as a test, how far that freedom has been restricted by power on the one </w:t>
      </w:r>
      <w:proofErr w:type="gramStart"/>
      <w:r w:rsidR="0053372F">
        <w:t>hand, or</w:t>
      </w:r>
      <w:proofErr w:type="gramEnd"/>
      <w:r w:rsidR="0053372F">
        <w:t xml:space="preserve"> perverted by licentiousness on the other.” </w:t>
      </w:r>
      <w:r w:rsidR="003F1D2D">
        <w:t xml:space="preserve">Libel laws </w:t>
      </w:r>
      <w:r w:rsidR="004960BF">
        <w:t>were</w:t>
      </w:r>
      <w:r w:rsidR="003F1D2D">
        <w:t xml:space="preserve"> seen as a form of tyranny, restricting a press that was trying to address </w:t>
      </w:r>
      <w:r w:rsidR="004960BF">
        <w:t>the injustices of society</w:t>
      </w:r>
      <w:r w:rsidR="003F1D2D">
        <w:t>. This was especially the case for abolitionists who believed that they were expo</w:t>
      </w:r>
      <w:r w:rsidR="007C2250">
        <w:t xml:space="preserve">sing the wrongs of slavery, and, in Garrison’s case, </w:t>
      </w:r>
      <w:r w:rsidR="003F1D2D">
        <w:t xml:space="preserve">expressing “opinions upon the general nature and moral aspect of the species of traffic there </w:t>
      </w:r>
      <w:r w:rsidR="004960BF">
        <w:t xml:space="preserve">reprobated, which </w:t>
      </w:r>
      <w:r w:rsidR="003F1D2D">
        <w:t>[Garrison] had a right to express, as the Proprietor and Editor of a Free Press.”</w:t>
      </w:r>
      <w:r w:rsidR="003F1D2D">
        <w:rPr>
          <w:rStyle w:val="FootnoteReference"/>
        </w:rPr>
        <w:footnoteReference w:id="17"/>
      </w:r>
    </w:p>
    <w:p w:rsidR="004960BF" w:rsidRDefault="005145E0" w:rsidP="003B2699">
      <w:pPr>
        <w:spacing w:line="480" w:lineRule="auto"/>
        <w:ind w:firstLine="720"/>
      </w:pPr>
      <w:r>
        <w:t xml:space="preserve">This view of libel law </w:t>
      </w:r>
      <w:r w:rsidR="00E26B07">
        <w:t>was incredibly</w:t>
      </w:r>
      <w:r>
        <w:t xml:space="preserve"> </w:t>
      </w:r>
      <w:r w:rsidR="00E26B07">
        <w:t>advantageous</w:t>
      </w:r>
      <w:r>
        <w:t xml:space="preserve"> for abolitionists. </w:t>
      </w:r>
      <w:r w:rsidR="00E26B07">
        <w:t>During the antebellum era there was an</w:t>
      </w:r>
      <w:r>
        <w:t xml:space="preserve"> “increasing resistance to political defamation suits…</w:t>
      </w:r>
      <w:r w:rsidR="00E26B07">
        <w:t xml:space="preserve">[where] </w:t>
      </w:r>
      <w:r>
        <w:t xml:space="preserve">the </w:t>
      </w:r>
      <w:r>
        <w:lastRenderedPageBreak/>
        <w:t>convicted editor ‘becomes a martyr’ and the libeled victim ‘a persecutor.’”</w:t>
      </w:r>
      <w:r>
        <w:rPr>
          <w:rStyle w:val="FootnoteReference"/>
        </w:rPr>
        <w:footnoteReference w:id="18"/>
      </w:r>
      <w:r w:rsidR="00E26B07">
        <w:t xml:space="preserve"> Indeed,</w:t>
      </w:r>
      <w:r w:rsidR="00AF3F00">
        <w:t xml:space="preserve"> </w:t>
      </w:r>
      <w:r w:rsidR="00E26B07">
        <w:t>Garrison’s</w:t>
      </w:r>
      <w:r w:rsidR="00AF3F00">
        <w:t xml:space="preserve"> imprisonment became a rallying cry for other white abolitionists around the country, especially </w:t>
      </w:r>
      <w:r w:rsidR="00E26B07">
        <w:t>once</w:t>
      </w:r>
      <w:r w:rsidR="00AF3F00">
        <w:t xml:space="preserve"> Todd sought another libel suit in 1831. In the </w:t>
      </w:r>
      <w:r w:rsidR="00AF3F00">
        <w:rPr>
          <w:i/>
        </w:rPr>
        <w:t xml:space="preserve">Poulson’s Philadelphia American Daily Advertiser, </w:t>
      </w:r>
      <w:r w:rsidR="0013610B">
        <w:t>a writer lamented</w:t>
      </w:r>
      <w:r w:rsidR="00AF3F00">
        <w:t xml:space="preserve"> how</w:t>
      </w:r>
      <w:r w:rsidR="004960BF">
        <w:t xml:space="preserve">: </w:t>
      </w:r>
    </w:p>
    <w:p w:rsidR="004960BF" w:rsidRDefault="004960BF" w:rsidP="004960BF">
      <w:pPr>
        <w:ind w:left="1440" w:right="1440"/>
        <w:jc w:val="both"/>
      </w:pPr>
      <w:r>
        <w:t>…</w:t>
      </w:r>
      <w:r w:rsidR="00AF3F00">
        <w:t>attempts are making in Baltimore to punish…a citizen of the United States, for some remarks made by him whilst editor of a paper devoted to humanity and freedom…If these kinds of prosecutions are to be tolerated, in this enlightened age and in this ‘land of liberty,’ then farewell to our rights—c</w:t>
      </w:r>
      <w:r>
        <w:t>ivil, religious, and political.</w:t>
      </w:r>
      <w:r>
        <w:rPr>
          <w:rStyle w:val="FootnoteReference"/>
        </w:rPr>
        <w:footnoteReference w:id="19"/>
      </w:r>
      <w:r w:rsidR="000756F2">
        <w:t xml:space="preserve"> </w:t>
      </w:r>
    </w:p>
    <w:p w:rsidR="004960BF" w:rsidRDefault="004960BF" w:rsidP="004960BF">
      <w:pPr>
        <w:ind w:left="1440" w:right="1440"/>
        <w:jc w:val="both"/>
      </w:pPr>
    </w:p>
    <w:p w:rsidR="005343E7" w:rsidRDefault="000756F2" w:rsidP="003B2699">
      <w:pPr>
        <w:spacing w:line="480" w:lineRule="auto"/>
        <w:ind w:firstLine="720"/>
      </w:pPr>
      <w:r>
        <w:t>And as</w:t>
      </w:r>
      <w:r w:rsidR="00E26B07">
        <w:t xml:space="preserve"> Garrison sat in prison,</w:t>
      </w:r>
      <w:r w:rsidR="004960BF">
        <w:t xml:space="preserve"> he acknowledged how</w:t>
      </w:r>
      <w:r w:rsidR="00E26B07">
        <w:t xml:space="preserve"> “</w:t>
      </w:r>
      <w:r>
        <w:t xml:space="preserve">consolatory letters from individuals hitherto unknown to me and periodicals of all kinds [were sent to me] from every section of the Union.” </w:t>
      </w:r>
      <w:r w:rsidR="004960BF">
        <w:t>In the views of</w:t>
      </w:r>
      <w:r>
        <w:t xml:space="preserve"> Garrison and other white abolitionis</w:t>
      </w:r>
      <w:r w:rsidR="00E26B07">
        <w:t xml:space="preserve">ts, </w:t>
      </w:r>
      <w:r>
        <w:t>“a few white victims must be sacrificed to open the eyes of this nation, and to show the tyranny of our laws.”</w:t>
      </w:r>
      <w:r>
        <w:rPr>
          <w:rStyle w:val="FootnoteReference"/>
        </w:rPr>
        <w:footnoteReference w:id="20"/>
      </w:r>
      <w:r w:rsidR="003B2699">
        <w:t xml:space="preserve"> </w:t>
      </w:r>
      <w:r w:rsidR="005343E7">
        <w:t>So strong was the appearance of Garrison</w:t>
      </w:r>
      <w:r w:rsidR="00442315">
        <w:t xml:space="preserve">’s </w:t>
      </w:r>
      <w:r w:rsidR="005343E7">
        <w:t>martyr</w:t>
      </w:r>
      <w:r w:rsidR="004960BF">
        <w:t>dom,</w:t>
      </w:r>
      <w:r w:rsidR="00442315">
        <w:t xml:space="preserve"> </w:t>
      </w:r>
      <w:proofErr w:type="spellStart"/>
      <w:r w:rsidR="00442315">
        <w:t>Wooddy’s</w:t>
      </w:r>
      <w:proofErr w:type="spellEnd"/>
      <w:r w:rsidR="00442315">
        <w:t xml:space="preserve"> pamphlet </w:t>
      </w:r>
      <w:r w:rsidR="005343E7">
        <w:t>sought to address the matter. “Aware of the advantage to any cause,” he writes, “of the martyrdom of its advocates, [Garrison] has contrived to represent this transaction as persecution by slave holders, for his intemperate and misguided course on the subject of slavery.”</w:t>
      </w:r>
      <w:r w:rsidR="005343E7">
        <w:rPr>
          <w:rStyle w:val="FootnoteReference"/>
        </w:rPr>
        <w:footnoteReference w:id="21"/>
      </w:r>
    </w:p>
    <w:p w:rsidR="0066563B" w:rsidRDefault="00F24E42" w:rsidP="0066563B">
      <w:pPr>
        <w:spacing w:line="480" w:lineRule="auto"/>
      </w:pPr>
      <w:r>
        <w:tab/>
        <w:t xml:space="preserve">Martyrdom </w:t>
      </w:r>
      <w:r w:rsidR="0066563B">
        <w:t>certainly helped the abolitionist cause, but if anything, it simply solidified a pre-existing base of supporters. To most white Americans in the 1830s, “abolitionism represented a dangerous force of dubious legitimacy.”</w:t>
      </w:r>
      <w:r w:rsidR="0066563B">
        <w:rPr>
          <w:rStyle w:val="FootnoteReference"/>
        </w:rPr>
        <w:footnoteReference w:id="22"/>
      </w:r>
      <w:r w:rsidR="0066563B">
        <w:t xml:space="preserve"> Even for </w:t>
      </w:r>
      <w:r>
        <w:t xml:space="preserve">anti-slavery Americans, abolitionists were </w:t>
      </w:r>
      <w:r w:rsidR="0066563B">
        <w:t>seen as incendiaries, threatenin</w:t>
      </w:r>
      <w:r>
        <w:t>g an already fragile republic, a</w:t>
      </w:r>
      <w:r w:rsidR="0066563B">
        <w:t xml:space="preserve">nd their use of </w:t>
      </w:r>
      <w:r w:rsidR="0066563B">
        <w:lastRenderedPageBreak/>
        <w:t>print was precisely what “made abolitionists vulnerable to criminal libel indictments, extradition, and incendiary-publications legislation.”</w:t>
      </w:r>
      <w:r w:rsidR="0066563B">
        <w:rPr>
          <w:rStyle w:val="FootnoteReference"/>
        </w:rPr>
        <w:footnoteReference w:id="23"/>
      </w:r>
      <w:r w:rsidR="00527361">
        <w:t xml:space="preserve"> Abolitionism could not be dealt with in the court of public opinion, many believed, because abolitionist ideas could trigger a slave rebellion, or a secessionist crisis. </w:t>
      </w:r>
      <w:r w:rsidR="004960BF">
        <w:t>Hence</w:t>
      </w:r>
      <w:r w:rsidR="00527361">
        <w:t xml:space="preserve">, restricting </w:t>
      </w:r>
      <w:r>
        <w:t>abolitionist speech through the court of law could contain its</w:t>
      </w:r>
      <w:r w:rsidR="00527361">
        <w:t xml:space="preserve"> “licentious excesses.”</w:t>
      </w:r>
      <w:r w:rsidR="00527361">
        <w:rPr>
          <w:rStyle w:val="FootnoteReference"/>
        </w:rPr>
        <w:footnoteReference w:id="24"/>
      </w:r>
      <w:r w:rsidR="00527361">
        <w:t xml:space="preserve"> </w:t>
      </w:r>
    </w:p>
    <w:p w:rsidR="00527361" w:rsidRDefault="0066563B" w:rsidP="0066563B">
      <w:pPr>
        <w:spacing w:line="480" w:lineRule="auto"/>
      </w:pPr>
      <w:r>
        <w:tab/>
        <w:t xml:space="preserve">This was the case in both the North and the South, although to varying degrees. </w:t>
      </w:r>
      <w:r w:rsidR="00527361">
        <w:t>Southern legislatures passed various anti-abolitionist legislation in order</w:t>
      </w:r>
      <w:r w:rsidR="00574428">
        <w:t xml:space="preserve"> to repress abolitionist print, </w:t>
      </w:r>
      <w:r w:rsidR="00B926EE">
        <w:t xml:space="preserve">and </w:t>
      </w:r>
      <w:r w:rsidR="00574428">
        <w:t xml:space="preserve">they </w:t>
      </w:r>
      <w:r w:rsidR="00527361">
        <w:t xml:space="preserve">urged Northern legislatures to pass </w:t>
      </w:r>
      <w:r w:rsidR="00B926EE">
        <w:t>similar legislation. While t</w:t>
      </w:r>
      <w:r w:rsidR="00527361">
        <w:t>he United States’ Congress came close to passing one (it eventually failed in the Senate)</w:t>
      </w:r>
      <w:r w:rsidR="00574428">
        <w:t>, no Northern states passed any anti-abolitionist legislation.</w:t>
      </w:r>
      <w:r w:rsidR="00527361">
        <w:rPr>
          <w:rStyle w:val="FootnoteReference"/>
        </w:rPr>
        <w:footnoteReference w:id="25"/>
      </w:r>
    </w:p>
    <w:p w:rsidR="00455981" w:rsidRDefault="00527361" w:rsidP="0066563B">
      <w:pPr>
        <w:spacing w:line="480" w:lineRule="auto"/>
      </w:pPr>
      <w:r>
        <w:tab/>
      </w:r>
      <w:r w:rsidR="00E30560">
        <w:t>Nonetheless</w:t>
      </w:r>
      <w:r w:rsidR="00C256A7">
        <w:t>,</w:t>
      </w:r>
      <w:r w:rsidR="00E30560">
        <w:t xml:space="preserve"> despite a lack of anti-abolitionist legislation in the North,</w:t>
      </w:r>
      <w:r w:rsidR="00BD72E8">
        <w:t xml:space="preserve"> the belief that Garrison was “a madman and incendiary, and [his] language…harsh and violent” persisted.</w:t>
      </w:r>
      <w:r w:rsidR="00BD72E8">
        <w:rPr>
          <w:rStyle w:val="FootnoteReference"/>
        </w:rPr>
        <w:footnoteReference w:id="26"/>
      </w:r>
      <w:r w:rsidR="00BD72E8">
        <w:t xml:space="preserve"> </w:t>
      </w:r>
      <w:r w:rsidR="00AB32C6">
        <w:t>Three</w:t>
      </w:r>
      <w:r w:rsidR="00BD72E8">
        <w:t xml:space="preserve"> years later, the American Colonization Society—</w:t>
      </w:r>
      <w:r w:rsidR="00C256A7">
        <w:t>an antislavery organization who sought to take slaves to th</w:t>
      </w:r>
      <w:r w:rsidR="00AB32C6">
        <w:t>e African colony of Liberia</w:t>
      </w:r>
      <w:r w:rsidR="00BD72E8">
        <w:t xml:space="preserve">—warned of Garrison’s incendiary language: “And what avail his notes of alarm, his unqualified, </w:t>
      </w:r>
      <w:r w:rsidR="009A37BD">
        <w:t xml:space="preserve">and reiterated denunciations? </w:t>
      </w:r>
      <w:r w:rsidR="00BD72E8">
        <w:t xml:space="preserve">What great moral changes has he </w:t>
      </w:r>
      <w:r w:rsidR="009A37BD">
        <w:t>wrought</w:t>
      </w:r>
      <w:r w:rsidR="00BD72E8">
        <w:t xml:space="preserve">, or is he likely to produce in the South? Is he not there regarded as dangerous to the public </w:t>
      </w:r>
      <w:proofErr w:type="gramStart"/>
      <w:r w:rsidR="00BD72E8">
        <w:t>safety, and</w:t>
      </w:r>
      <w:proofErr w:type="gramEnd"/>
      <w:r w:rsidR="00BD72E8">
        <w:t xml:space="preserve"> attempting to scatter the firebrands of war and death?”</w:t>
      </w:r>
      <w:r w:rsidR="00BD72E8">
        <w:rPr>
          <w:rStyle w:val="FootnoteReference"/>
        </w:rPr>
        <w:footnoteReference w:id="27"/>
      </w:r>
      <w:r w:rsidR="00E30560">
        <w:t xml:space="preserve"> Garrison, according to the Colonization Society, was a threat to the republic because</w:t>
      </w:r>
      <w:r w:rsidR="00F36A21">
        <w:t xml:space="preserve"> of</w:t>
      </w:r>
      <w:r w:rsidR="00E30560">
        <w:t xml:space="preserve"> his ability to spark violence and outrage in the South. </w:t>
      </w:r>
    </w:p>
    <w:p w:rsidR="00C256A7" w:rsidRDefault="00455981" w:rsidP="0066563B">
      <w:pPr>
        <w:spacing w:line="480" w:lineRule="auto"/>
      </w:pPr>
      <w:r>
        <w:lastRenderedPageBreak/>
        <w:tab/>
      </w:r>
      <w:r w:rsidR="009A37BD">
        <w:t>This</w:t>
      </w:r>
      <w:r w:rsidR="00C256A7">
        <w:t xml:space="preserve"> </w:t>
      </w:r>
      <w:r w:rsidR="009A37BD">
        <w:t xml:space="preserve">view of </w:t>
      </w:r>
      <w:r w:rsidR="00C256A7">
        <w:t xml:space="preserve">abolitionists </w:t>
      </w:r>
      <w:r w:rsidR="009A37BD">
        <w:t>as</w:t>
      </w:r>
      <w:r w:rsidR="00C256A7">
        <w:t xml:space="preserve"> </w:t>
      </w:r>
      <w:r w:rsidR="009D521A">
        <w:t>agitators</w:t>
      </w:r>
      <w:r w:rsidR="00C256A7">
        <w:t xml:space="preserve"> </w:t>
      </w:r>
      <w:r w:rsidR="009D521A">
        <w:t>fueled</w:t>
      </w:r>
      <w:r w:rsidR="00C256A7">
        <w:t xml:space="preserve"> libel suits against abolitionist wri</w:t>
      </w:r>
      <w:r w:rsidR="008E2B1E">
        <w:t>ters and editors</w:t>
      </w:r>
      <w:r w:rsidR="00C256A7">
        <w:t>. It was libel suits, Rosenberg argues, which “hastened the demise of…</w:t>
      </w:r>
      <w:r w:rsidR="00C256A7">
        <w:rPr>
          <w:i/>
        </w:rPr>
        <w:t>The Genius of Universal Emancipation.</w:t>
      </w:r>
      <w:r w:rsidR="00C256A7">
        <w:t>”</w:t>
      </w:r>
      <w:r w:rsidR="00C256A7">
        <w:rPr>
          <w:rStyle w:val="FootnoteReference"/>
        </w:rPr>
        <w:footnoteReference w:id="28"/>
      </w:r>
      <w:r w:rsidR="00C256A7">
        <w:t xml:space="preserve"> A</w:t>
      </w:r>
      <w:r w:rsidR="004F5535">
        <w:t>nd</w:t>
      </w:r>
      <w:r w:rsidR="00C256A7">
        <w:t xml:space="preserve"> in the shadow of the Nat Turner rebellion, antislavery speech was cast “as a form of seditious libel that threatened to disturb the public peace by inciting slave insurrection and other disruptions of law and order.”</w:t>
      </w:r>
      <w:r w:rsidR="00C256A7">
        <w:rPr>
          <w:rStyle w:val="FootnoteReference"/>
        </w:rPr>
        <w:footnoteReference w:id="29"/>
      </w:r>
      <w:r w:rsidR="00C256A7">
        <w:t xml:space="preserve"> </w:t>
      </w:r>
    </w:p>
    <w:p w:rsidR="000167AF" w:rsidRDefault="00C256A7" w:rsidP="0066563B">
      <w:pPr>
        <w:spacing w:line="480" w:lineRule="auto"/>
      </w:pPr>
      <w:r>
        <w:tab/>
      </w:r>
      <w:r w:rsidR="009A37BD">
        <w:t>What</w:t>
      </w:r>
      <w:r w:rsidR="003B4E44">
        <w:t xml:space="preserve"> is important to note</w:t>
      </w:r>
      <w:r w:rsidR="009D521A">
        <w:t>, however,</w:t>
      </w:r>
      <w:r w:rsidR="003B4E44">
        <w:t xml:space="preserve"> is that Garrison’s libel suit took place within a slave society, and the role of slavery within that society took, if not a primary </w:t>
      </w:r>
      <w:r w:rsidR="006F6115">
        <w:t>role</w:t>
      </w:r>
      <w:r w:rsidR="003B4E44">
        <w:t xml:space="preserve">, a secondary </w:t>
      </w:r>
      <w:r w:rsidR="006F6115">
        <w:t>role</w:t>
      </w:r>
      <w:r w:rsidR="003B4E44">
        <w:t xml:space="preserve"> in the case. </w:t>
      </w:r>
      <w:r w:rsidR="009A37BD">
        <w:t>While</w:t>
      </w:r>
      <w:r w:rsidR="003B4E44">
        <w:t xml:space="preserve"> Garrison and others seemed to discuss the case in terms of First Amendment rights, the existence of slavery was the reason why Garrison wrote his “incendiary” article in the first place. As a result, both sides of </w:t>
      </w:r>
      <w:r w:rsidR="002002B3">
        <w:t xml:space="preserve">the case used slavery to defend their own </w:t>
      </w:r>
      <w:r w:rsidR="006F6115">
        <w:t>arguments</w:t>
      </w:r>
      <w:r w:rsidR="002002B3">
        <w:t>.</w:t>
      </w:r>
      <w:r w:rsidR="00AA26B0">
        <w:t xml:space="preserve"> </w:t>
      </w:r>
      <w:r w:rsidR="000167AF">
        <w:t>Garrison’s side focused on the cruelty of slavery</w:t>
      </w:r>
      <w:r w:rsidR="009D521A">
        <w:t xml:space="preserve"> and the slave trade,</w:t>
      </w:r>
      <w:r w:rsidR="000167AF">
        <w:t xml:space="preserve"> and how Garrison was trying to address a serious wrong. </w:t>
      </w:r>
      <w:r w:rsidR="008E2B1E">
        <w:t>Even h</w:t>
      </w:r>
      <w:r w:rsidR="009A37BD">
        <w:t>is</w:t>
      </w:r>
      <w:r w:rsidR="008E2B1E">
        <w:t xml:space="preserve"> lawyer admitted how his</w:t>
      </w:r>
      <w:r w:rsidR="00526E93">
        <w:t xml:space="preserve"> own</w:t>
      </w:r>
      <w:r w:rsidR="009A37BD">
        <w:t xml:space="preserve"> </w:t>
      </w:r>
      <w:r w:rsidR="000167AF">
        <w:t>“indignation and shame for the continuance of the accursed traffic in human flesh—sympathy for the poor victims of oppression—love for the cause of universal liberty—kindled his feelings into a blaze.”</w:t>
      </w:r>
      <w:r w:rsidR="000167AF">
        <w:rPr>
          <w:rStyle w:val="FootnoteReference"/>
        </w:rPr>
        <w:footnoteReference w:id="30"/>
      </w:r>
    </w:p>
    <w:p w:rsidR="00AA26B0" w:rsidRDefault="00AA26B0" w:rsidP="000167AF">
      <w:pPr>
        <w:spacing w:line="480" w:lineRule="auto"/>
        <w:ind w:firstLine="720"/>
      </w:pPr>
      <w:r>
        <w:t>For Todd</w:t>
      </w:r>
      <w:r w:rsidR="004F7FAA">
        <w:t>, the supposed benevolence of the slave trade was used as a defense. The slaves, it was argued</w:t>
      </w:r>
      <w:r>
        <w:t>:</w:t>
      </w:r>
    </w:p>
    <w:p w:rsidR="00AA26B0" w:rsidRDefault="00AA26B0" w:rsidP="00AA26B0">
      <w:pPr>
        <w:ind w:left="1440" w:right="1440"/>
        <w:jc w:val="both"/>
      </w:pPr>
      <w:r>
        <w:t xml:space="preserve"> …were not confined, but suffered to peregrinate about the ship, </w:t>
      </w:r>
      <w:r>
        <w:rPr>
          <w:i/>
        </w:rPr>
        <w:t xml:space="preserve">ad libitum; </w:t>
      </w:r>
      <w:r>
        <w:t>that they e</w:t>
      </w:r>
      <w:r w:rsidR="001D2A5F">
        <w:t xml:space="preserve">njoyed the </w:t>
      </w:r>
      <w:proofErr w:type="spellStart"/>
      <w:r w:rsidR="001D2A5F">
        <w:t>extatics</w:t>
      </w:r>
      <w:proofErr w:type="spellEnd"/>
      <w:r w:rsidR="001D2A5F">
        <w:t xml:space="preserve"> [sic] of bli</w:t>
      </w:r>
      <w:r>
        <w:t xml:space="preserve">ss, and were delighted at the prospect of realizing the pleasure of interminable slavery; that they were provided with shoes, hats, </w:t>
      </w:r>
      <w:proofErr w:type="spellStart"/>
      <w:r>
        <w:t>trowers</w:t>
      </w:r>
      <w:proofErr w:type="spellEnd"/>
      <w:r>
        <w:t xml:space="preserve"> [sic], petticoats, &amp;c. &amp;c.; and that </w:t>
      </w:r>
      <w:r w:rsidR="001D2A5F">
        <w:t>Captain</w:t>
      </w:r>
      <w:r>
        <w:t xml:space="preserve"> Brown </w:t>
      </w:r>
      <w:r w:rsidR="009D521A">
        <w:t>w</w:t>
      </w:r>
      <w:r>
        <w:t>as the best of ship masters.</w:t>
      </w:r>
      <w:r>
        <w:fldChar w:fldCharType="begin"/>
      </w:r>
      <w:r>
        <w:instrText xml:space="preserve"> ADDIN EN.CITE &lt;EndNote&gt;&lt;Cite&gt;&lt;Author&gt;Garrison&lt;/Author&gt;&lt;Year&gt;1834&lt;/Year&gt;&lt;RecNum&gt;53&lt;/RecNum&gt;&lt;record&gt;&lt;rec-number&gt;53&lt;/rec-number&gt;&lt;foreign-keys&gt;&lt;key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end"/>
      </w:r>
      <w:r>
        <w:rPr>
          <w:rStyle w:val="FootnoteReference"/>
        </w:rPr>
        <w:footnoteReference w:id="31"/>
      </w:r>
    </w:p>
    <w:p w:rsidR="00AA26B0" w:rsidRDefault="00AA26B0" w:rsidP="00AA26B0">
      <w:pPr>
        <w:ind w:left="1440" w:right="1440"/>
        <w:jc w:val="both"/>
      </w:pPr>
    </w:p>
    <w:p w:rsidR="001D2A5F" w:rsidRDefault="00AA26B0" w:rsidP="0066563B">
      <w:pPr>
        <w:spacing w:line="480" w:lineRule="auto"/>
      </w:pPr>
      <w:r>
        <w:lastRenderedPageBreak/>
        <w:tab/>
        <w:t xml:space="preserve">Todd, therefore, was arguing against </w:t>
      </w:r>
      <w:r w:rsidR="00255D56">
        <w:t xml:space="preserve">Garrison’s statements </w:t>
      </w:r>
      <w:r>
        <w:t xml:space="preserve">that the men, women, and children aboard the ship were treated poorly. This would not only prove the falsity of Garrison’s claims, but also the supposed benevolence of the slave trade. </w:t>
      </w:r>
      <w:r w:rsidR="009D521A">
        <w:t>To</w:t>
      </w:r>
      <w:r w:rsidR="00255D56">
        <w:t xml:space="preserve"> further prove Garrison’s guilt, William </w:t>
      </w:r>
      <w:proofErr w:type="spellStart"/>
      <w:r w:rsidR="004F7FAA">
        <w:t>Wooddy</w:t>
      </w:r>
      <w:proofErr w:type="spellEnd"/>
      <w:r w:rsidR="007D7BDA">
        <w:t xml:space="preserve"> reached out to all of the members of the jury to determine their views on slavery. All but one </w:t>
      </w:r>
      <w:r w:rsidR="00255D56">
        <w:t>considered themselves anti-slavery</w:t>
      </w:r>
      <w:r w:rsidR="007D7BDA">
        <w:t>, and while some admitted to ownin</w:t>
      </w:r>
      <w:r w:rsidR="006F6115">
        <w:t xml:space="preserve">g slaves in the past, </w:t>
      </w:r>
      <w:r w:rsidR="007D7BDA">
        <w:t xml:space="preserve">they released them later on. The answers given to </w:t>
      </w:r>
      <w:proofErr w:type="spellStart"/>
      <w:r w:rsidR="004F7FAA">
        <w:t>Wooddy</w:t>
      </w:r>
      <w:proofErr w:type="spellEnd"/>
      <w:r w:rsidR="007D7BDA">
        <w:rPr>
          <w:i/>
        </w:rPr>
        <w:t xml:space="preserve"> </w:t>
      </w:r>
      <w:r w:rsidR="00255D56">
        <w:t xml:space="preserve">are certainly problematic </w:t>
      </w:r>
      <w:r w:rsidR="007D7BDA">
        <w:t xml:space="preserve">specifically because </w:t>
      </w:r>
      <w:r w:rsidR="00255D56">
        <w:t>the</w:t>
      </w:r>
      <w:r w:rsidR="007D7BDA">
        <w:t xml:space="preserve"> questions were asked over a decade after the case was held </w:t>
      </w:r>
      <w:r w:rsidR="00255D56">
        <w:t>and thus do not reflect their views during the trial</w:t>
      </w:r>
      <w:r w:rsidR="007D7BDA">
        <w:t xml:space="preserve">. Yet the accuracy of their answers </w:t>
      </w:r>
      <w:r w:rsidR="00255D56">
        <w:t xml:space="preserve">is not </w:t>
      </w:r>
      <w:r w:rsidR="009D521A">
        <w:t>of issue</w:t>
      </w:r>
      <w:r w:rsidR="007D7BDA">
        <w:t xml:space="preserve">, but that they were asked by </w:t>
      </w:r>
      <w:proofErr w:type="spellStart"/>
      <w:r w:rsidR="004F7FAA">
        <w:t>Wooddy</w:t>
      </w:r>
      <w:proofErr w:type="spellEnd"/>
      <w:r w:rsidR="004F7FAA">
        <w:t xml:space="preserve"> </w:t>
      </w:r>
      <w:r w:rsidR="007D7BDA">
        <w:t xml:space="preserve">in the first place. By </w:t>
      </w:r>
      <w:r w:rsidR="00CB0F79">
        <w:t>questioning</w:t>
      </w:r>
      <w:r w:rsidR="007D7BDA">
        <w:t xml:space="preserve"> the jurors </w:t>
      </w:r>
      <w:r w:rsidR="00CB0F79">
        <w:t xml:space="preserve">on </w:t>
      </w:r>
      <w:r w:rsidR="007D7BDA">
        <w:t xml:space="preserve">their views on slavery, and finding that they had a negative view, </w:t>
      </w:r>
      <w:proofErr w:type="spellStart"/>
      <w:r w:rsidR="004F7FAA">
        <w:t>Wooddy</w:t>
      </w:r>
      <w:proofErr w:type="spellEnd"/>
      <w:r w:rsidR="007D7BDA">
        <w:t xml:space="preserve"> was trying to prove that no “prejudice could have existed in their minds against Garrison.”</w:t>
      </w:r>
      <w:r w:rsidR="007D7BDA">
        <w:rPr>
          <w:rStyle w:val="FootnoteReference"/>
        </w:rPr>
        <w:footnoteReference w:id="32"/>
      </w:r>
    </w:p>
    <w:p w:rsidR="00BA28F0" w:rsidRDefault="001D2A5F" w:rsidP="0066563B">
      <w:pPr>
        <w:spacing w:line="480" w:lineRule="auto"/>
        <w:rPr>
          <w:i/>
        </w:rPr>
      </w:pPr>
      <w:r>
        <w:tab/>
      </w:r>
      <w:r w:rsidR="00406C99">
        <w:t xml:space="preserve">Whether or not the jury had pre-existing prejudices against Garrison is still up for debate, but it can be argued that they all had specific ideas concerning the acceptable forms of language in print. The Garrison Case exemplifies the typical attitudes held by Americans towards libel laws, freedom of speech, and abolitionism during the antebellum era. Such things as the Hamiltonian Doctrine, freedom of the press, and the view of abolitionists as incendiaries and radicals are all played out before, during, and after the trial by various characters. As a result, Garrison’s Case serves as a lesson to better understand the attitudes and practices of antebellum Americans concerning </w:t>
      </w:r>
      <w:r w:rsidR="008C5872">
        <w:t>libel laws and abolitionist print.</w:t>
      </w:r>
      <w:r w:rsidR="00BA28F0">
        <w:rPr>
          <w:i/>
        </w:rPr>
        <w:br w:type="page"/>
      </w:r>
    </w:p>
    <w:p w:rsidR="00BA28F0" w:rsidRPr="00BA28F0" w:rsidRDefault="00BA28F0" w:rsidP="00BA28F0">
      <w:pPr>
        <w:spacing w:line="480" w:lineRule="auto"/>
        <w:jc w:val="center"/>
      </w:pPr>
      <w:r>
        <w:lastRenderedPageBreak/>
        <w:t>Works Cited</w:t>
      </w:r>
      <w:bookmarkStart w:id="0" w:name="_GoBack"/>
      <w:bookmarkEnd w:id="0"/>
    </w:p>
    <w:p w:rsidR="004960BF" w:rsidRPr="004960BF" w:rsidRDefault="00BA28F0" w:rsidP="006F6115">
      <w:pPr>
        <w:pStyle w:val="EndNoteBibliography"/>
        <w:spacing w:line="480" w:lineRule="auto"/>
        <w:ind w:left="720" w:hanging="720"/>
        <w:rPr>
          <w:noProof/>
        </w:rPr>
      </w:pPr>
      <w:r>
        <w:fldChar w:fldCharType="begin"/>
      </w:r>
      <w:r>
        <w:instrText xml:space="preserve"> ADDIN EN.REFLIST </w:instrText>
      </w:r>
      <w:r>
        <w:fldChar w:fldCharType="separate"/>
      </w:r>
      <w:r w:rsidR="004960BF" w:rsidRPr="004960BF">
        <w:rPr>
          <w:noProof/>
        </w:rPr>
        <w:t xml:space="preserve">Cooper, Thomas. </w:t>
      </w:r>
      <w:r w:rsidR="004960BF" w:rsidRPr="004960BF">
        <w:rPr>
          <w:i/>
          <w:noProof/>
        </w:rPr>
        <w:t>Treatise on the Law of Libel and the Liberty of the Press; Showing the Origins, Use, and Abuse of the Law of Libel</w:t>
      </w:r>
      <w:r w:rsidR="004960BF" w:rsidRPr="004960BF">
        <w:rPr>
          <w:noProof/>
        </w:rPr>
        <w:t>.  New York: G.F. Hopkins &amp; Son, 1830.</w:t>
      </w:r>
    </w:p>
    <w:p w:rsidR="004960BF" w:rsidRPr="004960BF" w:rsidRDefault="004960BF" w:rsidP="006F6115">
      <w:pPr>
        <w:pStyle w:val="EndNoteBibliography"/>
        <w:spacing w:line="480" w:lineRule="auto"/>
        <w:ind w:left="720" w:hanging="720"/>
        <w:rPr>
          <w:noProof/>
        </w:rPr>
      </w:pPr>
      <w:r w:rsidRPr="004960BF">
        <w:rPr>
          <w:noProof/>
        </w:rPr>
        <w:t xml:space="preserve">DeLombard, Jeannine Marie. </w:t>
      </w:r>
      <w:r w:rsidRPr="004960BF">
        <w:rPr>
          <w:i/>
          <w:noProof/>
        </w:rPr>
        <w:t>Slavery on Trial: Law, Abolitionism, and Print Culture</w:t>
      </w:r>
      <w:r w:rsidRPr="004960BF">
        <w:rPr>
          <w:noProof/>
        </w:rPr>
        <w:t>.  Chapel Hill: University of North Carolina Press, 2007.</w:t>
      </w:r>
    </w:p>
    <w:p w:rsidR="004960BF" w:rsidRPr="004960BF" w:rsidRDefault="004960BF" w:rsidP="006F6115">
      <w:pPr>
        <w:pStyle w:val="EndNoteBibliography"/>
        <w:spacing w:line="480" w:lineRule="auto"/>
        <w:ind w:left="720" w:hanging="720"/>
        <w:rPr>
          <w:noProof/>
        </w:rPr>
      </w:pPr>
      <w:r w:rsidRPr="004960BF">
        <w:rPr>
          <w:noProof/>
        </w:rPr>
        <w:t>Garrison, William Lloyd. "A Brief Sketch of the Trial of William Lloyd Garriosn, for an Alleged Libel on Francis Todd, of Newburyport, Mass.". Boston: Garrison and Knapp, 1834.</w:t>
      </w:r>
    </w:p>
    <w:p w:rsidR="004960BF" w:rsidRPr="004960BF" w:rsidRDefault="004960BF" w:rsidP="006F6115">
      <w:pPr>
        <w:pStyle w:val="EndNoteBibliography"/>
        <w:spacing w:line="480" w:lineRule="auto"/>
        <w:ind w:left="720" w:hanging="720"/>
        <w:rPr>
          <w:noProof/>
        </w:rPr>
      </w:pPr>
      <w:r w:rsidRPr="004960BF">
        <w:rPr>
          <w:noProof/>
        </w:rPr>
        <w:t xml:space="preserve">Gurley, Ralph Randolph. "Garrison’s Thoughts on African Colonization." </w:t>
      </w:r>
      <w:r w:rsidRPr="004960BF">
        <w:rPr>
          <w:i/>
          <w:noProof/>
        </w:rPr>
        <w:t xml:space="preserve">The African Repository, and Colonial Journal </w:t>
      </w:r>
      <w:r w:rsidRPr="004960BF">
        <w:rPr>
          <w:noProof/>
        </w:rPr>
        <w:t>8 (1833).</w:t>
      </w:r>
    </w:p>
    <w:p w:rsidR="004960BF" w:rsidRPr="004960BF" w:rsidRDefault="004960BF" w:rsidP="006F6115">
      <w:pPr>
        <w:pStyle w:val="EndNoteBibliography"/>
        <w:spacing w:line="480" w:lineRule="auto"/>
        <w:ind w:left="720" w:hanging="720"/>
        <w:rPr>
          <w:noProof/>
        </w:rPr>
      </w:pPr>
      <w:r w:rsidRPr="004960BF">
        <w:rPr>
          <w:noProof/>
        </w:rPr>
        <w:t xml:space="preserve">Labunski, Richard. </w:t>
      </w:r>
      <w:r w:rsidRPr="004960BF">
        <w:rPr>
          <w:i/>
          <w:noProof/>
        </w:rPr>
        <w:t>Libel and the First Amendment: Legal History and Practice in Print and Broadcasting</w:t>
      </w:r>
      <w:r w:rsidRPr="004960BF">
        <w:rPr>
          <w:noProof/>
        </w:rPr>
        <w:t>.  New Brunswick and Oxford: Transaction Books, 1987.</w:t>
      </w:r>
    </w:p>
    <w:p w:rsidR="004960BF" w:rsidRPr="004960BF" w:rsidRDefault="004960BF" w:rsidP="006F6115">
      <w:pPr>
        <w:pStyle w:val="EndNoteBibliography"/>
        <w:spacing w:line="480" w:lineRule="auto"/>
        <w:ind w:left="720" w:hanging="720"/>
        <w:rPr>
          <w:noProof/>
        </w:rPr>
      </w:pPr>
      <w:r w:rsidRPr="004960BF">
        <w:rPr>
          <w:noProof/>
        </w:rPr>
        <w:t xml:space="preserve">"Proceedings against William Lloyd Garrison, for a Libel.: “Black List.” Horrible News—Domestic and Foreign. The Ship Francis.". </w:t>
      </w:r>
      <w:r w:rsidRPr="004960BF">
        <w:rPr>
          <w:i/>
          <w:noProof/>
        </w:rPr>
        <w:t xml:space="preserve">The Baltimore Literary and Religious Magazine </w:t>
      </w:r>
      <w:r w:rsidRPr="004960BF">
        <w:rPr>
          <w:noProof/>
        </w:rPr>
        <w:t>7, no. 2 (Feb 1841).</w:t>
      </w:r>
    </w:p>
    <w:p w:rsidR="004960BF" w:rsidRPr="004960BF" w:rsidRDefault="004960BF" w:rsidP="006F6115">
      <w:pPr>
        <w:pStyle w:val="EndNoteBibliography"/>
        <w:spacing w:line="480" w:lineRule="auto"/>
        <w:ind w:left="720" w:hanging="720"/>
        <w:rPr>
          <w:noProof/>
        </w:rPr>
      </w:pPr>
      <w:r w:rsidRPr="004960BF">
        <w:rPr>
          <w:noProof/>
        </w:rPr>
        <w:t xml:space="preserve">Rosenberg, Norman L. </w:t>
      </w:r>
      <w:r w:rsidRPr="004960BF">
        <w:rPr>
          <w:i/>
          <w:noProof/>
        </w:rPr>
        <w:t>Protecting the Best Men: An Interpretive History of the Law of Libel</w:t>
      </w:r>
      <w:r w:rsidRPr="004960BF">
        <w:rPr>
          <w:noProof/>
        </w:rPr>
        <w:t>.  Chapel Hill and London: The University of North Carolina Press, 1986.</w:t>
      </w:r>
    </w:p>
    <w:p w:rsidR="007A0103" w:rsidRPr="004D466B" w:rsidRDefault="00BA28F0" w:rsidP="006F6115">
      <w:pPr>
        <w:spacing w:line="480" w:lineRule="auto"/>
      </w:pPr>
      <w:r>
        <w:fldChar w:fldCharType="end"/>
      </w:r>
    </w:p>
    <w:sectPr w:rsidR="007A0103" w:rsidRPr="004D466B" w:rsidSect="00BB667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1674" w:rsidRDefault="003C1674" w:rsidP="00BA28F0">
      <w:r>
        <w:separator/>
      </w:r>
    </w:p>
  </w:endnote>
  <w:endnote w:type="continuationSeparator" w:id="0">
    <w:p w:rsidR="003C1674" w:rsidRDefault="003C1674" w:rsidP="00BA2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1674" w:rsidRDefault="003C1674" w:rsidP="00BA28F0">
      <w:r>
        <w:separator/>
      </w:r>
    </w:p>
  </w:footnote>
  <w:footnote w:type="continuationSeparator" w:id="0">
    <w:p w:rsidR="003C1674" w:rsidRDefault="003C1674" w:rsidP="00BA28F0">
      <w:r>
        <w:continuationSeparator/>
      </w:r>
    </w:p>
  </w:footnote>
  <w:footnote w:id="1">
    <w:p w:rsidR="00BA28F0" w:rsidRDefault="00BA28F0">
      <w:pPr>
        <w:pStyle w:val="FootnoteText"/>
      </w:pPr>
      <w:r>
        <w:rPr>
          <w:rStyle w:val="FootnoteReference"/>
        </w:rPr>
        <w:footnoteRef/>
      </w:r>
      <w:r>
        <w:t xml:space="preserve"> </w:t>
      </w:r>
      <w:r>
        <w:fldChar w:fldCharType="begin"/>
      </w:r>
      <w:r>
        <w:instrText xml:space="preserve"> ADDIN EN.CITE &lt;EndNote&gt;&lt;Cite&gt;&lt;Year&gt;Feb 1841&lt;/Year&gt;&lt;RecNum&gt;51&lt;/RecNum&gt;&lt;DisplayText&gt;&amp;quot;Proceedings against William Lloyd Garrison, for a Libel.: “Black List.” Horrible News—Domestic and Foreign. The Ship Francis.,&amp;quot; &lt;style face="italic"&gt;The Baltimore Literary and Religious Magazine&lt;/style&gt; 7, no. 2 (Feb 1841).&lt;/DisplayText&gt;&lt;record&gt;&lt;rec-number&gt;51&lt;/rec-number&gt;&lt;foreign-keys&gt;&lt;key app="EN" db-id="zsrseat5ww9t5devdf1prxd7r0errx92pd5v" timestamp="1525725867"&gt;51&lt;/key&gt;&lt;/foreign-keys&gt;&lt;ref-type name="Journal Article"&gt;17&lt;/ref-type&gt;&lt;contributors&gt;&lt;/contributors&gt;&lt;titles&gt;&lt;title&gt;PROCEEDINGS AGAINST WILLIAM LLOYD GARRISON, FOR A LIBEL.: “BLACK LIST.” Horrible News—Domestic and Foreign. The Ship Francis.&lt;/title&gt;&lt;secondary-title&gt;The Baltimore Literary and Religious Magazine&lt;/secondary-title&gt;&lt;/titles&gt;&lt;periodical&gt;&lt;full-title&gt;The Baltimore Literary and Religious Magazine&lt;/full-title&gt;&lt;/periodical&gt;&lt;volume&gt;7&lt;/volume&gt;&lt;number&gt;2&lt;/number&gt;&lt;section&gt;49&lt;/section&gt;&lt;dates&gt;&lt;year&gt;Feb 1841&lt;/year&gt;&lt;/dates&gt;&lt;urls&gt;&lt;/urls&gt;&lt;/record&gt;&lt;/Cite&gt;&lt;/EndNote&gt;</w:instrText>
      </w:r>
      <w:r>
        <w:fldChar w:fldCharType="separate"/>
      </w:r>
      <w:r>
        <w:rPr>
          <w:noProof/>
        </w:rPr>
        <w:t xml:space="preserve">"Proceedings against William Lloyd Garrison, for a Libel.: “Black List.” Horrible News—Domestic and Foreign. The Ship Francis.," </w:t>
      </w:r>
      <w:r w:rsidRPr="00BA28F0">
        <w:rPr>
          <w:i/>
          <w:noProof/>
        </w:rPr>
        <w:t>The Baltimore Literary and Religious Magazine</w:t>
      </w:r>
      <w:r>
        <w:rPr>
          <w:noProof/>
        </w:rPr>
        <w:t xml:space="preserve"> 7, no. 2 (Feb 1841).</w:t>
      </w:r>
      <w:r>
        <w:fldChar w:fldCharType="end"/>
      </w:r>
    </w:p>
  </w:footnote>
  <w:footnote w:id="2">
    <w:p w:rsidR="005D6720" w:rsidRDefault="005D6720">
      <w:pPr>
        <w:pStyle w:val="FootnoteText"/>
      </w:pPr>
      <w:r>
        <w:rPr>
          <w:rStyle w:val="FootnoteReference"/>
        </w:rPr>
        <w:footnoteRef/>
      </w:r>
      <w:r>
        <w:t xml:space="preserve"> </w:t>
      </w:r>
      <w:r>
        <w:fldChar w:fldCharType="begin"/>
      </w:r>
      <w:r>
        <w:instrText xml:space="preserve"> ADDIN EN.CITE &lt;EndNote&gt;&lt;Cite&gt;&lt;Author&gt;Labunski&lt;/Author&gt;&lt;Year&gt;1987&lt;/Year&gt;&lt;RecNum&gt;41&lt;/RecNum&gt;&lt;DisplayText&gt;Richard Labunski, &lt;style face="italic"&gt;Libel and the First Amendment: Legal History and Practice in Print and Broadcasting&lt;/style&gt; (New Brunswick and Oxford: Transaction Books, 1987).&lt;/DisplayText&gt;&lt;record&gt;&lt;rec-number&gt;41&lt;/rec-number&gt;&lt;foreign-keys&gt;&lt;key app="EN" db-id="zsrseat5ww9t5devdf1prxd7r0errx92pd5v" timestamp="1522602849"&gt;41&lt;/key&gt;&lt;/foreign-keys&gt;&lt;ref-type name="Book"&gt;6&lt;/ref-type&gt;&lt;contributors&gt;&lt;authors&gt;&lt;author&gt;Richard Labunski&lt;/author&gt;&lt;/authors&gt;&lt;/contributors&gt;&lt;titles&gt;&lt;title&gt;Libel and the First Amendment: Legal History and Practice in Print and Broadcasting&lt;/title&gt;&lt;/titles&gt;&lt;dates&gt;&lt;year&gt;1987&lt;/year&gt;&lt;/dates&gt;&lt;pub-location&gt;New Brunswick and Oxford&lt;/pub-location&gt;&lt;publisher&gt;Transaction Books&lt;/publisher&gt;&lt;urls&gt;&lt;/urls&gt;&lt;/record&gt;&lt;/Cite&gt;&lt;/EndNote&gt;</w:instrText>
      </w:r>
      <w:r>
        <w:fldChar w:fldCharType="separate"/>
      </w:r>
      <w:r>
        <w:rPr>
          <w:noProof/>
        </w:rPr>
        <w:t xml:space="preserve">Richard Labunski, </w:t>
      </w:r>
      <w:r w:rsidRPr="005D6720">
        <w:rPr>
          <w:i/>
          <w:noProof/>
        </w:rPr>
        <w:t>Libel and the First Amendment: Legal History and Practice in Print and Broadcasting</w:t>
      </w:r>
      <w:r>
        <w:rPr>
          <w:noProof/>
        </w:rPr>
        <w:t xml:space="preserve"> (New Brunswick and Oxford: Transaction Books, 1987).</w:t>
      </w:r>
      <w:r>
        <w:fldChar w:fldCharType="end"/>
      </w:r>
      <w:r>
        <w:t>, 30.</w:t>
      </w:r>
    </w:p>
  </w:footnote>
  <w:footnote w:id="3">
    <w:p w:rsidR="00FE58CC" w:rsidRDefault="00FE58CC">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&lt;EndNote&gt;&lt;Cite&gt;&lt;Author&gt;Rosenberg&lt;/Author&gt;&lt;Year&gt;1986&lt;/Year&gt;&lt;RecNum&gt;29&lt;/RecNum&gt;&lt;DisplayText&gt;Norman L. Rosenberg, &lt;style face="italic"&gt;Protecting the Best Men: An Interpretive History of the Law of Libel&lt;/style&gt; (Chapel Hill and London: The University of North Carolina Press, 1986).&lt;/DisplayText&gt;&lt;record&gt;&lt;rec-number&gt;29&lt;/rec-number&gt;&lt;foreign-keys&gt;&lt;key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 xml:space="preserve">Norman L. Rosenberg, </w:t>
      </w:r>
      <w:r w:rsidRPr="00FE58CC">
        <w:rPr>
          <w:i/>
          <w:noProof/>
        </w:rPr>
        <w:t>Protecting the Best Men: An Interpretive History of the Law of Libel</w:t>
      </w:r>
      <w:r>
        <w:rPr>
          <w:noProof/>
        </w:rPr>
        <w:t xml:space="preserve"> (Chapel Hill and London: The University of North Carolina Press, 1986).</w:t>
      </w:r>
      <w:r>
        <w:fldChar w:fldCharType="end"/>
      </w:r>
    </w:p>
  </w:footnote>
  <w:footnote w:id="4">
    <w:p w:rsidR="005D6720" w:rsidRDefault="005D6720">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&lt;EndNote&gt;&lt;Cite&gt;&lt;Author&gt;Rosenberg&lt;/Author&gt;&lt;Year&gt;1986&lt;/Year&gt;&lt;RecNum&gt;29&lt;/RecNum&gt;&lt;DisplayText&gt;Ibid.&lt;/DisplayText&gt;&lt;record&gt;&lt;rec-number&gt;29&lt;/rec-number&gt;&lt;foreign-keys&gt;&lt;key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Ibid.</w:t>
      </w:r>
      <w:r>
        <w:fldChar w:fldCharType="end"/>
      </w:r>
      <w:r>
        <w:t>, 6, 111.</w:t>
      </w:r>
    </w:p>
  </w:footnote>
  <w:footnote w:id="5">
    <w:p w:rsidR="009C0548" w:rsidRDefault="009C0548">
      <w:pPr>
        <w:pStyle w:val="FootnoteText"/>
      </w:pPr>
      <w:r>
        <w:rPr>
          <w:rStyle w:val="FootnoteReference"/>
        </w:rPr>
        <w:footnoteRef/>
      </w:r>
      <w:r>
        <w:t xml:space="preserve"> </w:t>
      </w:r>
      <w:r w:rsidR="00884C2C">
        <w:fldChar w:fldCharType="begin"/>
      </w:r>
      <w:r w:rsidR="00884C2C">
        <w:instrText xml:space="preserve"> ADDIN EN.CITE &lt;EndNote&gt;&lt;Cite&gt;&lt;Author&gt;Cooper&lt;/Author&gt;&lt;Year&gt;1830&lt;/Year&gt;&lt;RecNum&gt;52&lt;/RecNum&gt;&lt;DisplayText&gt;Thomas Cooper, &lt;style face="italic"&gt;Treatise on the Law of Libel and the Liberty of the Press; Showing the Origins, Use, and Abuse of the Law of Libel&lt;/style&gt; (New York: G.F. Hopkins &amp;amp; Son, 1830).&lt;/DisplayText&gt;&lt;record&gt;&lt;rec-number&gt;52&lt;/rec-number&gt;&lt;foreign-keys&gt;&lt;key app="EN" db-id="zsrseat5ww9t5devdf1prxd7r0errx92pd5v" timestamp="1525729169"&gt;52&lt;/key&gt;&lt;/foreign-keys&gt;&lt;ref-type name="Book"&gt;6&lt;/ref-type&gt;&lt;contributors&gt;&lt;authors&gt;&lt;author&gt;Thomas Cooper&lt;/author&gt;&lt;/authors&gt;&lt;/contributors&gt;&lt;titles&gt;&lt;title&gt;Treatise on the Law of Libel and the Liberty of the Press; Showing the Origins, Use, and Abuse of the Law of Libel&lt;/title&gt;&lt;/titles&gt;&lt;dates&gt;&lt;year&gt;1830&lt;/year&gt;&lt;/dates&gt;&lt;pub-location&gt;New York&lt;/pub-location&gt;&lt;publisher&gt;G.F. Hopkins &amp;amp; Son&lt;/publisher&gt;&lt;urls&gt;&lt;/urls&gt;&lt;/record&gt;&lt;/Cite&gt;&lt;/EndNote&gt;</w:instrText>
      </w:r>
      <w:r w:rsidR="00884C2C">
        <w:fldChar w:fldCharType="separate"/>
      </w:r>
      <w:r w:rsidR="00884C2C">
        <w:rPr>
          <w:noProof/>
        </w:rPr>
        <w:t xml:space="preserve">Thomas Cooper, </w:t>
      </w:r>
      <w:r w:rsidR="00884C2C" w:rsidRPr="00884C2C">
        <w:rPr>
          <w:i/>
          <w:noProof/>
        </w:rPr>
        <w:t>Treatise on the Law of Libel and the Liberty of the Press; Showing the Origins, Use, and Abuse of the Law of Libel</w:t>
      </w:r>
      <w:r w:rsidR="00884C2C">
        <w:rPr>
          <w:noProof/>
        </w:rPr>
        <w:t xml:space="preserve"> (New York: G.F. Hopkins &amp; Son, 1830).</w:t>
      </w:r>
      <w:r w:rsidR="00884C2C">
        <w:fldChar w:fldCharType="end"/>
      </w:r>
      <w:r w:rsidR="00884C2C">
        <w:t>, 81.</w:t>
      </w:r>
    </w:p>
  </w:footnote>
  <w:footnote w:id="6">
    <w:p w:rsidR="005D6720" w:rsidRDefault="005D6720">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&lt;EndNote&gt;&lt;Cite&gt;&lt;Author&gt;Garrison&lt;/Author&gt;&lt;Year&gt;1834&lt;/Year&gt;&lt;RecNum&gt;53&lt;/RecNum&gt;&lt;DisplayText&gt;William Lloyd Garrison, &amp;quot;A Brief Sketch of the Trial of William Lloyd Garriosn, for an Alleged Libel on Francis Todd, of Newburyport, Mass.,&amp;quot; (Boston: Garrison and Knapp, 1834).&lt;/DisplayText&gt;&lt;record&gt;&lt;rec-number&gt;53&lt;/rec-number&gt;&lt;foreign-keys&gt;&lt;key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William Lloyd Garrison, "A Brief Sketch of the Trial of William Lloyd Garriosn, for an Alleged Libel on Francis Todd, of Newburyport, Mass.," (Boston: Garrison and Knapp, 1834).</w:t>
      </w:r>
      <w:r>
        <w:fldChar w:fldCharType="end"/>
      </w:r>
      <w:r>
        <w:t>, 8-9.</w:t>
      </w:r>
    </w:p>
  </w:footnote>
  <w:footnote w:id="7">
    <w:p w:rsidR="00BE5A54" w:rsidRDefault="00BE5A54">
      <w:pPr>
        <w:pStyle w:val="FootnoteText"/>
      </w:pPr>
      <w:r>
        <w:rPr>
          <w:rStyle w:val="FootnoteReference"/>
        </w:rPr>
        <w:footnoteRef/>
      </w:r>
      <w:r>
        <w:t xml:space="preserve"> </w:t>
      </w:r>
      <w:r w:rsidR="00117CBE">
        <w:fldChar w:fldCharType="begin"/>
      </w:r>
      <w:r w:rsidR="00117CBE">
        <w:instrText xml:space="preserve"> ADDIN EN.CITE &lt;EndNote&gt;&lt;Cite&gt;&lt;Year&gt;Feb 1841&lt;/Year&gt;&lt;RecNum&gt;51&lt;/RecNum&gt;&lt;DisplayText&gt;&amp;quot;Proceedings against William Lloyd Garrison, for a Libel.: “Black List.” Horrible News—Domestic and Foreign. The Ship Francis..&amp;quot;&lt;/DisplayText&gt;&lt;record&gt;&lt;rec-number&gt;51&lt;/rec-number&gt;&lt;foreign-keys&gt;&lt;key app="EN" db-id="zsrseat5ww9t5devdf1prxd7r0errx92pd5v" timestamp="1525725867"&gt;51&lt;/key&gt;&lt;/foreign-keys&gt;&lt;ref-type name="Journal Article"&gt;17&lt;/ref-type&gt;&lt;contributors&gt;&lt;/contributors&gt;&lt;titles&gt;&lt;title&gt;PROCEEDINGS AGAINST WILLIAM LLOYD GARRISON, FOR A LIBEL.: “BLACK LIST.” Horrible News—Domestic and Foreign. The Ship Francis.&lt;/title&gt;&lt;secondary-title&gt;The Baltimore Literary and Religious Magazine&lt;/secondary-title&gt;&lt;/titles&gt;&lt;periodical&gt;&lt;full-title&gt;The Baltimore Literary and Religious Magazine&lt;/full-title&gt;&lt;/periodical&gt;&lt;volume&gt;7&lt;/volume&gt;&lt;number&gt;2&lt;/number&gt;&lt;section&gt;49&lt;/section&gt;&lt;dates&gt;&lt;year&gt;Feb 1841&lt;/year&gt;&lt;/dates&gt;&lt;urls&gt;&lt;/urls&gt;&lt;/record&gt;&lt;/Cite&gt;&lt;/EndNote&gt;</w:instrText>
      </w:r>
      <w:r w:rsidR="00117CBE">
        <w:fldChar w:fldCharType="separate"/>
      </w:r>
      <w:r w:rsidR="00117CBE">
        <w:rPr>
          <w:noProof/>
        </w:rPr>
        <w:t>"Proceedings against William Lloyd Garrison, for a Libel.: “Black List.” Horrible News—Domestic and Foreign. The Ship Francis.."</w:t>
      </w:r>
      <w:r w:rsidR="00117CBE">
        <w:fldChar w:fldCharType="end"/>
      </w:r>
      <w:r w:rsidR="00117CBE">
        <w:t>, 1.</w:t>
      </w:r>
    </w:p>
  </w:footnote>
  <w:footnote w:id="8">
    <w:p w:rsidR="005D6720" w:rsidRDefault="005D6720">
      <w:pPr>
        <w:pStyle w:val="FootnoteText"/>
      </w:pPr>
      <w:r>
        <w:rPr>
          <w:rStyle w:val="FootnoteReference"/>
        </w:rPr>
        <w:footnoteRef/>
      </w:r>
      <w:r>
        <w:t xml:space="preserve"> </w:t>
      </w:r>
      <w:r>
        <w:fldChar w:fldCharType="begin"/>
      </w:r>
      <w:r>
        <w:instrText xml:space="preserve"> ADDIN EN.CITE &lt;EndNote&gt;&lt;Cite&gt;&lt;Author&gt;DeLombard&lt;/Author&gt;&lt;Year&gt;2007&lt;/Year&gt;&lt;RecNum&gt;54&lt;/RecNum&gt;&lt;DisplayText&gt;Jeannine Marie DeLombard, &lt;style face="italic"&gt;Slavery on Trial: Law, Abolitionism, and Print Culture&lt;/style&gt; (Chapel Hill: University of North Carolina Press, 2007).&lt;/DisplayText&gt;&lt;record&gt;&lt;rec-number&gt;54&lt;/rec-number&gt;&lt;foreign-keys&gt;&lt;key app="EN" db-id="zsrseat5ww9t5devdf1prxd7r0errx92pd5v" timestamp="1525797364"&gt;54&lt;/key&gt;&lt;/foreign-keys&gt;&lt;ref-type name="Book"&gt;6&lt;/ref-type&gt;&lt;contributors&gt;&lt;authors&gt;&lt;author&gt;Jeannine Marie DeLombard&lt;/author&gt;&lt;/authors&gt;&lt;/contributors&gt;&lt;titles&gt;&lt;title&gt;Slavery on Trial: Law, Abolitionism, and Print Culture&lt;/title&gt;&lt;/titles&gt;&lt;dates&gt;&lt;year&gt;2007&lt;/year&gt;&lt;/dates&gt;&lt;pub-location&gt;Chapel Hill&lt;/pub-location&gt;&lt;publisher&gt;University of North Carolina Press&lt;/publisher&gt;&lt;urls&gt;&lt;/urls&gt;&lt;/record&gt;&lt;/Cite&gt;&lt;/EndNote&gt;</w:instrText>
      </w:r>
      <w:r>
        <w:fldChar w:fldCharType="separate"/>
      </w:r>
      <w:r>
        <w:rPr>
          <w:noProof/>
        </w:rPr>
        <w:t xml:space="preserve">Jeannine Marie DeLombard, </w:t>
      </w:r>
      <w:r w:rsidRPr="005D6720">
        <w:rPr>
          <w:i/>
          <w:noProof/>
        </w:rPr>
        <w:t>Slavery on Trial: Law, Abolitionism, and Print Culture</w:t>
      </w:r>
      <w:r>
        <w:rPr>
          <w:noProof/>
        </w:rPr>
        <w:t xml:space="preserve"> (Chapel Hill: University of North Carolina Press, 2007).</w:t>
      </w:r>
      <w:r>
        <w:fldChar w:fldCharType="end"/>
      </w:r>
      <w:r w:rsidR="001D480D">
        <w:t>, 1, 19.</w:t>
      </w:r>
    </w:p>
  </w:footnote>
  <w:footnote w:id="9">
    <w:p w:rsidR="001D480D" w:rsidRDefault="001D480D">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159.</w:t>
      </w:r>
    </w:p>
  </w:footnote>
  <w:footnote w:id="10">
    <w:p w:rsidR="008A7473" w:rsidRDefault="008A7473" w:rsidP="008A7473">
      <w:pPr>
        <w:pStyle w:val="FootnoteText"/>
      </w:pPr>
      <w:r>
        <w:rPr>
          <w:rStyle w:val="FootnoteReference"/>
        </w:rPr>
        <w:footnoteRef/>
      </w:r>
      <w:r>
        <w:t xml:space="preserve"> </w:t>
      </w:r>
      <w:proofErr w:type="spellStart"/>
      <w:r>
        <w:t>Garrison</w:t>
      </w:r>
      <w:r>
        <w:fldChar w:fldCharType="begin"/>
      </w:r>
      <w:r w:rsidR="004960BF">
        <w:instrText xml:space="preserve"> ADDIN EN.CITE &lt;EndNote&gt;&lt;Cite&gt;&lt;Author&gt;Garrison&lt;/Author&gt;&lt;Year&gt;1834&lt;/Year&gt;&lt;RecNum&gt;53&lt;/RecNum&gt;&lt;DisplayText&gt;Garrison.&lt;/DisplayText&gt;&lt;record&gt;&lt;rec-number&gt;53&lt;/rec-number&gt;&lt;foreign-keys&gt;&lt;key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sidR="004960BF">
        <w:rPr>
          <w:noProof/>
        </w:rPr>
        <w:t>Garrison</w:t>
      </w:r>
      <w:proofErr w:type="spellEnd"/>
      <w:r w:rsidR="004960BF">
        <w:rPr>
          <w:noProof/>
        </w:rPr>
        <w:t>.</w:t>
      </w:r>
      <w:r>
        <w:fldChar w:fldCharType="end"/>
      </w:r>
      <w:r>
        <w:t>, 8, 18.</w:t>
      </w:r>
    </w:p>
  </w:footnote>
  <w:footnote w:id="11">
    <w:p w:rsidR="00E73E8A" w:rsidRDefault="00E73E8A">
      <w:pPr>
        <w:pStyle w:val="FootnoteText"/>
      </w:pPr>
      <w:r>
        <w:rPr>
          <w:rStyle w:val="FootnoteReference"/>
        </w:rPr>
        <w:footnoteRef/>
      </w:r>
      <w:r>
        <w:t xml:space="preserve"> </w:t>
      </w:r>
      <w:r>
        <w:fldChar w:fldCharType="begin"/>
      </w:r>
      <w:r w:rsidR="004960BF">
        <w:instrText xml:space="preserve"> ADDIN EN.CITE &lt;EndNote&gt;&lt;Cite&gt;&lt;Author&gt;Garrison&lt;/Author&gt;&lt;Year&gt;1834&lt;/Year&gt;&lt;RecNum&gt;53&lt;/RecNum&gt;&lt;DisplayText&gt;Ibid.&lt;/DisplayText&gt;&lt;record&gt;&lt;rec-number&gt;53&lt;/rec-number&gt;&lt;foreign-keys&gt;&lt;key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sidR="004960BF">
        <w:rPr>
          <w:noProof/>
        </w:rPr>
        <w:t>Ibid.</w:t>
      </w:r>
      <w:r>
        <w:fldChar w:fldCharType="end"/>
      </w:r>
      <w:r>
        <w:t>, 14-15.</w:t>
      </w:r>
    </w:p>
  </w:footnote>
  <w:footnote w:id="12">
    <w:p w:rsidR="00E73E8A" w:rsidRDefault="00E73E8A">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&lt;EndNote&gt;&lt;Cite&gt;&lt;Author&gt;Garrison&lt;/Author&gt;&lt;Year&gt;1834&lt;/Year&gt;&lt;RecNum&gt;53&lt;/RecNum&gt;&lt;DisplayText&gt;Ibid.&lt;/DisplayText&gt;&lt;record&gt;&lt;rec-number&gt;53&lt;/rec-number&gt;&lt;foreign-keys&gt;&lt;key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Ibid.</w:t>
      </w:r>
      <w:r>
        <w:fldChar w:fldCharType="end"/>
      </w:r>
      <w:r>
        <w:t>, 20.</w:t>
      </w:r>
    </w:p>
  </w:footnote>
  <w:footnote w:id="13">
    <w:p w:rsidR="001C0D04" w:rsidRDefault="001C0D04">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141.</w:t>
      </w:r>
    </w:p>
  </w:footnote>
  <w:footnote w:id="14">
    <w:p w:rsidR="001C0D04" w:rsidRDefault="001C0D04">
      <w:pPr>
        <w:pStyle w:val="FootnoteText"/>
      </w:pPr>
      <w:r>
        <w:rPr>
          <w:rStyle w:val="FootnoteReference"/>
        </w:rPr>
        <w:footnoteRef/>
      </w:r>
      <w:r>
        <w:t xml:space="preserve"> </w:t>
      </w:r>
      <w:r>
        <w:fldChar w:fldCharType="begin"/>
      </w:r>
      <w:r>
        <w:instrText xml:space="preserve"> ADDIN EN.CITE &lt;EndNote&gt;&lt;Cite&gt;&lt;Author&gt;Cooper&lt;/Author&gt;&lt;Year&gt;1830&lt;/Year&gt;&lt;RecNum&gt;52&lt;/RecNum&gt;&lt;DisplayText&gt;Cooper.&lt;/DisplayText&gt;&lt;record&gt;&lt;rec-number&gt;52&lt;/rec-number&gt;&lt;foreign-keys&gt;&lt;key app="EN" db-id="zsrseat5ww9t5devdf1prxd7r0errx92pd5v" timestamp="1525729169"&gt;52&lt;/key&gt;&lt;/foreign-keys&gt;&lt;ref-type name="Book"&gt;6&lt;/ref-type&gt;&lt;contributors&gt;&lt;authors&gt;&lt;author&gt;Thomas Cooper&lt;/author&gt;&lt;/authors&gt;&lt;/contributors&gt;&lt;titles&gt;&lt;title&gt;Treatise on the Law of Libel and the Liberty of the Press; Showing the Origins, Use, and Abuse of the Law of Libel&lt;/title&gt;&lt;/titles&gt;&lt;dates&gt;&lt;year&gt;1830&lt;/year&gt;&lt;/dates&gt;&lt;pub-location&gt;New York&lt;/pub-location&gt;&lt;publisher&gt;G.F. Hopkins &amp;amp; Son&lt;/publisher&gt;&lt;urls&gt;&lt;/urls&gt;&lt;/record&gt;&lt;/Cite&gt;&lt;/EndNote&gt;</w:instrText>
      </w:r>
      <w:r>
        <w:fldChar w:fldCharType="separate"/>
      </w:r>
      <w:r>
        <w:rPr>
          <w:noProof/>
        </w:rPr>
        <w:t>Cooper.</w:t>
      </w:r>
      <w:r>
        <w:fldChar w:fldCharType="end"/>
      </w:r>
      <w:r>
        <w:t>, 10.</w:t>
      </w:r>
    </w:p>
  </w:footnote>
  <w:footnote w:id="15">
    <w:p w:rsidR="0053372F" w:rsidRDefault="0053372F">
      <w:pPr>
        <w:pStyle w:val="FootnoteText"/>
      </w:pPr>
      <w:r>
        <w:rPr>
          <w:rStyle w:val="FootnoteReference"/>
        </w:rPr>
        <w:footnoteRef/>
      </w:r>
      <w:r>
        <w:t xml:space="preserve"> </w:t>
      </w:r>
      <w:r>
        <w:fldChar w:fldCharType="begin"/>
      </w:r>
      <w:r>
        <w:instrText xml:space="preserve"> ADDIN EN.CITE &lt;EndNote&gt;&lt;Cite&gt;&lt;Author&gt;Cooper&lt;/Author&gt;&lt;Year&gt;1830&lt;/Year&gt;&lt;RecNum&gt;52&lt;/RecNum&gt;&lt;DisplayText&gt;Ibid.&lt;/DisplayText&gt;&lt;record&gt;&lt;rec-number&gt;52&lt;/rec-number&gt;&lt;foreign-keys&gt;&lt;key app="EN" db-id="zsrseat5ww9t5devdf1prxd7r0errx92pd5v" timestamp="1525729169"&gt;52&lt;/key&gt;&lt;/foreign-keys&gt;&lt;ref-type name="Book"&gt;6&lt;/ref-type&gt;&lt;contributors&gt;&lt;authors&gt;&lt;author&gt;Thomas Cooper&lt;/author&gt;&lt;/authors&gt;&lt;/contributors&gt;&lt;titles&gt;&lt;title&gt;Treatise on the Law of Libel and the Liberty of the Press; Showing the Origins, Use, and Abuse of the Law of Libel&lt;/title&gt;&lt;/titles&gt;&lt;dates&gt;&lt;year&gt;1830&lt;/year&gt;&lt;/dates&gt;&lt;pub-location&gt;New York&lt;/pub-location&gt;&lt;publisher&gt;G.F. Hopkins &amp;amp; Son&lt;/publisher&gt;&lt;urls&gt;&lt;/urls&gt;&lt;/record&gt;&lt;/Cite&gt;&lt;/EndNote&gt;</w:instrText>
      </w:r>
      <w:r>
        <w:fldChar w:fldCharType="separate"/>
      </w:r>
      <w:r>
        <w:rPr>
          <w:noProof/>
        </w:rPr>
        <w:t>Ibid.</w:t>
      </w:r>
      <w:r>
        <w:fldChar w:fldCharType="end"/>
      </w:r>
      <w:r>
        <w:t>, 89.</w:t>
      </w:r>
    </w:p>
  </w:footnote>
  <w:footnote w:id="16">
    <w:p w:rsidR="0053372F" w:rsidRDefault="0053372F">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158.</w:t>
      </w:r>
    </w:p>
  </w:footnote>
  <w:footnote w:id="17">
    <w:p w:rsidR="003F1D2D" w:rsidRDefault="003F1D2D">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&lt;EndNote&gt;&lt;Cite&gt;&lt;Author&gt;Garrison&lt;/Author&gt;&lt;Year&gt;1834&lt;/Year&gt;&lt;RecNum&gt;53&lt;/RecNum&gt;&lt;DisplayText&gt;Garrison.&lt;/DisplayText&gt;&lt;record&gt;&lt;rec-number&gt;53&lt;/rec-number&gt;&lt;foreign-keys&gt;&lt;key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Garrison.</w:t>
      </w:r>
      <w:r>
        <w:fldChar w:fldCharType="end"/>
      </w:r>
      <w:r>
        <w:t>, 5, 14.</w:t>
      </w:r>
    </w:p>
  </w:footnote>
  <w:footnote w:id="18">
    <w:p w:rsidR="005145E0" w:rsidRDefault="005145E0">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134.</w:t>
      </w:r>
    </w:p>
  </w:footnote>
  <w:footnote w:id="19">
    <w:p w:rsidR="004960BF" w:rsidRDefault="004960BF">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&lt;EndNote&gt;&lt;Cite&gt;&lt;Author&gt;Garrison&lt;/Author&gt;&lt;Year&gt;1834&lt;/Year&gt;&lt;RecNum&gt;53&lt;/RecNum&gt;&lt;DisplayText&gt;Garrison.&lt;/DisplayText&gt;&lt;record&gt;&lt;rec-number&gt;53&lt;/rec-number&gt;&lt;foreign-keys&gt;&lt;key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Garrison.</w:t>
      </w:r>
      <w:r>
        <w:fldChar w:fldCharType="end"/>
      </w:r>
      <w:r>
        <w:t>, 23.</w:t>
      </w:r>
    </w:p>
  </w:footnote>
  <w:footnote w:id="20">
    <w:p w:rsidR="000756F2" w:rsidRDefault="000756F2">
      <w:pPr>
        <w:pStyle w:val="FootnoteText"/>
      </w:pPr>
      <w:r>
        <w:rPr>
          <w:rStyle w:val="FootnoteReference"/>
        </w:rPr>
        <w:footnoteRef/>
      </w:r>
      <w:r>
        <w:t xml:space="preserve"> </w:t>
      </w:r>
      <w:r>
        <w:fldChar w:fldCharType="begin"/>
      </w:r>
      <w:r w:rsidR="004960BF">
        <w:instrText xml:space="preserve"> ADDIN EN.CITE &lt;EndNote&gt;&lt;Cite&gt;&lt;Author&gt;Garrison&lt;/Author&gt;&lt;Year&gt;1834&lt;/Year&gt;&lt;RecNum&gt;53&lt;/RecNum&gt;&lt;DisplayText&gt;Ibid.&lt;/DisplayText&gt;&lt;record&gt;&lt;rec-number&gt;53&lt;/rec-number&gt;&lt;foreign-keys&gt;&lt;key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sidR="004960BF">
        <w:rPr>
          <w:noProof/>
        </w:rPr>
        <w:t>Ibid.</w:t>
      </w:r>
      <w:r>
        <w:fldChar w:fldCharType="end"/>
      </w:r>
      <w:r w:rsidR="004960BF">
        <w:t>, 3-4, 15.</w:t>
      </w:r>
    </w:p>
  </w:footnote>
  <w:footnote w:id="21">
    <w:p w:rsidR="005343E7" w:rsidRDefault="005343E7">
      <w:pPr>
        <w:pStyle w:val="FootnoteText"/>
      </w:pPr>
      <w:r>
        <w:rPr>
          <w:rStyle w:val="FootnoteReference"/>
        </w:rPr>
        <w:footnoteRef/>
      </w:r>
      <w:r>
        <w:t xml:space="preserve"> </w:t>
      </w:r>
      <w:r>
        <w:fldChar w:fldCharType="begin"/>
      </w:r>
      <w:r>
        <w:instrText xml:space="preserve"> ADDIN EN.CITE &lt;EndNote&gt;&lt;Cite&gt;&lt;Year&gt;Feb 1841&lt;/Year&gt;&lt;RecNum&gt;51&lt;/RecNum&gt;&lt;DisplayText&gt;&amp;quot;Proceedings against William Lloyd Garrison, for a Libel.: “Black List.” Horrible News—Domestic and Foreign. The Ship Francis..&amp;quot;&lt;/DisplayText&gt;&lt;record&gt;&lt;rec-number&gt;51&lt;/rec-number&gt;&lt;foreign-keys&gt;&lt;key app="EN" db-id="zsrseat5ww9t5devdf1prxd7r0errx92pd5v" timestamp="1525725867"&gt;51&lt;/key&gt;&lt;/foreign-keys&gt;&lt;ref-type name="Journal Article"&gt;17&lt;/ref-type&gt;&lt;contributors&gt;&lt;/contributors&gt;&lt;titles&gt;&lt;title&gt;PROCEEDINGS AGAINST WILLIAM LLOYD GARRISON, FOR A LIBEL.: “BLACK LIST.” Horrible News—Domestic and Foreign. The Ship Francis.&lt;/title&gt;&lt;secondary-title&gt;The Baltimore Literary and Religious Magazine&lt;/secondary-title&gt;&lt;/titles&gt;&lt;periodical&gt;&lt;full-title&gt;The Baltimore Literary and Religious Magazine&lt;/full-title&gt;&lt;/periodical&gt;&lt;volume&gt;7&lt;/volume&gt;&lt;number&gt;2&lt;/number&gt;&lt;section&gt;49&lt;/section&gt;&lt;dates&gt;&lt;year&gt;Feb 1841&lt;/year&gt;&lt;/dates&gt;&lt;urls&gt;&lt;/urls&gt;&lt;/record&gt;&lt;/Cite&gt;&lt;/EndNote&gt;</w:instrText>
      </w:r>
      <w:r>
        <w:fldChar w:fldCharType="separate"/>
      </w:r>
      <w:r>
        <w:rPr>
          <w:noProof/>
        </w:rPr>
        <w:t>"Proceedings against William Lloyd Garrison, for a Libel.: “Black List.” Horrible News—Domestic and Foreign. The Ship Francis.."</w:t>
      </w:r>
      <w:r>
        <w:fldChar w:fldCharType="end"/>
      </w:r>
      <w:r>
        <w:t>, 1.</w:t>
      </w:r>
    </w:p>
  </w:footnote>
  <w:footnote w:id="22">
    <w:p w:rsidR="0066563B" w:rsidRDefault="0066563B">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149.</w:t>
      </w:r>
    </w:p>
  </w:footnote>
  <w:footnote w:id="23">
    <w:p w:rsidR="0066563B" w:rsidRDefault="0066563B">
      <w:pPr>
        <w:pStyle w:val="FootnoteText"/>
      </w:pPr>
      <w:r>
        <w:rPr>
          <w:rStyle w:val="FootnoteReference"/>
        </w:rPr>
        <w:footnoteRef/>
      </w:r>
      <w:r>
        <w:t xml:space="preserve"> </w:t>
      </w:r>
      <w:r>
        <w:fldChar w:fldCharType="begin"/>
      </w:r>
      <w:r>
        <w:instrText xml:space="preserve"> ADDIN EN.CITE &lt;EndNote&gt;&lt;Cite&gt;&lt;Author&gt;DeLombard&lt;/Author&gt;&lt;Year&gt;2007&lt;/Year&gt;&lt;RecNum&gt;54&lt;/RecNum&gt;&lt;DisplayText&gt;DeLombard.&lt;/DisplayText&gt;&lt;record&gt;&lt;rec-number&gt;54&lt;/rec-number&gt;&lt;foreign-keys&gt;&lt;key app="EN" db-id="zsrseat5ww9t5devdf1prxd7r0errx92pd5v" timestamp="1525797364"&gt;54&lt;/key&gt;&lt;/foreign-keys&gt;&lt;ref-type name="Book"&gt;6&lt;/ref-type&gt;&lt;contributors&gt;&lt;authors&gt;&lt;author&gt;Jeannine Marie DeLombard&lt;/author&gt;&lt;/authors&gt;&lt;/contributors&gt;&lt;titles&gt;&lt;title&gt;Slavery on Trial: Law, Abolitionism, and Print Culture&lt;/title&gt;&lt;/titles&gt;&lt;dates&gt;&lt;year&gt;2007&lt;/year&gt;&lt;/dates&gt;&lt;pub-location&gt;Chapel Hill&lt;/pub-location&gt;&lt;publisher&gt;University of North Carolina Press&lt;/publisher&gt;&lt;urls&gt;&lt;/urls&gt;&lt;/record&gt;&lt;/Cite&gt;&lt;/EndNote&gt;</w:instrText>
      </w:r>
      <w:r>
        <w:fldChar w:fldCharType="separate"/>
      </w:r>
      <w:r>
        <w:rPr>
          <w:noProof/>
        </w:rPr>
        <w:t>DeLombard.</w:t>
      </w:r>
      <w:r>
        <w:fldChar w:fldCharType="end"/>
      </w:r>
      <w:r>
        <w:t>, 40.</w:t>
      </w:r>
    </w:p>
  </w:footnote>
  <w:footnote w:id="24">
    <w:p w:rsidR="00527361" w:rsidRDefault="00527361">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150.</w:t>
      </w:r>
    </w:p>
  </w:footnote>
  <w:footnote w:id="25">
    <w:p w:rsidR="00527361" w:rsidRDefault="00527361">
      <w:pPr>
        <w:pStyle w:val="FootnoteText"/>
      </w:pPr>
      <w:r>
        <w:rPr>
          <w:rStyle w:val="FootnoteReference"/>
        </w:rPr>
        <w:footnoteRef/>
      </w:r>
      <w:r>
        <w:t xml:space="preserve"> </w:t>
      </w:r>
      <w:r>
        <w:fldChar w:fldCharType="begin"/>
      </w:r>
      <w:r>
        <w:instrText xml:space="preserve"> ADDIN EN.CITE &lt;EndNote&gt;&lt;Cite&gt;&lt;Author&gt;DeLombard&lt;/Author&gt;&lt;Year&gt;2007&lt;/Year&gt;&lt;RecNum&gt;54&lt;/RecNum&gt;&lt;DisplayText&gt;DeLombard.&lt;/DisplayText&gt;&lt;record&gt;&lt;rec-number&gt;54&lt;/rec-number&gt;&lt;foreign-keys&gt;&lt;key app="EN" db-id="zsrseat5ww9t5devdf1prxd7r0errx92pd5v" timestamp="1525797364"&gt;54&lt;/key&gt;&lt;/foreign-keys&gt;&lt;ref-type name="Book"&gt;6&lt;/ref-type&gt;&lt;contributors&gt;&lt;authors&gt;&lt;author&gt;Jeannine Marie DeLombard&lt;/author&gt;&lt;/authors&gt;&lt;/contributors&gt;&lt;titles&gt;&lt;title&gt;Slavery on Trial: Law, Abolitionism, and Print Culture&lt;/title&gt;&lt;/titles&gt;&lt;dates&gt;&lt;year&gt;2007&lt;/year&gt;&lt;/dates&gt;&lt;pub-location&gt;Chapel Hill&lt;/pub-location&gt;&lt;publisher&gt;University of North Carolina Press&lt;/publisher&gt;&lt;urls&gt;&lt;/urls&gt;&lt;/record&gt;&lt;/Cite&gt;&lt;/EndNote&gt;</w:instrText>
      </w:r>
      <w:r>
        <w:fldChar w:fldCharType="separate"/>
      </w:r>
      <w:r>
        <w:rPr>
          <w:noProof/>
        </w:rPr>
        <w:t>DeLombard.</w:t>
      </w:r>
      <w:r>
        <w:fldChar w:fldCharType="end"/>
      </w:r>
      <w:r>
        <w:t>, 49-50.</w:t>
      </w:r>
    </w:p>
  </w:footnote>
  <w:footnote w:id="26">
    <w:p w:rsidR="00BD72E8" w:rsidRDefault="00BD72E8">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&lt;EndNote&gt;&lt;Cite&gt;&lt;Author&gt;Garrison&lt;/Author&gt;&lt;Year&gt;1834&lt;/Year&gt;&lt;RecNum&gt;53&lt;/RecNum&gt;&lt;DisplayText&gt;Garrison.&lt;/DisplayText&gt;&lt;record&gt;&lt;rec-number&gt;53&lt;/rec-number&gt;&lt;foreign-keys&gt;&lt;key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Garrison.</w:t>
      </w:r>
      <w:r>
        <w:fldChar w:fldCharType="end"/>
      </w:r>
      <w:r>
        <w:t>, 3.</w:t>
      </w:r>
    </w:p>
  </w:footnote>
  <w:footnote w:id="27">
    <w:p w:rsidR="00BD72E8" w:rsidRDefault="00BD72E8">
      <w:pPr>
        <w:pStyle w:val="FootnoteText"/>
      </w:pPr>
      <w:r>
        <w:rPr>
          <w:rStyle w:val="FootnoteReference"/>
        </w:rPr>
        <w:footnoteRef/>
      </w:r>
      <w:r>
        <w:t xml:space="preserve"> </w:t>
      </w:r>
      <w:r>
        <w:fldChar w:fldCharType="begin"/>
      </w:r>
      <w:r>
        <w:instrText xml:space="preserve"> ADDIN EN.CITE &lt;EndNote&gt;&lt;Cite&gt;&lt;Author&gt;Gurley&lt;/Author&gt;&lt;Year&gt;1833&lt;/Year&gt;&lt;RecNum&gt;56&lt;/RecNum&gt;&lt;DisplayText&gt;Ralph Randolph Gurley, &amp;quot;Garrison’s Thoughts on African Colonization,&amp;quot; &lt;style face="italic"&gt;The African Repository, and Colonial Journal&lt;/style&gt; 8 (1833).&lt;/DisplayText&gt;&lt;record&gt;&lt;rec-number&gt;56&lt;/rec-number&gt;&lt;foreign-keys&gt;&lt;key app="EN" db-id="zsrseat5ww9t5devdf1prxd7r0errx92pd5v" timestamp="1525881373"&gt;56&lt;/key&gt;&lt;/foreign-keys&gt;&lt;ref-type name="Journal Article"&gt;17&lt;/ref-type&gt;&lt;contributors&gt;&lt;authors&gt;&lt;author&gt;Ralph Randolph Gurley&lt;/author&gt;&lt;/authors&gt;&lt;/contributors&gt;&lt;titles&gt;&lt;title&gt;Garrison’s Thoughts on African Colonization&lt;/title&gt;&lt;secondary-title&gt;The African Repository, and Colonial Journal&lt;/secondary-title&gt;&lt;/titles&gt;&lt;periodical&gt;&lt;full-title&gt;The African Repository, and Colonial Journal&lt;/full-title&gt;&lt;/periodical&gt;&lt;volume&gt;8&lt;/volume&gt;&lt;section&gt;271&lt;/section&gt;&lt;dates&gt;&lt;year&gt;1833&lt;/year&gt;&lt;/dates&gt;&lt;urls&gt;&lt;/urls&gt;&lt;/record&gt;&lt;/Cite&gt;&lt;/EndNote&gt;</w:instrText>
      </w:r>
      <w:r>
        <w:fldChar w:fldCharType="separate"/>
      </w:r>
      <w:r>
        <w:rPr>
          <w:noProof/>
        </w:rPr>
        <w:t xml:space="preserve">Ralph Randolph Gurley, "Garrison’s Thoughts on African Colonization," </w:t>
      </w:r>
      <w:r w:rsidRPr="00BD72E8">
        <w:rPr>
          <w:i/>
          <w:noProof/>
        </w:rPr>
        <w:t>The African Repository, and Colonial Journal</w:t>
      </w:r>
      <w:r>
        <w:rPr>
          <w:noProof/>
        </w:rPr>
        <w:t xml:space="preserve"> 8 (1833).</w:t>
      </w:r>
      <w:r>
        <w:fldChar w:fldCharType="end"/>
      </w:r>
      <w:r>
        <w:t>, 275.</w:t>
      </w:r>
    </w:p>
  </w:footnote>
  <w:footnote w:id="28">
    <w:p w:rsidR="00C256A7" w:rsidRDefault="00C256A7" w:rsidP="00C256A7">
      <w:pPr>
        <w:pStyle w:val="FootnoteText"/>
      </w:pPr>
      <w:r>
        <w:rPr>
          <w:rStyle w:val="FootnoteReference"/>
        </w:rPr>
        <w:footnoteRef/>
      </w:r>
      <w:r>
        <w:t xml:space="preserve"> </w:t>
      </w:r>
      <w:r>
        <w:fldChar w:fldCharType="begin"/>
      </w:r>
      <w:r>
        <w:instrText xml:space="preserve"> ADDIN EN.CITE &lt;EndNote&gt;&lt;Cite&gt;&lt;Author&gt;Rosenberg&lt;/Author&gt;&lt;Year&gt;1986&lt;/Year&gt;&lt;RecNum&gt;29&lt;/RecNum&gt;&lt;DisplayText&gt;Rosenberg.&lt;/DisplayText&gt;&lt;record&gt;&lt;rec-number&gt;29&lt;/rec-number&gt;&lt;foreign-keys&gt;&lt;key app="EN" db-id="zsrseat5ww9t5devdf1prxd7r0errx92pd5v" timestamp="1522602742"&gt;29&lt;/key&gt;&lt;key app="ENWeb" db-id=""&gt;0&lt;/key&gt;&lt;/foreign-keys&gt;&lt;ref-type name="Book"&gt;6&lt;/ref-type&gt;&lt;contributors&gt;&lt;authors&gt;&lt;author&gt;Norman L. Rosenberg&lt;/author&gt;&lt;/authors&gt;&lt;/contributors&gt;&lt;titles&gt;&lt;title&gt;Protecting the Best Men: An Interpretive History of the Law of Libel&lt;/title&gt;&lt;/titles&gt;&lt;dates&gt;&lt;year&gt;1986&lt;/year&gt;&lt;/dates&gt;&lt;pub-location&gt;Chapel Hill and London&lt;/pub-location&gt;&lt;publisher&gt;The University of North Carolina Press&lt;/publisher&gt;&lt;urls&gt;&lt;/urls&gt;&lt;/record&gt;&lt;/Cite&gt;&lt;/EndNote&gt;</w:instrText>
      </w:r>
      <w:r>
        <w:fldChar w:fldCharType="separate"/>
      </w:r>
      <w:r>
        <w:rPr>
          <w:noProof/>
        </w:rPr>
        <w:t>Rosenberg.</w:t>
      </w:r>
      <w:r>
        <w:fldChar w:fldCharType="end"/>
      </w:r>
      <w:r>
        <w:t>, 149-150</w:t>
      </w:r>
    </w:p>
  </w:footnote>
  <w:footnote w:id="29">
    <w:p w:rsidR="00C256A7" w:rsidRDefault="00C256A7">
      <w:pPr>
        <w:pStyle w:val="FootnoteText"/>
      </w:pPr>
      <w:r>
        <w:rPr>
          <w:rStyle w:val="FootnoteReference"/>
        </w:rPr>
        <w:footnoteRef/>
      </w:r>
      <w:r>
        <w:t xml:space="preserve"> </w:t>
      </w:r>
      <w:r>
        <w:fldChar w:fldCharType="begin"/>
      </w:r>
      <w:r>
        <w:instrText xml:space="preserve"> ADDIN EN.CITE &lt;EndNote&gt;&lt;Cite&gt;&lt;Author&gt;DeLombard&lt;/Author&gt;&lt;Year&gt;2007&lt;/Year&gt;&lt;RecNum&gt;54&lt;/RecNum&gt;&lt;DisplayText&gt;DeLombard.&lt;/DisplayText&gt;&lt;record&gt;&lt;rec-number&gt;54&lt;/rec-number&gt;&lt;foreign-keys&gt;&lt;key app="EN" db-id="zsrseat5ww9t5devdf1prxd7r0errx92pd5v" timestamp="1525797364"&gt;54&lt;/key&gt;&lt;/foreign-keys&gt;&lt;ref-type name="Book"&gt;6&lt;/ref-type&gt;&lt;contributors&gt;&lt;authors&gt;&lt;author&gt;Jeannine Marie DeLombard&lt;/author&gt;&lt;/authors&gt;&lt;/contributors&gt;&lt;titles&gt;&lt;title&gt;Slavery on Trial: Law, Abolitionism, and Print Culture&lt;/title&gt;&lt;/titles&gt;&lt;dates&gt;&lt;year&gt;2007&lt;/year&gt;&lt;/dates&gt;&lt;pub-location&gt;Chapel Hill&lt;/pub-location&gt;&lt;publisher&gt;University of North Carolina Press&lt;/publisher&gt;&lt;urls&gt;&lt;/urls&gt;&lt;/record&gt;&lt;/Cite&gt;&lt;/EndNote&gt;</w:instrText>
      </w:r>
      <w:r>
        <w:fldChar w:fldCharType="separate"/>
      </w:r>
      <w:r>
        <w:rPr>
          <w:noProof/>
        </w:rPr>
        <w:t>DeLombard.</w:t>
      </w:r>
      <w:r>
        <w:fldChar w:fldCharType="end"/>
      </w:r>
      <w:r>
        <w:t>, 51.</w:t>
      </w:r>
    </w:p>
  </w:footnote>
  <w:footnote w:id="30">
    <w:p w:rsidR="000167AF" w:rsidRDefault="000167AF">
      <w:pPr>
        <w:pStyle w:val="FootnoteText"/>
      </w:pPr>
      <w:r>
        <w:rPr>
          <w:rStyle w:val="FootnoteReference"/>
        </w:rPr>
        <w:footnoteRef/>
      </w:r>
      <w:r>
        <w:t xml:space="preserve"> </w:t>
      </w:r>
      <w:r>
        <w:fldChar w:fldCharType="begin"/>
      </w:r>
      <w:r>
        <w:instrText xml:space="preserve"> ADDIN EN.CITE &lt;EndNote&gt;&lt;Cite&gt;&lt;Author&gt;Garrison&lt;/Author&gt;&lt;Year&gt;1834&lt;/Year&gt;&lt;RecNum&gt;53&lt;/RecNum&gt;&lt;DisplayText&gt;Garrison.&lt;/DisplayText&gt;&lt;record&gt;&lt;rec-number&gt;53&lt;/rec-number&gt;&lt;foreign-keys&gt;&lt;key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Pr>
          <w:noProof/>
        </w:rPr>
        <w:t>Garrison.</w:t>
      </w:r>
      <w:r>
        <w:fldChar w:fldCharType="end"/>
      </w:r>
      <w:r w:rsidR="00526E93">
        <w:t>, 11</w:t>
      </w:r>
      <w:r>
        <w:t>.</w:t>
      </w:r>
    </w:p>
  </w:footnote>
  <w:footnote w:id="31">
    <w:p w:rsidR="00AA26B0" w:rsidRDefault="00AA26B0">
      <w:pPr>
        <w:pStyle w:val="FootnoteText"/>
      </w:pPr>
      <w:r>
        <w:rPr>
          <w:rStyle w:val="FootnoteReference"/>
        </w:rPr>
        <w:footnoteRef/>
      </w:r>
      <w:r>
        <w:t xml:space="preserve"> </w:t>
      </w:r>
      <w:r>
        <w:fldChar w:fldCharType="begin"/>
      </w:r>
      <w:r w:rsidR="000167AF">
        <w:instrText xml:space="preserve"> ADDIN EN.CITE &lt;EndNote&gt;&lt;Cite&gt;&lt;Author&gt;Garrison&lt;/Author&gt;&lt;Year&gt;1834&lt;/Year&gt;&lt;RecNum&gt;53&lt;/RecNum&gt;&lt;DisplayText&gt;Ibid.&lt;/DisplayText&gt;&lt;record&gt;&lt;rec-number&gt;53&lt;/rec-number&gt;&lt;foreign-keys&gt;&lt;key app="EN" db-id="zsrseat5ww9t5devdf1prxd7r0errx92pd5v" timestamp="1525731944"&gt;53&lt;/key&gt;&lt;/foreign-keys&gt;&lt;ref-type name="Pamphlet"&gt;24&lt;/ref-type&gt;&lt;contributors&gt;&lt;authors&gt;&lt;author&gt;William Lloyd Garrison&lt;/author&gt;&lt;/authors&gt;&lt;/contributors&gt;&lt;titles&gt;&lt;title&gt;A Brief Sketch of the Trial of William Lloyd Garriosn, For an Alleged Libel on Francis Todd, of Newburyport, Mass.&lt;/title&gt;&lt;/titles&gt;&lt;dates&gt;&lt;year&gt;1834&lt;/year&gt;&lt;/dates&gt;&lt;pub-location&gt;Boston&lt;/pub-location&gt;&lt;publisher&gt;Garrison and Knapp&lt;/publisher&gt;&lt;urls&gt;&lt;/urls&gt;&lt;/record&gt;&lt;/Cite&gt;&lt;/EndNote&gt;</w:instrText>
      </w:r>
      <w:r>
        <w:fldChar w:fldCharType="separate"/>
      </w:r>
      <w:r w:rsidR="000167AF">
        <w:rPr>
          <w:noProof/>
        </w:rPr>
        <w:t>Ibid.</w:t>
      </w:r>
      <w:r>
        <w:fldChar w:fldCharType="end"/>
      </w:r>
      <w:r>
        <w:t>, 10-11.</w:t>
      </w:r>
    </w:p>
  </w:footnote>
  <w:footnote w:id="32">
    <w:p w:rsidR="007D7BDA" w:rsidRDefault="007D7BDA">
      <w:pPr>
        <w:pStyle w:val="FootnoteText"/>
      </w:pPr>
      <w:r>
        <w:rPr>
          <w:rStyle w:val="FootnoteReference"/>
        </w:rPr>
        <w:footnoteRef/>
      </w:r>
      <w:r>
        <w:t xml:space="preserve"> </w:t>
      </w:r>
      <w:r>
        <w:fldChar w:fldCharType="begin"/>
      </w:r>
      <w:r>
        <w:instrText xml:space="preserve"> ADDIN EN.CITE &lt;EndNote&gt;&lt;Cite&gt;&lt;Year&gt;Feb 1841&lt;/Year&gt;&lt;RecNum&gt;51&lt;/RecNum&gt;&lt;DisplayText&gt;&amp;quot;Proceedings against William Lloyd Garrison, for a Libel.: “Black List.” Horrible News—Domestic and Foreign. The Ship Francis..&amp;quot;&lt;/DisplayText&gt;&lt;record&gt;&lt;rec-number&gt;51&lt;/rec-number&gt;&lt;foreign-keys&gt;&lt;key app="EN" db-id="zsrseat5ww9t5devdf1prxd7r0errx92pd5v" timestamp="1525725867"&gt;51&lt;/key&gt;&lt;/foreign-keys&gt;&lt;ref-type name="Journal Article"&gt;17&lt;/ref-type&gt;&lt;contributors&gt;&lt;/contributors&gt;&lt;titles&gt;&lt;title&gt;PROCEEDINGS AGAINST WILLIAM LLOYD GARRISON, FOR A LIBEL.: “BLACK LIST.” Horrible News—Domestic and Foreign. The Ship Francis.&lt;/title&gt;&lt;secondary-title&gt;The Baltimore Literary and Religious Magazine&lt;/secondary-title&gt;&lt;/titles&gt;&lt;periodical&gt;&lt;full-title&gt;The Baltimore Literary and Religious Magazine&lt;/full-title&gt;&lt;/periodical&gt;&lt;volume&gt;7&lt;/volume&gt;&lt;number&gt;2&lt;/number&gt;&lt;section&gt;49&lt;/section&gt;&lt;dates&gt;&lt;year&gt;Feb 1841&lt;/year&gt;&lt;/dates&gt;&lt;urls&gt;&lt;/urls&gt;&lt;/record&gt;&lt;/Cite&gt;&lt;/EndNote&gt;</w:instrText>
      </w:r>
      <w:r>
        <w:fldChar w:fldCharType="separate"/>
      </w:r>
      <w:r>
        <w:rPr>
          <w:noProof/>
        </w:rPr>
        <w:t>"Proceedings against William Lloyd Garrison, for a Libel.: “Black List.” Horrible News—Domestic and Foreign. The Ship Francis.."</w:t>
      </w:r>
      <w:r>
        <w:fldChar w:fldCharType="end"/>
      </w:r>
      <w:r>
        <w:t>, 2.</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Chicago 16th Footnote&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srseat5ww9t5devdf1prxd7r0errx92pd5v&quot;&gt;My EndNote Library&lt;record-ids&gt;&lt;item&gt;29&lt;/item&gt;&lt;item&gt;41&lt;/item&gt;&lt;item&gt;51&lt;/item&gt;&lt;item&gt;52&lt;/item&gt;&lt;item&gt;53&lt;/item&gt;&lt;item&gt;54&lt;/item&gt;&lt;item&gt;56&lt;/item&gt;&lt;/record-ids&gt;&lt;/item&gt;&lt;/Libraries&gt;"/>
  </w:docVars>
  <w:rsids>
    <w:rsidRoot w:val="007A0103"/>
    <w:rsid w:val="00007655"/>
    <w:rsid w:val="00012378"/>
    <w:rsid w:val="000167AF"/>
    <w:rsid w:val="00026C66"/>
    <w:rsid w:val="00030093"/>
    <w:rsid w:val="00031398"/>
    <w:rsid w:val="000425D4"/>
    <w:rsid w:val="00050326"/>
    <w:rsid w:val="000521DA"/>
    <w:rsid w:val="00060DAA"/>
    <w:rsid w:val="00062BD9"/>
    <w:rsid w:val="00067345"/>
    <w:rsid w:val="000756F2"/>
    <w:rsid w:val="00076B38"/>
    <w:rsid w:val="0008241F"/>
    <w:rsid w:val="00093318"/>
    <w:rsid w:val="000A5D55"/>
    <w:rsid w:val="000B20C9"/>
    <w:rsid w:val="000B2394"/>
    <w:rsid w:val="000E19F5"/>
    <w:rsid w:val="001016E6"/>
    <w:rsid w:val="001059A8"/>
    <w:rsid w:val="0011770E"/>
    <w:rsid w:val="00117CBE"/>
    <w:rsid w:val="00121E58"/>
    <w:rsid w:val="0012284E"/>
    <w:rsid w:val="00130CAE"/>
    <w:rsid w:val="0013610B"/>
    <w:rsid w:val="001473EB"/>
    <w:rsid w:val="001611DF"/>
    <w:rsid w:val="0019219F"/>
    <w:rsid w:val="001C004A"/>
    <w:rsid w:val="001C0BF4"/>
    <w:rsid w:val="001C0D04"/>
    <w:rsid w:val="001D2A5F"/>
    <w:rsid w:val="001D480D"/>
    <w:rsid w:val="002002B3"/>
    <w:rsid w:val="00206F47"/>
    <w:rsid w:val="0022350E"/>
    <w:rsid w:val="002314B8"/>
    <w:rsid w:val="00255D56"/>
    <w:rsid w:val="00261D58"/>
    <w:rsid w:val="002822D3"/>
    <w:rsid w:val="002A1440"/>
    <w:rsid w:val="002A469C"/>
    <w:rsid w:val="002A74D0"/>
    <w:rsid w:val="002B2642"/>
    <w:rsid w:val="002C0F83"/>
    <w:rsid w:val="002E16D4"/>
    <w:rsid w:val="002E7408"/>
    <w:rsid w:val="002F7B96"/>
    <w:rsid w:val="00323D29"/>
    <w:rsid w:val="00323DB4"/>
    <w:rsid w:val="00347C67"/>
    <w:rsid w:val="003508DF"/>
    <w:rsid w:val="00353C28"/>
    <w:rsid w:val="0039783A"/>
    <w:rsid w:val="003A0CC7"/>
    <w:rsid w:val="003A7216"/>
    <w:rsid w:val="003B2699"/>
    <w:rsid w:val="003B4E44"/>
    <w:rsid w:val="003B505D"/>
    <w:rsid w:val="003C1674"/>
    <w:rsid w:val="003C31C5"/>
    <w:rsid w:val="003C65D0"/>
    <w:rsid w:val="003F1D2D"/>
    <w:rsid w:val="003F487A"/>
    <w:rsid w:val="003F6D4F"/>
    <w:rsid w:val="00406C99"/>
    <w:rsid w:val="00434796"/>
    <w:rsid w:val="00442315"/>
    <w:rsid w:val="00453ABD"/>
    <w:rsid w:val="00455981"/>
    <w:rsid w:val="004960BF"/>
    <w:rsid w:val="004A0F30"/>
    <w:rsid w:val="004D2A7F"/>
    <w:rsid w:val="004D466B"/>
    <w:rsid w:val="004F5535"/>
    <w:rsid w:val="004F7FAA"/>
    <w:rsid w:val="00510F1A"/>
    <w:rsid w:val="005128A7"/>
    <w:rsid w:val="005145E0"/>
    <w:rsid w:val="00526E93"/>
    <w:rsid w:val="00527361"/>
    <w:rsid w:val="0053372F"/>
    <w:rsid w:val="005343E7"/>
    <w:rsid w:val="00552027"/>
    <w:rsid w:val="0055793D"/>
    <w:rsid w:val="005738C6"/>
    <w:rsid w:val="00574428"/>
    <w:rsid w:val="00584194"/>
    <w:rsid w:val="005A511F"/>
    <w:rsid w:val="005B6221"/>
    <w:rsid w:val="005D6720"/>
    <w:rsid w:val="005F232C"/>
    <w:rsid w:val="0060048F"/>
    <w:rsid w:val="006122D4"/>
    <w:rsid w:val="00613B24"/>
    <w:rsid w:val="006168AC"/>
    <w:rsid w:val="00617452"/>
    <w:rsid w:val="00643C62"/>
    <w:rsid w:val="0065147C"/>
    <w:rsid w:val="006532F1"/>
    <w:rsid w:val="00661BD7"/>
    <w:rsid w:val="0066563B"/>
    <w:rsid w:val="006B4DC7"/>
    <w:rsid w:val="006C4E55"/>
    <w:rsid w:val="006C5768"/>
    <w:rsid w:val="006F49B5"/>
    <w:rsid w:val="006F51F2"/>
    <w:rsid w:val="006F6115"/>
    <w:rsid w:val="0072780D"/>
    <w:rsid w:val="00732906"/>
    <w:rsid w:val="00764512"/>
    <w:rsid w:val="007726D0"/>
    <w:rsid w:val="007726EA"/>
    <w:rsid w:val="00777F9B"/>
    <w:rsid w:val="00782334"/>
    <w:rsid w:val="00791E75"/>
    <w:rsid w:val="007A0103"/>
    <w:rsid w:val="007C2250"/>
    <w:rsid w:val="007C6E38"/>
    <w:rsid w:val="007D7BDA"/>
    <w:rsid w:val="007E1B31"/>
    <w:rsid w:val="007F30C8"/>
    <w:rsid w:val="00822719"/>
    <w:rsid w:val="00827314"/>
    <w:rsid w:val="008305CE"/>
    <w:rsid w:val="00836EB7"/>
    <w:rsid w:val="00865E69"/>
    <w:rsid w:val="008712B9"/>
    <w:rsid w:val="00883410"/>
    <w:rsid w:val="00884C2C"/>
    <w:rsid w:val="008901D6"/>
    <w:rsid w:val="00893326"/>
    <w:rsid w:val="008949CA"/>
    <w:rsid w:val="008A67E1"/>
    <w:rsid w:val="008A7473"/>
    <w:rsid w:val="008B14DB"/>
    <w:rsid w:val="008B62DA"/>
    <w:rsid w:val="008B75F2"/>
    <w:rsid w:val="008C5872"/>
    <w:rsid w:val="008C7F7D"/>
    <w:rsid w:val="008E2B1E"/>
    <w:rsid w:val="00923BCB"/>
    <w:rsid w:val="00935B3B"/>
    <w:rsid w:val="009530B4"/>
    <w:rsid w:val="009871A2"/>
    <w:rsid w:val="009A37BD"/>
    <w:rsid w:val="009A714C"/>
    <w:rsid w:val="009B4335"/>
    <w:rsid w:val="009C0548"/>
    <w:rsid w:val="009D521A"/>
    <w:rsid w:val="009E35C2"/>
    <w:rsid w:val="009F2A06"/>
    <w:rsid w:val="00A27C53"/>
    <w:rsid w:val="00A31654"/>
    <w:rsid w:val="00A41E12"/>
    <w:rsid w:val="00A64E1E"/>
    <w:rsid w:val="00A673CC"/>
    <w:rsid w:val="00A67866"/>
    <w:rsid w:val="00A70666"/>
    <w:rsid w:val="00A75319"/>
    <w:rsid w:val="00A7604A"/>
    <w:rsid w:val="00A83C71"/>
    <w:rsid w:val="00AA26B0"/>
    <w:rsid w:val="00AB32A7"/>
    <w:rsid w:val="00AB32C6"/>
    <w:rsid w:val="00AB39AA"/>
    <w:rsid w:val="00AE4701"/>
    <w:rsid w:val="00AF3F00"/>
    <w:rsid w:val="00B05FD2"/>
    <w:rsid w:val="00B06C62"/>
    <w:rsid w:val="00B17B69"/>
    <w:rsid w:val="00B22CE3"/>
    <w:rsid w:val="00B31B8C"/>
    <w:rsid w:val="00B508AC"/>
    <w:rsid w:val="00B645C6"/>
    <w:rsid w:val="00B66C55"/>
    <w:rsid w:val="00B926EE"/>
    <w:rsid w:val="00BA28F0"/>
    <w:rsid w:val="00BB5C66"/>
    <w:rsid w:val="00BB6670"/>
    <w:rsid w:val="00BC41F0"/>
    <w:rsid w:val="00BC516C"/>
    <w:rsid w:val="00BD72E8"/>
    <w:rsid w:val="00BE5A54"/>
    <w:rsid w:val="00C207D0"/>
    <w:rsid w:val="00C256A7"/>
    <w:rsid w:val="00C2633C"/>
    <w:rsid w:val="00C47C2B"/>
    <w:rsid w:val="00C61ED3"/>
    <w:rsid w:val="00C77340"/>
    <w:rsid w:val="00CB0F79"/>
    <w:rsid w:val="00CB650C"/>
    <w:rsid w:val="00CC59B6"/>
    <w:rsid w:val="00CD582C"/>
    <w:rsid w:val="00CE6B5F"/>
    <w:rsid w:val="00CF4155"/>
    <w:rsid w:val="00CF4432"/>
    <w:rsid w:val="00D36DCB"/>
    <w:rsid w:val="00D94E1F"/>
    <w:rsid w:val="00D9637F"/>
    <w:rsid w:val="00DC17AF"/>
    <w:rsid w:val="00DC6295"/>
    <w:rsid w:val="00DE0362"/>
    <w:rsid w:val="00DE4260"/>
    <w:rsid w:val="00DE4D9C"/>
    <w:rsid w:val="00DF06FA"/>
    <w:rsid w:val="00E025B4"/>
    <w:rsid w:val="00E13709"/>
    <w:rsid w:val="00E16B6B"/>
    <w:rsid w:val="00E26B07"/>
    <w:rsid w:val="00E30560"/>
    <w:rsid w:val="00E33544"/>
    <w:rsid w:val="00E47DF8"/>
    <w:rsid w:val="00E67D1A"/>
    <w:rsid w:val="00E717A8"/>
    <w:rsid w:val="00E73E8A"/>
    <w:rsid w:val="00E87ED0"/>
    <w:rsid w:val="00E94B54"/>
    <w:rsid w:val="00EA2BAB"/>
    <w:rsid w:val="00EC4CFA"/>
    <w:rsid w:val="00F1489D"/>
    <w:rsid w:val="00F15318"/>
    <w:rsid w:val="00F24E42"/>
    <w:rsid w:val="00F30D58"/>
    <w:rsid w:val="00F36A21"/>
    <w:rsid w:val="00F40F4B"/>
    <w:rsid w:val="00F803F1"/>
    <w:rsid w:val="00FD49C3"/>
    <w:rsid w:val="00FE58CC"/>
    <w:rsid w:val="00FF4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D10A6"/>
  <w15:chartTrackingRefBased/>
  <w15:docId w15:val="{E21D2858-C3BA-4A4C-8A6F-BFC105C7A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A28F0"/>
    <w:rPr>
      <w:sz w:val="20"/>
      <w:szCs w:val="20"/>
    </w:rPr>
  </w:style>
  <w:style w:type="character" w:customStyle="1" w:styleId="FootnoteTextChar">
    <w:name w:val="Footnote Text Char"/>
    <w:basedOn w:val="DefaultParagraphFont"/>
    <w:link w:val="FootnoteText"/>
    <w:uiPriority w:val="99"/>
    <w:semiHidden/>
    <w:rsid w:val="00BA28F0"/>
    <w:rPr>
      <w:sz w:val="20"/>
      <w:szCs w:val="20"/>
    </w:rPr>
  </w:style>
  <w:style w:type="character" w:styleId="FootnoteReference">
    <w:name w:val="footnote reference"/>
    <w:basedOn w:val="DefaultParagraphFont"/>
    <w:uiPriority w:val="99"/>
    <w:semiHidden/>
    <w:unhideWhenUsed/>
    <w:rsid w:val="00BA28F0"/>
    <w:rPr>
      <w:vertAlign w:val="superscript"/>
    </w:rPr>
  </w:style>
  <w:style w:type="paragraph" w:customStyle="1" w:styleId="EndNoteBibliographyTitle">
    <w:name w:val="EndNote Bibliography Title"/>
    <w:basedOn w:val="Normal"/>
    <w:link w:val="EndNoteBibliographyTitleChar"/>
    <w:rsid w:val="00BA28F0"/>
    <w:pPr>
      <w:jc w:val="center"/>
    </w:pPr>
    <w:rPr>
      <w:rFonts w:cs="Times New Roman"/>
    </w:rPr>
  </w:style>
  <w:style w:type="character" w:customStyle="1" w:styleId="EndNoteBibliographyTitleChar">
    <w:name w:val="EndNote Bibliography Title Char"/>
    <w:basedOn w:val="FootnoteTextChar"/>
    <w:link w:val="EndNoteBibliographyTitle"/>
    <w:rsid w:val="00BA28F0"/>
    <w:rPr>
      <w:rFonts w:cs="Times New Roman"/>
      <w:sz w:val="20"/>
      <w:szCs w:val="20"/>
    </w:rPr>
  </w:style>
  <w:style w:type="paragraph" w:customStyle="1" w:styleId="EndNoteBibliography">
    <w:name w:val="EndNote Bibliography"/>
    <w:basedOn w:val="Normal"/>
    <w:link w:val="EndNoteBibliographyChar"/>
    <w:rsid w:val="00BA28F0"/>
    <w:rPr>
      <w:rFonts w:cs="Times New Roman"/>
    </w:rPr>
  </w:style>
  <w:style w:type="character" w:customStyle="1" w:styleId="EndNoteBibliographyChar">
    <w:name w:val="EndNote Bibliography Char"/>
    <w:basedOn w:val="FootnoteTextChar"/>
    <w:link w:val="EndNoteBibliography"/>
    <w:rsid w:val="00BA28F0"/>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322</TotalTime>
  <Pages>11</Pages>
  <Words>2667</Words>
  <Characters>15202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Atkins</dc:creator>
  <cp:keywords/>
  <dc:description/>
  <cp:lastModifiedBy>Holly Atkins</cp:lastModifiedBy>
  <cp:revision>75</cp:revision>
  <dcterms:created xsi:type="dcterms:W3CDTF">2018-05-07T20:14:00Z</dcterms:created>
  <dcterms:modified xsi:type="dcterms:W3CDTF">2018-05-13T17:19:00Z</dcterms:modified>
</cp:coreProperties>
</file>