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1D6B1" w14:textId="77777777" w:rsidR="00D36DCB" w:rsidRDefault="00D36DCB"/>
    <w:p w14:paraId="58E61C91" w14:textId="77777777" w:rsidR="00504EA0" w:rsidRDefault="00504EA0"/>
    <w:p w14:paraId="0EE2BF78" w14:textId="77777777" w:rsidR="00504EA0" w:rsidRDefault="00504EA0"/>
    <w:p w14:paraId="2BD81B70" w14:textId="77777777" w:rsidR="00504EA0" w:rsidRDefault="00504EA0"/>
    <w:p w14:paraId="1CA15E0C" w14:textId="77777777" w:rsidR="00504EA0" w:rsidRDefault="00504EA0"/>
    <w:p w14:paraId="75A1BB56" w14:textId="77777777" w:rsidR="00504EA0" w:rsidRDefault="00504EA0"/>
    <w:p w14:paraId="589CCF4C" w14:textId="77777777" w:rsidR="00504EA0" w:rsidRDefault="00504EA0"/>
    <w:p w14:paraId="12C97698" w14:textId="77777777" w:rsidR="00504EA0" w:rsidRDefault="00504EA0"/>
    <w:p w14:paraId="55D772D8" w14:textId="77777777" w:rsidR="00504EA0" w:rsidRDefault="00504EA0"/>
    <w:p w14:paraId="455DA934" w14:textId="77777777" w:rsidR="00504EA0" w:rsidRDefault="00504EA0"/>
    <w:p w14:paraId="3530F679" w14:textId="77777777" w:rsidR="00504EA0" w:rsidRDefault="00504EA0" w:rsidP="00C83BF7">
      <w:pPr>
        <w:spacing w:line="480" w:lineRule="auto"/>
      </w:pPr>
    </w:p>
    <w:p w14:paraId="326C5DD8" w14:textId="64664FF3" w:rsidR="00504EA0" w:rsidRDefault="00863E82" w:rsidP="00863E82">
      <w:pPr>
        <w:spacing w:line="480" w:lineRule="auto"/>
        <w:jc w:val="center"/>
      </w:pPr>
      <w:r>
        <w:t>All</w:t>
      </w:r>
      <w:r w:rsidR="00875DF2">
        <w:t>’s</w:t>
      </w:r>
      <w:r>
        <w:t xml:space="preserve"> Fair in Print and </w:t>
      </w:r>
      <w:r w:rsidR="004F6643">
        <w:t>Politics</w:t>
      </w:r>
      <w:r w:rsidR="00C547DB">
        <w:t xml:space="preserve">: The Democratic Principle and the Rise of the Partisan Press in </w:t>
      </w:r>
      <w:r w:rsidR="004F314D">
        <w:t>Early 19</w:t>
      </w:r>
      <w:r w:rsidR="004F314D" w:rsidRPr="004F314D">
        <w:rPr>
          <w:vertAlign w:val="superscript"/>
        </w:rPr>
        <w:t>th</w:t>
      </w:r>
      <w:r w:rsidR="004F314D">
        <w:t xml:space="preserve"> Century</w:t>
      </w:r>
      <w:r w:rsidR="00C547DB">
        <w:t xml:space="preserve"> America</w:t>
      </w:r>
    </w:p>
    <w:p w14:paraId="0258F1CD" w14:textId="77777777" w:rsidR="00504EA0" w:rsidRDefault="00504EA0" w:rsidP="00504EA0">
      <w:pPr>
        <w:jc w:val="center"/>
      </w:pPr>
    </w:p>
    <w:p w14:paraId="29410025" w14:textId="77777777" w:rsidR="00504EA0" w:rsidRDefault="00504EA0" w:rsidP="00504EA0">
      <w:pPr>
        <w:jc w:val="center"/>
      </w:pPr>
    </w:p>
    <w:p w14:paraId="3DAF4789" w14:textId="77777777" w:rsidR="00504EA0" w:rsidRDefault="00504EA0" w:rsidP="00504EA0">
      <w:pPr>
        <w:jc w:val="center"/>
      </w:pPr>
    </w:p>
    <w:p w14:paraId="0858372D" w14:textId="77777777" w:rsidR="00504EA0" w:rsidRDefault="00504EA0" w:rsidP="00504EA0">
      <w:pPr>
        <w:jc w:val="center"/>
      </w:pPr>
    </w:p>
    <w:p w14:paraId="3B497C1C" w14:textId="77777777" w:rsidR="00504EA0" w:rsidRDefault="00504EA0" w:rsidP="00504EA0">
      <w:pPr>
        <w:jc w:val="center"/>
      </w:pPr>
    </w:p>
    <w:p w14:paraId="0D2B11F2" w14:textId="77777777" w:rsidR="00504EA0" w:rsidRDefault="00504EA0" w:rsidP="00504EA0">
      <w:pPr>
        <w:jc w:val="center"/>
      </w:pPr>
    </w:p>
    <w:p w14:paraId="485C273D" w14:textId="77777777" w:rsidR="00504EA0" w:rsidRDefault="00504EA0" w:rsidP="00504EA0">
      <w:pPr>
        <w:jc w:val="center"/>
      </w:pPr>
    </w:p>
    <w:p w14:paraId="125A1D17" w14:textId="77777777" w:rsidR="00504EA0" w:rsidRDefault="00504EA0" w:rsidP="00504EA0">
      <w:pPr>
        <w:jc w:val="center"/>
      </w:pPr>
    </w:p>
    <w:p w14:paraId="261AAB3D" w14:textId="77777777" w:rsidR="00504EA0" w:rsidRDefault="00504EA0" w:rsidP="00504EA0">
      <w:pPr>
        <w:jc w:val="center"/>
      </w:pPr>
      <w:r>
        <w:t>Holly Atkins</w:t>
      </w:r>
    </w:p>
    <w:p w14:paraId="6827F942" w14:textId="77777777" w:rsidR="00504EA0" w:rsidRDefault="00504EA0" w:rsidP="00504EA0">
      <w:pPr>
        <w:jc w:val="center"/>
      </w:pPr>
    </w:p>
    <w:p w14:paraId="6092385C" w14:textId="77777777" w:rsidR="00504EA0" w:rsidRDefault="00504EA0" w:rsidP="00504EA0">
      <w:pPr>
        <w:jc w:val="center"/>
      </w:pPr>
    </w:p>
    <w:p w14:paraId="64890407" w14:textId="77777777" w:rsidR="00504EA0" w:rsidRDefault="00504EA0" w:rsidP="00504EA0">
      <w:pPr>
        <w:jc w:val="center"/>
      </w:pPr>
    </w:p>
    <w:p w14:paraId="776C5BE1" w14:textId="77777777" w:rsidR="00504EA0" w:rsidRDefault="00504EA0" w:rsidP="00504EA0">
      <w:pPr>
        <w:jc w:val="center"/>
      </w:pPr>
    </w:p>
    <w:p w14:paraId="130DB0B1" w14:textId="77777777" w:rsidR="00504EA0" w:rsidRDefault="00504EA0" w:rsidP="00504EA0">
      <w:pPr>
        <w:jc w:val="center"/>
      </w:pPr>
    </w:p>
    <w:p w14:paraId="0F4023C9" w14:textId="77777777" w:rsidR="00504EA0" w:rsidRDefault="00504EA0" w:rsidP="00504EA0">
      <w:pPr>
        <w:jc w:val="center"/>
      </w:pPr>
    </w:p>
    <w:p w14:paraId="2AA99350" w14:textId="77777777" w:rsidR="00504EA0" w:rsidRDefault="00504EA0" w:rsidP="00504EA0">
      <w:pPr>
        <w:jc w:val="center"/>
      </w:pPr>
    </w:p>
    <w:p w14:paraId="46852DDE" w14:textId="77777777" w:rsidR="00504EA0" w:rsidRDefault="00504EA0" w:rsidP="00504EA0">
      <w:pPr>
        <w:jc w:val="center"/>
      </w:pPr>
    </w:p>
    <w:p w14:paraId="7E3D7443" w14:textId="77777777" w:rsidR="00504EA0" w:rsidRDefault="00504EA0" w:rsidP="00504EA0">
      <w:pPr>
        <w:jc w:val="center"/>
      </w:pPr>
    </w:p>
    <w:p w14:paraId="16A22DA5" w14:textId="77777777" w:rsidR="00504EA0" w:rsidRDefault="00504EA0" w:rsidP="00504EA0">
      <w:pPr>
        <w:jc w:val="center"/>
      </w:pPr>
    </w:p>
    <w:p w14:paraId="66BDDDCB" w14:textId="77777777" w:rsidR="00504EA0" w:rsidRDefault="00504EA0" w:rsidP="00504EA0">
      <w:pPr>
        <w:jc w:val="center"/>
      </w:pPr>
    </w:p>
    <w:p w14:paraId="1CF2A032" w14:textId="77777777" w:rsidR="00504EA0" w:rsidRDefault="00504EA0" w:rsidP="00504EA0">
      <w:pPr>
        <w:jc w:val="center"/>
      </w:pPr>
    </w:p>
    <w:p w14:paraId="22F863C6" w14:textId="77777777" w:rsidR="00504EA0" w:rsidRDefault="00504EA0" w:rsidP="00504EA0">
      <w:pPr>
        <w:jc w:val="center"/>
      </w:pPr>
    </w:p>
    <w:p w14:paraId="2E1872F4" w14:textId="77777777" w:rsidR="00215B35" w:rsidRDefault="00215B35" w:rsidP="00C83BF7">
      <w:pPr>
        <w:spacing w:line="480" w:lineRule="auto"/>
      </w:pPr>
    </w:p>
    <w:p w14:paraId="7AFED42D" w14:textId="77777777" w:rsidR="00504EA0" w:rsidRDefault="00504EA0" w:rsidP="00504EA0">
      <w:pPr>
        <w:spacing w:line="480" w:lineRule="auto"/>
        <w:jc w:val="center"/>
      </w:pPr>
      <w:r>
        <w:t>HIS 635 Research Seminar</w:t>
      </w:r>
    </w:p>
    <w:p w14:paraId="1D1EC4E0" w14:textId="77777777" w:rsidR="00504EA0" w:rsidRDefault="00504EA0" w:rsidP="00504EA0">
      <w:pPr>
        <w:spacing w:line="480" w:lineRule="auto"/>
        <w:jc w:val="center"/>
      </w:pPr>
      <w:r>
        <w:t>Dr. Adam Rome</w:t>
      </w:r>
    </w:p>
    <w:p w14:paraId="40738909" w14:textId="525F0EC6" w:rsidR="00504EA0" w:rsidRDefault="00556A5E" w:rsidP="00504EA0">
      <w:pPr>
        <w:spacing w:line="480" w:lineRule="auto"/>
        <w:jc w:val="center"/>
      </w:pPr>
      <w:r>
        <w:t>5/17</w:t>
      </w:r>
      <w:r w:rsidR="001C6D0B">
        <w:t>/18</w:t>
      </w:r>
    </w:p>
    <w:p w14:paraId="22D56DF1" w14:textId="366B3672" w:rsidR="00B93C36" w:rsidRPr="00B93C36" w:rsidRDefault="00B93C36" w:rsidP="00B93C36">
      <w:pPr>
        <w:spacing w:line="480" w:lineRule="auto"/>
        <w:jc w:val="center"/>
        <w:rPr>
          <w:b/>
        </w:rPr>
      </w:pPr>
      <w:r w:rsidRPr="00B93C36">
        <w:rPr>
          <w:b/>
        </w:rPr>
        <w:lastRenderedPageBreak/>
        <w:t>Abstract</w:t>
      </w:r>
    </w:p>
    <w:p w14:paraId="4F48C99C" w14:textId="30A7676D" w:rsidR="00B93C36" w:rsidRDefault="00B93C36" w:rsidP="00F92534">
      <w:pPr>
        <w:ind w:left="1440" w:right="1440"/>
        <w:jc w:val="both"/>
      </w:pPr>
      <w:r>
        <w:t xml:space="preserve">In the inaugural issue of </w:t>
      </w:r>
      <w:r>
        <w:rPr>
          <w:i/>
        </w:rPr>
        <w:t xml:space="preserve">The United States Magazine and Democratic Review, </w:t>
      </w:r>
      <w:r>
        <w:t>John L. O’Sullivan writes of “that high and holy DEMOCRATIC PRINCIPLE which was designed to be the fundamental element of the new social and political system created by the ‘American experiment.’” This democratic principle—an ideology based on egalitarian thought and a fear of tyrannical power—maintained that the American democracy must be regulated by the education of the masses. As such, newspapers became the primary form of political education in antebellum America, and they were produced and sustained by the democratic ideology of this period. This paper argues that throughout the early 19</w:t>
      </w:r>
      <w:r w:rsidRPr="00B93C36">
        <w:rPr>
          <w:vertAlign w:val="superscript"/>
        </w:rPr>
        <w:t>th</w:t>
      </w:r>
      <w:r>
        <w:t xml:space="preserve"> century and culminating in the Election of 1828, the social and political systems of the “democratic principle” </w:t>
      </w:r>
      <w:r w:rsidR="007D7105">
        <w:t>established</w:t>
      </w:r>
      <w:r>
        <w:t xml:space="preserve"> the partisan press both in form and rhetoric. Put another way, the American democracy—including both the social systems of ideology and the political systems of public policy—helped to create and sustain the partisan press in every way—from the founding of newspaper enterprises to the rhetoric those newspapers deployed against their political enemies.</w:t>
      </w:r>
    </w:p>
    <w:p w14:paraId="7914DDA0" w14:textId="77777777" w:rsidR="00B93C36" w:rsidRDefault="00B93C36" w:rsidP="00C77958">
      <w:pPr>
        <w:spacing w:line="480" w:lineRule="auto"/>
      </w:pPr>
    </w:p>
    <w:p w14:paraId="2B5CF8EF" w14:textId="70E76B86" w:rsidR="00C65A37" w:rsidRDefault="00E9526F" w:rsidP="00B93C36">
      <w:pPr>
        <w:spacing w:line="480" w:lineRule="auto"/>
        <w:ind w:firstLine="720"/>
      </w:pPr>
      <w:r>
        <w:t xml:space="preserve">In October of 1837, John L. O’Sullivan published the first issue of </w:t>
      </w:r>
      <w:r>
        <w:rPr>
          <w:i/>
        </w:rPr>
        <w:t xml:space="preserve">The United States Magazine and Democratic Review. </w:t>
      </w:r>
      <w:r>
        <w:t xml:space="preserve">One of many </w:t>
      </w:r>
      <w:r w:rsidR="003069EA">
        <w:t xml:space="preserve">issues </w:t>
      </w:r>
      <w:r>
        <w:t xml:space="preserve">that would be published between the </w:t>
      </w:r>
      <w:r>
        <w:rPr>
          <w:i/>
        </w:rPr>
        <w:t xml:space="preserve">Democratic Review’s </w:t>
      </w:r>
      <w:r>
        <w:t>inaugural in 1837 until its fina</w:t>
      </w:r>
      <w:r w:rsidR="00D07A48">
        <w:t xml:space="preserve">l issue in 1859, the </w:t>
      </w:r>
      <w:r w:rsidR="003069EA">
        <w:rPr>
          <w:i/>
        </w:rPr>
        <w:t xml:space="preserve">Democratic Review </w:t>
      </w:r>
      <w:r w:rsidR="00DE14C1">
        <w:t xml:space="preserve">declared that </w:t>
      </w:r>
      <w:r w:rsidR="003069EA">
        <w:t xml:space="preserve">its </w:t>
      </w:r>
      <w:r>
        <w:t>intent was “for the advocacy of that high and holy DEMOCRATIC PRINCIPLE which was designed to be the fundamental element of the new social and political system created by the ‘American experiment.’”</w:t>
      </w:r>
      <w:r w:rsidR="00DE14C1">
        <w:t xml:space="preserve"> </w:t>
      </w:r>
      <w:r w:rsidR="00DD7A17">
        <w:t>The democratic principle, alongside its social and political systems, were, O’</w:t>
      </w:r>
      <w:r w:rsidR="00D07A48">
        <w:t>Sullivan argued</w:t>
      </w:r>
      <w:r w:rsidR="00DD7A17">
        <w:t xml:space="preserve">, in contest with that of the “anti-democratic, or </w:t>
      </w:r>
      <w:r w:rsidR="00DD7A17">
        <w:rPr>
          <w:i/>
        </w:rPr>
        <w:t xml:space="preserve">aristocratic, </w:t>
      </w:r>
      <w:r w:rsidR="00DD7A17">
        <w:t xml:space="preserve">principle” which </w:t>
      </w:r>
      <w:r w:rsidR="00D07A48">
        <w:t>maintained</w:t>
      </w:r>
      <w:r w:rsidR="00DD7A17">
        <w:t xml:space="preserve"> that</w:t>
      </w:r>
      <w:r w:rsidR="00BD385E">
        <w:t xml:space="preserve"> the democratic principle </w:t>
      </w:r>
      <w:r w:rsidR="00DD7A17">
        <w:t xml:space="preserve">must be </w:t>
      </w:r>
      <w:r w:rsidR="00BD385E">
        <w:t>regulated</w:t>
      </w:r>
      <w:r w:rsidR="00DD7A17">
        <w:t xml:space="preserve"> by the “‘more enlightened wisdom’ of the ‘better classes’.”</w:t>
      </w:r>
    </w:p>
    <w:p w14:paraId="28C6BA6C" w14:textId="5589B421" w:rsidR="00A07EDE" w:rsidRDefault="00D07A48" w:rsidP="00C77958">
      <w:pPr>
        <w:spacing w:line="480" w:lineRule="auto"/>
      </w:pPr>
      <w:r>
        <w:tab/>
        <w:t>The regulation of the enlightened, better classes was, in the eyes of O’</w:t>
      </w:r>
      <w:r w:rsidR="00A07EDE">
        <w:t xml:space="preserve">Sullivan, a ridiculous argument. </w:t>
      </w:r>
      <w:r>
        <w:t>There was no need for regulation by enlightened, better classes, because the people were already enlightened. “The general diffusion of education,” O’Sullivan assert</w:t>
      </w:r>
      <w:r w:rsidR="003069EA">
        <w:t>ed</w:t>
      </w:r>
      <w:r w:rsidR="00A07EDE">
        <w:t>:</w:t>
      </w:r>
    </w:p>
    <w:p w14:paraId="6AEA93A7" w14:textId="77777777" w:rsidR="00D07A48" w:rsidRDefault="00A07EDE" w:rsidP="00A07EDE">
      <w:pPr>
        <w:ind w:left="1440" w:right="1440"/>
        <w:jc w:val="both"/>
      </w:pPr>
      <w:r>
        <w:lastRenderedPageBreak/>
        <w:t>…</w:t>
      </w:r>
      <w:r w:rsidR="00D07A48">
        <w:t>the facility of access to every species of knowledge important to the great interests of the community; the freedom of the press, whose very licentiousness cannot materially impair its permanent value</w:t>
      </w:r>
      <w:r>
        <w:t>, in this country at least, make the pretensions of those self-styled “better classes” to the sole possession of the requisite intelligence for the management of public affairs, too absurd to be entitled to any other treatment than an honest, manly contempt.</w:t>
      </w:r>
      <w:r>
        <w:rPr>
          <w:rStyle w:val="FootnoteReference"/>
        </w:rPr>
        <w:footnoteReference w:id="1"/>
      </w:r>
      <w:r>
        <w:t xml:space="preserve"> </w:t>
      </w:r>
    </w:p>
    <w:p w14:paraId="7B0759E3" w14:textId="77777777" w:rsidR="003069EA" w:rsidRDefault="003069EA" w:rsidP="00A07EDE">
      <w:pPr>
        <w:ind w:left="1440" w:right="1440"/>
        <w:jc w:val="both"/>
      </w:pPr>
    </w:p>
    <w:p w14:paraId="081EEA90" w14:textId="6DF3E9DD" w:rsidR="006C160C" w:rsidRDefault="006C160C" w:rsidP="003069EA">
      <w:pPr>
        <w:spacing w:line="480" w:lineRule="auto"/>
        <w:ind w:firstLine="720"/>
      </w:pPr>
      <w:r>
        <w:t>The “licentiousness” of the press was often its partisan and vicious nature. Filled with personal attacks and falsehoods, the press of Antebellum America threw everything they had at their political enemies. No person was sacred, and political officials often found t</w:t>
      </w:r>
      <w:r w:rsidR="00C311F3">
        <w:t xml:space="preserve">hemselves under intense </w:t>
      </w:r>
      <w:r w:rsidR="00E94D5B">
        <w:t>judgment. E</w:t>
      </w:r>
      <w:r w:rsidR="00C311F3">
        <w:t xml:space="preserve">very part of their personal lives </w:t>
      </w:r>
      <w:proofErr w:type="gramStart"/>
      <w:r w:rsidR="00BC34E2">
        <w:t>were</w:t>
      </w:r>
      <w:proofErr w:type="gramEnd"/>
      <w:r w:rsidR="00BC34E2">
        <w:t xml:space="preserve"> </w:t>
      </w:r>
      <w:r w:rsidR="00C311F3">
        <w:t>scrutinized</w:t>
      </w:r>
      <w:r w:rsidR="00E94D5B">
        <w:t>,</w:t>
      </w:r>
      <w:r w:rsidR="00C311F3">
        <w:t xml:space="preserve"> and rumors and falsehoods abound</w:t>
      </w:r>
      <w:r w:rsidR="00E94D5B">
        <w:t>ed</w:t>
      </w:r>
      <w:r w:rsidR="00C311F3">
        <w:t xml:space="preserve">. </w:t>
      </w:r>
      <w:r>
        <w:t>Even their family members became the targets of partisan attacks, as was the case in the 1828 Election when Rachel Jackson—the wife of Andrew Jackson—was attacked as a whore and bigamist</w:t>
      </w:r>
      <w:r w:rsidR="00C311F3">
        <w:t xml:space="preserve">, or </w:t>
      </w:r>
      <w:r w:rsidR="00E94D5B">
        <w:t xml:space="preserve">when </w:t>
      </w:r>
      <w:r w:rsidR="00C311F3">
        <w:t>John Quincy Adams was accused of having an incestuous marriage</w:t>
      </w:r>
      <w:r>
        <w:t>.</w:t>
      </w:r>
      <w:r w:rsidR="00C311F3">
        <w:rPr>
          <w:rStyle w:val="FootnoteReference"/>
        </w:rPr>
        <w:footnoteReference w:id="2"/>
      </w:r>
      <w:r>
        <w:t xml:space="preserve"> </w:t>
      </w:r>
    </w:p>
    <w:p w14:paraId="64105A0A" w14:textId="73E5B3C0" w:rsidR="003069EA" w:rsidRDefault="004B32D8" w:rsidP="003069EA">
      <w:pPr>
        <w:spacing w:line="480" w:lineRule="auto"/>
        <w:ind w:firstLine="720"/>
      </w:pPr>
      <w:r>
        <w:t>Yet de</w:t>
      </w:r>
      <w:r w:rsidR="006C160C">
        <w:t>spite its licentiousness,</w:t>
      </w:r>
      <w:r w:rsidR="003069EA">
        <w:t xml:space="preserve"> the American press played a fundamental role in democratizing America’s political and social systems. “After the people,” Alexis de Tocqueville declared in his famed work </w:t>
      </w:r>
      <w:r w:rsidR="003069EA">
        <w:rPr>
          <w:i/>
        </w:rPr>
        <w:t xml:space="preserve">Democracy in America, </w:t>
      </w:r>
      <w:r w:rsidR="003069EA">
        <w:t>“the periodical press nonetheless is the most powerful of social forces. The opinions established under the sway of press liberty in the United States a</w:t>
      </w:r>
      <w:r w:rsidR="00BC34E2">
        <w:t>re often more deeply rooted than</w:t>
      </w:r>
      <w:r w:rsidR="003069EA">
        <w:t xml:space="preserve"> those formed elsewhere under the influence of censorship.” Like O’Sullivan, de Tocqueville believed that the press was a “strange mixture of good and evil,” but that the “evil” must be accepted</w:t>
      </w:r>
      <w:r w:rsidR="00BC34E2">
        <w:t>,</w:t>
      </w:r>
      <w:r w:rsidR="003069EA">
        <w:t xml:space="preserve"> because without the press, the people would not be educated and “freedom could not thrive.”</w:t>
      </w:r>
      <w:r w:rsidR="003069EA">
        <w:rPr>
          <w:rStyle w:val="FootnoteReference"/>
        </w:rPr>
        <w:footnoteReference w:id="3"/>
      </w:r>
    </w:p>
    <w:p w14:paraId="697762B0" w14:textId="194148BE" w:rsidR="004261C4" w:rsidRDefault="00BD385E" w:rsidP="003069EA">
      <w:pPr>
        <w:spacing w:line="480" w:lineRule="auto"/>
        <w:ind w:firstLine="720"/>
      </w:pPr>
      <w:r>
        <w:lastRenderedPageBreak/>
        <w:t>F</w:t>
      </w:r>
      <w:r w:rsidR="004261C4">
        <w:t>or many in antebellum America, education and democracy worked hand-in-hand. A true democracy based on majority rule could—as history demonstrated—just as easily fall into despotism if the people were left ignorant and uniformed, allowing a</w:t>
      </w:r>
      <w:r w:rsidR="00F51B31">
        <w:t>n</w:t>
      </w:r>
      <w:r w:rsidR="004261C4">
        <w:t xml:space="preserve"> </w:t>
      </w:r>
      <w:r w:rsidR="00F51B31">
        <w:t>influential</w:t>
      </w:r>
      <w:r w:rsidR="004261C4">
        <w:t xml:space="preserve"> minority to establish power. An informed majority “does not always afford a perfect guarantee against the misuse of its numerical power over the weakness of the minority,” O’Sullivan admitted, but the chances “of misuse is, as a general rule, far less than in the opposite relation of the ascendency of a minority.”</w:t>
      </w:r>
      <w:r w:rsidR="004261C4">
        <w:rPr>
          <w:rStyle w:val="FootnoteReference"/>
        </w:rPr>
        <w:footnoteReference w:id="4"/>
      </w:r>
      <w:r w:rsidR="004261C4">
        <w:t xml:space="preserve"> But the majority </w:t>
      </w:r>
      <w:r w:rsidR="00C02028">
        <w:t xml:space="preserve">had to </w:t>
      </w:r>
      <w:r w:rsidR="004261C4">
        <w:t>be educated in order to be a reliable check upon the minority. Then, and only then, could democracy be preserved, and for Americans of the</w:t>
      </w:r>
      <w:r w:rsidR="00C311F3">
        <w:t xml:space="preserve"> early</w:t>
      </w:r>
      <w:r w:rsidR="004261C4">
        <w:t xml:space="preserve"> 19</w:t>
      </w:r>
      <w:r w:rsidR="004261C4" w:rsidRPr="00B406F8">
        <w:rPr>
          <w:vertAlign w:val="superscript"/>
        </w:rPr>
        <w:t>th</w:t>
      </w:r>
      <w:r w:rsidR="004261C4">
        <w:t xml:space="preserve"> century, one of the best tools for educating the populace was the newspaper. </w:t>
      </w:r>
    </w:p>
    <w:p w14:paraId="6034AE91" w14:textId="4DCEE1CE" w:rsidR="008A1AB7" w:rsidRDefault="00695ABE" w:rsidP="00E116EF">
      <w:pPr>
        <w:spacing w:line="480" w:lineRule="auto"/>
        <w:ind w:firstLine="720"/>
      </w:pPr>
      <w:r>
        <w:t>The</w:t>
      </w:r>
      <w:r w:rsidR="00436EA0">
        <w:t xml:space="preserve"> </w:t>
      </w:r>
      <w:r w:rsidR="004261C4">
        <w:t>press had the capacity to be destructive to a democracy due to its extremely partisan nature, but the</w:t>
      </w:r>
      <w:r w:rsidR="00C77958">
        <w:t xml:space="preserve"> partisan </w:t>
      </w:r>
      <w:r w:rsidR="004261C4">
        <w:t>press could also</w:t>
      </w:r>
      <w:r w:rsidR="00C77958">
        <w:t xml:space="preserve"> </w:t>
      </w:r>
      <w:r w:rsidR="00A16A69">
        <w:t xml:space="preserve">work in tandem with </w:t>
      </w:r>
      <w:r w:rsidR="00C77958">
        <w:t xml:space="preserve">democracy. </w:t>
      </w:r>
      <w:r w:rsidR="00E116EF">
        <w:t>I</w:t>
      </w:r>
      <w:r w:rsidR="00A316BE">
        <w:t xml:space="preserve">n this paper, I argue that </w:t>
      </w:r>
      <w:r w:rsidR="004F314D">
        <w:t>throughout the early 19</w:t>
      </w:r>
      <w:r w:rsidR="004F314D" w:rsidRPr="004F314D">
        <w:rPr>
          <w:vertAlign w:val="superscript"/>
        </w:rPr>
        <w:t>th</w:t>
      </w:r>
      <w:r w:rsidR="004F314D">
        <w:t xml:space="preserve"> century</w:t>
      </w:r>
      <w:r w:rsidR="006C2350">
        <w:t xml:space="preserve"> and culminating in the Election of 1828, </w:t>
      </w:r>
      <w:r w:rsidR="00C547DB">
        <w:t>the</w:t>
      </w:r>
      <w:r w:rsidR="00A316BE">
        <w:t xml:space="preserve"> social and political system</w:t>
      </w:r>
      <w:r w:rsidR="00C547DB">
        <w:t>s of the “democratic principle”</w:t>
      </w:r>
      <w:r w:rsidR="00027F84">
        <w:t xml:space="preserve"> </w:t>
      </w:r>
      <w:r w:rsidR="00AF00F5">
        <w:t>c</w:t>
      </w:r>
      <w:r w:rsidR="00A316BE">
        <w:t xml:space="preserve">reated the partisan press both in form and rhetoric. Put another way, the American </w:t>
      </w:r>
      <w:r w:rsidR="00C547DB">
        <w:t>democracy—</w:t>
      </w:r>
      <w:r w:rsidR="00A316BE">
        <w:t xml:space="preserve">including both </w:t>
      </w:r>
      <w:r w:rsidR="00C547DB">
        <w:t>the social systems of ideology and the political systems of public policy—</w:t>
      </w:r>
      <w:r w:rsidR="00A316BE">
        <w:t xml:space="preserve">helped to create </w:t>
      </w:r>
      <w:r w:rsidR="00C547DB">
        <w:t xml:space="preserve">and sustain </w:t>
      </w:r>
      <w:r w:rsidR="00A316BE">
        <w:t xml:space="preserve">the partisan press in every way—from </w:t>
      </w:r>
      <w:r w:rsidR="00C547DB">
        <w:t xml:space="preserve">the founding of newspaper enterprises to the rhetoric those newspapers deployed against their political enemies. I do not mean to argue that the democratic principle was the only factor in producing and sustaining partisan newspapers of this age, simply that it was one of several major contributors to the rise of </w:t>
      </w:r>
      <w:r w:rsidR="00BC34E2">
        <w:t>a fully established and institutionalized</w:t>
      </w:r>
      <w:r w:rsidR="00C547DB">
        <w:t xml:space="preserve"> partisan press.  </w:t>
      </w:r>
    </w:p>
    <w:p w14:paraId="58A02D7A" w14:textId="71553ECB" w:rsidR="006C2350" w:rsidRDefault="00EF6B73" w:rsidP="00D63375">
      <w:pPr>
        <w:spacing w:line="480" w:lineRule="auto"/>
        <w:ind w:firstLine="720"/>
      </w:pPr>
      <w:r>
        <w:t xml:space="preserve">To best demonstrate the interaction of the democratic principle and the partisan press, I have </w:t>
      </w:r>
      <w:r w:rsidR="006C2350">
        <w:t xml:space="preserve">focused on the national newspapers during (and leading up to) the Election of 1828. </w:t>
      </w:r>
      <w:r w:rsidR="008C0AA4">
        <w:t xml:space="preserve">Those </w:t>
      </w:r>
      <w:r w:rsidR="008C0AA4">
        <w:lastRenderedPageBreak/>
        <w:t xml:space="preserve">newspapers include the </w:t>
      </w:r>
      <w:r w:rsidR="008C0AA4">
        <w:rPr>
          <w:i/>
        </w:rPr>
        <w:t xml:space="preserve">United States’ Telegraph </w:t>
      </w:r>
      <w:r w:rsidR="008C0AA4">
        <w:t xml:space="preserve">edited by </w:t>
      </w:r>
      <w:r w:rsidR="00215B35">
        <w:t xml:space="preserve">John S. Meehan and later on </w:t>
      </w:r>
      <w:r w:rsidR="00027F84">
        <w:t>Duff Green;</w:t>
      </w:r>
      <w:r w:rsidR="008C0AA4">
        <w:t xml:space="preserve"> the </w:t>
      </w:r>
      <w:r w:rsidR="008C0AA4">
        <w:rPr>
          <w:i/>
        </w:rPr>
        <w:t xml:space="preserve">National Journal </w:t>
      </w:r>
      <w:r w:rsidR="00490E1C">
        <w:t>edited by Peter Force</w:t>
      </w:r>
      <w:r w:rsidR="00027F84">
        <w:t>;</w:t>
      </w:r>
      <w:r w:rsidR="008C0AA4">
        <w:t xml:space="preserve"> and the </w:t>
      </w:r>
      <w:r w:rsidR="008C0AA4">
        <w:rPr>
          <w:i/>
        </w:rPr>
        <w:t xml:space="preserve">National Intelligencer </w:t>
      </w:r>
      <w:r w:rsidR="00490E1C">
        <w:t>edited by Joseph Gales and William Seaton</w:t>
      </w:r>
      <w:r w:rsidR="008C0AA4">
        <w:t>.</w:t>
      </w:r>
      <w:r w:rsidR="00C46592">
        <w:t xml:space="preserve"> All based in Washington </w:t>
      </w:r>
      <w:r w:rsidR="00C7053B">
        <w:t>D.C.</w:t>
      </w:r>
      <w:r w:rsidR="00C46592">
        <w:t xml:space="preserve">, these newspapers were </w:t>
      </w:r>
      <w:r w:rsidR="00C311F3">
        <w:t xml:space="preserve">founded in the mid 1820s (with the exception of the </w:t>
      </w:r>
      <w:r w:rsidR="00C311F3">
        <w:rPr>
          <w:i/>
        </w:rPr>
        <w:t xml:space="preserve">Intelligencer </w:t>
      </w:r>
      <w:r w:rsidR="00C311F3">
        <w:t xml:space="preserve">which was founded in 1800), </w:t>
      </w:r>
      <w:r w:rsidR="00D535C4">
        <w:t xml:space="preserve">were </w:t>
      </w:r>
      <w:r w:rsidR="00C46592">
        <w:t>delivered nationally</w:t>
      </w:r>
      <w:r w:rsidR="00C311F3">
        <w:t xml:space="preserve">, and were </w:t>
      </w:r>
      <w:r w:rsidR="00FC2956">
        <w:t xml:space="preserve">explicitly </w:t>
      </w:r>
      <w:r w:rsidR="00C311F3">
        <w:t xml:space="preserve">partisan in nature. Each </w:t>
      </w:r>
      <w:r w:rsidR="00C46592">
        <w:t>supported a specific c</w:t>
      </w:r>
      <w:r w:rsidR="00E31313">
        <w:t>andidate in the 1828 Election with t</w:t>
      </w:r>
      <w:r w:rsidR="00C46592">
        <w:t xml:space="preserve">he </w:t>
      </w:r>
      <w:r w:rsidR="00C46592">
        <w:rPr>
          <w:i/>
        </w:rPr>
        <w:t xml:space="preserve">Telegraph </w:t>
      </w:r>
      <w:r w:rsidR="00E31313">
        <w:t>supporting</w:t>
      </w:r>
      <w:r w:rsidR="00C46592">
        <w:t xml:space="preserve"> Andrew Jackson, </w:t>
      </w:r>
      <w:r w:rsidR="00E31313">
        <w:t>and</w:t>
      </w:r>
      <w:r w:rsidR="00C46592">
        <w:t xml:space="preserve"> the </w:t>
      </w:r>
      <w:r w:rsidR="00C46592">
        <w:rPr>
          <w:i/>
        </w:rPr>
        <w:t xml:space="preserve">Journal </w:t>
      </w:r>
      <w:r w:rsidR="00C46592">
        <w:t xml:space="preserve">and </w:t>
      </w:r>
      <w:r w:rsidR="00C46592">
        <w:rPr>
          <w:i/>
        </w:rPr>
        <w:t xml:space="preserve">Intelligencer </w:t>
      </w:r>
      <w:r w:rsidR="00E31313">
        <w:t>supporting</w:t>
      </w:r>
      <w:r w:rsidR="00C46592">
        <w:t xml:space="preserve"> Adams</w:t>
      </w:r>
      <w:r w:rsidR="00C311F3">
        <w:t>.</w:t>
      </w:r>
      <w:r w:rsidR="00C46592">
        <w:t xml:space="preserve"> </w:t>
      </w:r>
      <w:r w:rsidR="006C2350">
        <w:t xml:space="preserve">I have focused on these newspapers because of their centrality in the political newspaper network during this election. I have also focused on these newspapers because the political and social systems of the democratic principle were national in character, and </w:t>
      </w:r>
      <w:r w:rsidR="002B633E">
        <w:t xml:space="preserve">since </w:t>
      </w:r>
      <w:r w:rsidR="00C8322E">
        <w:t>these newspapers had a national audience, they best exemplified national, wide-spread attitudes.</w:t>
      </w:r>
    </w:p>
    <w:p w14:paraId="6019EA0F" w14:textId="10458956" w:rsidR="008C0AA4" w:rsidRDefault="006C2350" w:rsidP="00D63375">
      <w:pPr>
        <w:spacing w:line="480" w:lineRule="auto"/>
        <w:ind w:firstLine="720"/>
      </w:pPr>
      <w:r>
        <w:t xml:space="preserve">Furthermore, </w:t>
      </w:r>
      <w:r w:rsidR="00020FCC">
        <w:t>t</w:t>
      </w:r>
      <w:r w:rsidR="007A494A">
        <w:t xml:space="preserve">he partisan newspapers of this election do not represent the only time in which democracy and a partisan press worked together, but this election does represent the first time a truly established partisan press was in play. </w:t>
      </w:r>
      <w:r w:rsidR="003F7038">
        <w:t xml:space="preserve">The Election of 1828 thus saw the interaction of democratic sentiments, public policy initiatives, and a partisan press for the first time in American history. </w:t>
      </w:r>
    </w:p>
    <w:p w14:paraId="5D35252D" w14:textId="314EA04B" w:rsidR="003F0D03" w:rsidRDefault="003069EA" w:rsidP="007A494A">
      <w:pPr>
        <w:spacing w:line="480" w:lineRule="auto"/>
        <w:ind w:firstLine="720"/>
      </w:pPr>
      <w:r>
        <w:t xml:space="preserve">The </w:t>
      </w:r>
      <w:r w:rsidR="00020FCC">
        <w:t>democratic principle</w:t>
      </w:r>
      <w:r w:rsidR="002E10A2">
        <w:t xml:space="preserve"> </w:t>
      </w:r>
      <w:r>
        <w:t xml:space="preserve">which </w:t>
      </w:r>
      <w:r w:rsidR="002E10A2">
        <w:t xml:space="preserve">helped fuel the rise of partisan newspapers such as the </w:t>
      </w:r>
      <w:r w:rsidR="002E10A2">
        <w:rPr>
          <w:i/>
        </w:rPr>
        <w:t>Intelligencer, Journal,</w:t>
      </w:r>
      <w:r w:rsidR="002E10A2">
        <w:t xml:space="preserve"> and </w:t>
      </w:r>
      <w:r w:rsidR="002E10A2">
        <w:rPr>
          <w:i/>
        </w:rPr>
        <w:t xml:space="preserve">Telegraph </w:t>
      </w:r>
      <w:r w:rsidR="00E8406D">
        <w:t>start</w:t>
      </w:r>
      <w:r w:rsidR="00C97B95">
        <w:t>ed</w:t>
      </w:r>
      <w:r w:rsidR="00E8406D">
        <w:t>, first and foremost, with ideology</w:t>
      </w:r>
      <w:r w:rsidR="00E6192C">
        <w:t xml:space="preserve">. During the </w:t>
      </w:r>
      <w:r w:rsidR="005070BD">
        <w:t>early 19</w:t>
      </w:r>
      <w:r w:rsidR="005070BD" w:rsidRPr="005070BD">
        <w:rPr>
          <w:vertAlign w:val="superscript"/>
        </w:rPr>
        <w:t>th</w:t>
      </w:r>
      <w:r w:rsidR="005070BD">
        <w:t xml:space="preserve"> century</w:t>
      </w:r>
      <w:r w:rsidR="00E6192C">
        <w:t>,</w:t>
      </w:r>
      <w:r w:rsidR="00C97B95">
        <w:t xml:space="preserve"> the “will of the people” was of the utmost importance. “The people have a right,” declared the </w:t>
      </w:r>
      <w:r w:rsidR="00C97B95">
        <w:rPr>
          <w:i/>
        </w:rPr>
        <w:t xml:space="preserve">Telegraph, </w:t>
      </w:r>
      <w:r w:rsidR="00C97B95">
        <w:t xml:space="preserve">“to be served by men </w:t>
      </w:r>
      <w:r w:rsidR="00C97B95">
        <w:rPr>
          <w:i/>
        </w:rPr>
        <w:t xml:space="preserve">of their own choice; </w:t>
      </w:r>
      <w:r w:rsidR="00C97B95">
        <w:t>men who would scorn to be foisted into public stations contrary to the public will—who are above ‘bargain, intrigue, and management;’ and in the silent, but tremendous langu</w:t>
      </w:r>
      <w:r w:rsidR="003D4910">
        <w:t>ag</w:t>
      </w:r>
      <w:r w:rsidR="00C97B95">
        <w:t xml:space="preserve">e of the ballot-boxes, they will utter their </w:t>
      </w:r>
      <w:r w:rsidR="00C97B95">
        <w:lastRenderedPageBreak/>
        <w:t>displeasure and redress their wrongs.”</w:t>
      </w:r>
      <w:r w:rsidR="00150C2A">
        <w:rPr>
          <w:rStyle w:val="FootnoteReference"/>
        </w:rPr>
        <w:footnoteReference w:id="5"/>
      </w:r>
      <w:r w:rsidR="003D4910">
        <w:t xml:space="preserve"> The people </w:t>
      </w:r>
      <w:r w:rsidR="003F0D03">
        <w:t>were the sovereign,</w:t>
      </w:r>
      <w:r w:rsidR="003D4910">
        <w:t xml:space="preserve"> the politicians their servants. This belief in the public will was one of the stalwarts of American democratic ideology. </w:t>
      </w:r>
    </w:p>
    <w:p w14:paraId="5AE0267B" w14:textId="3C82BF1A" w:rsidR="002E10A2" w:rsidRDefault="00DA3A83" w:rsidP="007A494A">
      <w:pPr>
        <w:spacing w:line="480" w:lineRule="auto"/>
        <w:ind w:firstLine="720"/>
      </w:pPr>
      <w:r>
        <w:t xml:space="preserve">The other major </w:t>
      </w:r>
      <w:r w:rsidR="003069EA">
        <w:t xml:space="preserve">aspect </w:t>
      </w:r>
      <w:r w:rsidR="00A81035">
        <w:t xml:space="preserve">of American democratic ideology </w:t>
      </w:r>
      <w:r>
        <w:t xml:space="preserve">was the fear of </w:t>
      </w:r>
      <w:r w:rsidR="003069EA">
        <w:t xml:space="preserve">tyrannical </w:t>
      </w:r>
      <w:r>
        <w:t xml:space="preserve">power. </w:t>
      </w:r>
      <w:r w:rsidR="003F0D03">
        <w:t>For antebellum Americans, “p</w:t>
      </w:r>
      <w:r>
        <w:t>ower made men unscrupulous,” argues historian John Sterling Young. “Among men in power, ‘ambition swallows up…principle,’ and ‘stratagem and intrigue</w:t>
      </w:r>
      <w:r w:rsidR="006532E5">
        <w:t>’</w:t>
      </w:r>
      <w:r>
        <w:t xml:space="preserve"> were the way of life.”</w:t>
      </w:r>
      <w:r>
        <w:rPr>
          <w:rStyle w:val="FootnoteReference"/>
        </w:rPr>
        <w:footnoteReference w:id="6"/>
      </w:r>
      <w:r>
        <w:t xml:space="preserve"> Power, in other words, corrupted men, and it became the greatest danger to the liberty of the people. </w:t>
      </w:r>
    </w:p>
    <w:p w14:paraId="1E113459" w14:textId="53B84E90" w:rsidR="00AB4DB5" w:rsidRDefault="00DA3A83" w:rsidP="00AB4DB5">
      <w:pPr>
        <w:spacing w:line="480" w:lineRule="auto"/>
        <w:ind w:firstLine="720"/>
      </w:pPr>
      <w:r>
        <w:t>The people</w:t>
      </w:r>
      <w:r w:rsidR="006532E5">
        <w:t>,</w:t>
      </w:r>
      <w:r>
        <w:t xml:space="preserve"> with their ability to “utter their displeasure and redress their wrongs” at the ballot box</w:t>
      </w:r>
      <w:r w:rsidR="006532E5">
        <w:t>,</w:t>
      </w:r>
      <w:r>
        <w:t xml:space="preserve"> were t</w:t>
      </w:r>
      <w:r w:rsidR="0060761B">
        <w:t>he counterweight to corruption</w:t>
      </w:r>
      <w:r w:rsidR="004261C4">
        <w:t xml:space="preserve">, and </w:t>
      </w:r>
      <w:r w:rsidR="00BE73F6">
        <w:t xml:space="preserve">it became </w:t>
      </w:r>
      <w:r w:rsidR="004261C4">
        <w:t>increasingly important</w:t>
      </w:r>
      <w:r w:rsidR="00BE73F6">
        <w:t xml:space="preserve"> that the people be not only </w:t>
      </w:r>
      <w:r w:rsidR="006532E5">
        <w:t>free but</w:t>
      </w:r>
      <w:r w:rsidR="00DE6DE3">
        <w:t xml:space="preserve"> enligh</w:t>
      </w:r>
      <w:r w:rsidR="00C311F3">
        <w:t xml:space="preserve">tened. </w:t>
      </w:r>
      <w:r w:rsidR="00DE6DE3">
        <w:t xml:space="preserve">As </w:t>
      </w:r>
      <w:r w:rsidR="00BE73F6">
        <w:t>Richard</w:t>
      </w:r>
      <w:r w:rsidR="00DE6DE3">
        <w:t xml:space="preserve"> John</w:t>
      </w:r>
      <w:r w:rsidR="00BE73F6">
        <w:t xml:space="preserve"> argues, “If the people were truly sovereign…then no one could plausibly deny the citizenry the right to secure uninterrupted access to up-to-date information about the ongoing affairs of state.”</w:t>
      </w:r>
      <w:r w:rsidR="00BE73F6">
        <w:rPr>
          <w:rStyle w:val="FootnoteReference"/>
        </w:rPr>
        <w:footnoteReference w:id="7"/>
      </w:r>
      <w:r w:rsidR="00AB4DB5">
        <w:t xml:space="preserve"> </w:t>
      </w:r>
      <w:r w:rsidR="000C6CBE">
        <w:t>This w</w:t>
      </w:r>
      <w:r w:rsidR="003069EA">
        <w:t>as no</w:t>
      </w:r>
      <w:r w:rsidR="000C6CBE">
        <w:t>t just the v</w:t>
      </w:r>
      <w:r w:rsidR="00455EF6">
        <w:t>iews of America</w:t>
      </w:r>
      <w:r w:rsidR="000C6CBE">
        <w:t xml:space="preserve">’s political leaders. The public </w:t>
      </w:r>
      <w:r w:rsidR="000C6CBE">
        <w:rPr>
          <w:i/>
        </w:rPr>
        <w:t xml:space="preserve">wanted </w:t>
      </w:r>
      <w:r w:rsidR="000C6CBE">
        <w:t>to be informed. With high literacy rates (indeed, nearly 90 percent of whites during this time perio</w:t>
      </w:r>
      <w:r w:rsidR="0019335A">
        <w:t xml:space="preserve">d were literate), more </w:t>
      </w:r>
      <w:r w:rsidR="000C6CBE">
        <w:t>people were able to access prin</w:t>
      </w:r>
      <w:r w:rsidR="005902F1">
        <w:t>ted information</w:t>
      </w:r>
      <w:r w:rsidR="000C6CBE">
        <w:t>.</w:t>
      </w:r>
      <w:r w:rsidR="000C6CBE">
        <w:rPr>
          <w:rStyle w:val="FootnoteReference"/>
        </w:rPr>
        <w:footnoteReference w:id="8"/>
      </w:r>
      <w:r w:rsidR="008738C1">
        <w:t xml:space="preserve"> </w:t>
      </w:r>
    </w:p>
    <w:p w14:paraId="7FD968D1" w14:textId="6AE60DDB" w:rsidR="00814630" w:rsidRDefault="00FA6A5A" w:rsidP="00AB4DB5">
      <w:pPr>
        <w:spacing w:line="480" w:lineRule="auto"/>
        <w:ind w:firstLine="720"/>
      </w:pPr>
      <w:r>
        <w:t>Moreover, t</w:t>
      </w:r>
      <w:r w:rsidR="00876A7C">
        <w:t xml:space="preserve">he desire for an educated populace became increasingly important during the </w:t>
      </w:r>
      <w:r w:rsidR="005070BD">
        <w:t>antebellum era as</w:t>
      </w:r>
      <w:r w:rsidR="00876A7C">
        <w:t xml:space="preserve"> more Americans became involved in the political process</w:t>
      </w:r>
      <w:r w:rsidR="00C311F3">
        <w:t>.</w:t>
      </w:r>
      <w:r w:rsidR="00814630">
        <w:t xml:space="preserve"> </w:t>
      </w:r>
      <w:r w:rsidR="00D66045">
        <w:t>Through the course of the</w:t>
      </w:r>
      <w:r w:rsidR="005070BD">
        <w:t xml:space="preserve"> 1810s and 1820s</w:t>
      </w:r>
      <w:r w:rsidR="006B2524">
        <w:t>, prop</w:t>
      </w:r>
      <w:r w:rsidR="00D66045">
        <w:t xml:space="preserve">erty requirements </w:t>
      </w:r>
      <w:r w:rsidR="006532E5">
        <w:t>were</w:t>
      </w:r>
      <w:r w:rsidR="00D66045">
        <w:t xml:space="preserve"> abolished in states </w:t>
      </w:r>
      <w:r w:rsidR="006B2524">
        <w:t>across the count</w:t>
      </w:r>
      <w:r w:rsidR="006532E5">
        <w:t>ry</w:t>
      </w:r>
      <w:r w:rsidR="00A57159">
        <w:t>, leading</w:t>
      </w:r>
      <w:r w:rsidR="006532E5">
        <w:t xml:space="preserve"> to nearly universal white</w:t>
      </w:r>
      <w:r w:rsidR="006B2524">
        <w:t xml:space="preserve"> mal</w:t>
      </w:r>
      <w:r w:rsidR="006532E5">
        <w:t>e</w:t>
      </w:r>
      <w:r>
        <w:t xml:space="preserve"> s</w:t>
      </w:r>
      <w:r w:rsidR="00D3215C">
        <w:t>uffrage and</w:t>
      </w:r>
      <w:r w:rsidR="00A57159">
        <w:t xml:space="preserve"> </w:t>
      </w:r>
      <w:r w:rsidR="006532E5">
        <w:t>tripling</w:t>
      </w:r>
      <w:r w:rsidR="000A5D02">
        <w:t xml:space="preserve"> the size of the electorate</w:t>
      </w:r>
      <w:r w:rsidR="006B2524">
        <w:t xml:space="preserve">. </w:t>
      </w:r>
      <w:r w:rsidR="00D66045">
        <w:t>Additionally, b</w:t>
      </w:r>
      <w:r w:rsidR="006B2524">
        <w:t>efore the 1820s, presidential electors were chos</w:t>
      </w:r>
      <w:r w:rsidR="00D3215C">
        <w:t>en by state legislature</w:t>
      </w:r>
      <w:r w:rsidR="006B2524">
        <w:t>,</w:t>
      </w:r>
      <w:r w:rsidR="00D3215C">
        <w:t xml:space="preserve"> but</w:t>
      </w:r>
      <w:r w:rsidR="006B2524">
        <w:t xml:space="preserve"> by </w:t>
      </w:r>
      <w:r w:rsidR="006B2524">
        <w:lastRenderedPageBreak/>
        <w:t xml:space="preserve">1824, only six states </w:t>
      </w:r>
      <w:r w:rsidR="008738C1">
        <w:t>chose their elector</w:t>
      </w:r>
      <w:r w:rsidR="00D3215C">
        <w:t>s through the state legislature. T</w:t>
      </w:r>
      <w:r w:rsidR="007B2F8F">
        <w:t>he remaining</w:t>
      </w:r>
      <w:r w:rsidR="00D3215C">
        <w:t xml:space="preserve"> states</w:t>
      </w:r>
      <w:r w:rsidR="006B3AFC">
        <w:t xml:space="preserve"> now </w:t>
      </w:r>
      <w:r w:rsidR="00D3215C">
        <w:t>chose their electors</w:t>
      </w:r>
      <w:r w:rsidR="006B2524">
        <w:t xml:space="preserve"> through popular vote.</w:t>
      </w:r>
      <w:r w:rsidR="006B2524">
        <w:rPr>
          <w:rStyle w:val="FootnoteReference"/>
        </w:rPr>
        <w:footnoteReference w:id="9"/>
      </w:r>
    </w:p>
    <w:p w14:paraId="52971029" w14:textId="18C07C0E" w:rsidR="006B2524" w:rsidRDefault="003D6C0E" w:rsidP="007A494A">
      <w:pPr>
        <w:spacing w:line="480" w:lineRule="auto"/>
        <w:ind w:firstLine="720"/>
      </w:pPr>
      <w:r>
        <w:t>With</w:t>
      </w:r>
      <w:r w:rsidR="006B2524">
        <w:t xml:space="preserve"> more people participating in elections, it became </w:t>
      </w:r>
      <w:r w:rsidR="00960061">
        <w:t>increasingly</w:t>
      </w:r>
      <w:r w:rsidR="006B2524">
        <w:t xml:space="preserve"> important that these people were armed with the knowledge to vote wisely. The newspaper</w:t>
      </w:r>
      <w:r>
        <w:t xml:space="preserve"> </w:t>
      </w:r>
      <w:r w:rsidR="006B2524">
        <w:t xml:space="preserve">was one of the most important avenues available to communicate information to the people—especially propaganda and arguments made by the major political parties. </w:t>
      </w:r>
      <w:r w:rsidR="00960061">
        <w:t xml:space="preserve">The press, </w:t>
      </w:r>
      <w:r>
        <w:t>according to</w:t>
      </w:r>
      <w:r w:rsidR="00960061">
        <w:t xml:space="preserve"> William Henry Seward, </w:t>
      </w:r>
      <w:r w:rsidR="00DC3C72">
        <w:t>was the only channel to the people, and without it, a party “never can gain the public favor.”</w:t>
      </w:r>
      <w:r w:rsidR="00DC3C72">
        <w:rPr>
          <w:rStyle w:val="FootnoteReference"/>
        </w:rPr>
        <w:footnoteReference w:id="10"/>
      </w:r>
    </w:p>
    <w:p w14:paraId="0853E704" w14:textId="1ACEBE77" w:rsidR="00B35AF9" w:rsidRDefault="003D6C0E" w:rsidP="007A494A">
      <w:pPr>
        <w:spacing w:line="480" w:lineRule="auto"/>
        <w:ind w:firstLine="720"/>
      </w:pPr>
      <w:r>
        <w:t>To</w:t>
      </w:r>
      <w:r w:rsidR="00B35AF9">
        <w:t xml:space="preserve"> provide that vital information to the public, the federal government </w:t>
      </w:r>
      <w:r w:rsidR="000F5330">
        <w:t>took several</w:t>
      </w:r>
      <w:r w:rsidR="00B35AF9">
        <w:t xml:space="preserve"> </w:t>
      </w:r>
      <w:r w:rsidR="007C252D">
        <w:t>public policy initiatives</w:t>
      </w:r>
      <w:r w:rsidR="00B35AF9">
        <w:t>. This came, first and foremost, through the institution and support of the United States Postal Service.</w:t>
      </w:r>
      <w:r w:rsidR="006D1C08">
        <w:t xml:space="preserve"> </w:t>
      </w:r>
      <w:r w:rsidR="000A5D02">
        <w:t xml:space="preserve">In 1792, Congress passed the Post Office Act which “held Congress responsible for designating postal routes, gave newspapers special discount rates and privileges, and categorically barred government officials from violating the privacy of letters.” </w:t>
      </w:r>
      <w:r w:rsidR="006D1C08">
        <w:t>By subsidizing the Postal Service, the federal government paved the way for a comprehensive postal network that reached nearly every remote town or village in America. As of 1828</w:t>
      </w:r>
      <w:r w:rsidR="00EB0EFB">
        <w:t>,</w:t>
      </w:r>
      <w:r w:rsidR="006D1C08">
        <w:t xml:space="preserve"> there were 74 post o</w:t>
      </w:r>
      <w:r w:rsidR="00F764E2">
        <w:t xml:space="preserve">ffices per 100,000 inhabitants, compared </w:t>
      </w:r>
      <w:r w:rsidR="006D1C08">
        <w:t xml:space="preserve">to </w:t>
      </w:r>
      <w:r>
        <w:t>seventeen</w:t>
      </w:r>
      <w:r w:rsidR="006D1C08">
        <w:t xml:space="preserve"> i</w:t>
      </w:r>
      <w:r w:rsidR="00EB0EFB">
        <w:t>n Great Britain and four</w:t>
      </w:r>
      <w:r w:rsidR="000A5D02">
        <w:t xml:space="preserve"> in France. </w:t>
      </w:r>
      <w:r w:rsidR="006E09B5">
        <w:t>Furthermore</w:t>
      </w:r>
      <w:r w:rsidR="00F951A0">
        <w:t>,</w:t>
      </w:r>
      <w:r w:rsidR="000A5D02">
        <w:t xml:space="preserve"> by providing special disc</w:t>
      </w:r>
      <w:r w:rsidR="00A71C9F">
        <w:t>ounts to newspapers</w:t>
      </w:r>
      <w:r w:rsidR="00B14DEF">
        <w:t>,</w:t>
      </w:r>
      <w:r w:rsidR="00A71C9F">
        <w:t xml:space="preserve"> </w:t>
      </w:r>
      <w:r w:rsidR="0051522F">
        <w:t>the United States’ government made it</w:t>
      </w:r>
      <w:r w:rsidR="000A5D02">
        <w:t xml:space="preserve"> cheaper to mail copies, allowing broader access to newspapers. As hi</w:t>
      </w:r>
      <w:r w:rsidR="00EB0EFB">
        <w:t>storian Paul Starr states: “</w:t>
      </w:r>
      <w:r w:rsidR="000A5D02">
        <w:t>given the postal subsidy to the press, newspapers were the most efficacious means for parties to communicate with their supporters in a predominantly rural society.”</w:t>
      </w:r>
      <w:r w:rsidR="008051FB">
        <w:rPr>
          <w:rStyle w:val="FootnoteReference"/>
        </w:rPr>
        <w:footnoteReference w:id="11"/>
      </w:r>
      <w:r w:rsidR="00B35AF9">
        <w:t xml:space="preserve"> </w:t>
      </w:r>
    </w:p>
    <w:p w14:paraId="4F7D826C" w14:textId="1B89F89B" w:rsidR="001A2A95" w:rsidRDefault="00F951A0" w:rsidP="007A494A">
      <w:pPr>
        <w:spacing w:line="480" w:lineRule="auto"/>
        <w:ind w:firstLine="720"/>
      </w:pPr>
      <w:r>
        <w:lastRenderedPageBreak/>
        <w:t>And if parties were to communicate their message to the public, they had to take full advantage of the policies and subsidies that the Unit</w:t>
      </w:r>
      <w:r w:rsidR="00C976AF">
        <w:t>ed States’ government offered. C</w:t>
      </w:r>
      <w:r>
        <w:t xml:space="preserve">ongressmen </w:t>
      </w:r>
      <w:r w:rsidR="00C976AF">
        <w:t xml:space="preserve">thus </w:t>
      </w:r>
      <w:r>
        <w:t xml:space="preserve">took full advantage of </w:t>
      </w:r>
      <w:r w:rsidR="00AC7271">
        <w:t>the franking privilege.</w:t>
      </w:r>
      <w:r>
        <w:t xml:space="preserve"> </w:t>
      </w:r>
    </w:p>
    <w:p w14:paraId="15D22A12" w14:textId="1D013C68" w:rsidR="00EF5E09" w:rsidRDefault="00F951A0" w:rsidP="007A494A">
      <w:pPr>
        <w:spacing w:line="480" w:lineRule="auto"/>
        <w:ind w:firstLine="720"/>
      </w:pPr>
      <w:r>
        <w:t>The f</w:t>
      </w:r>
      <w:r w:rsidR="00AC7271">
        <w:t>ranking privilege, in essence, wa</w:t>
      </w:r>
      <w:r>
        <w:t xml:space="preserve">s the ability of a congressman to send out documents to </w:t>
      </w:r>
      <w:r w:rsidR="00AC7271">
        <w:t xml:space="preserve">his constituents free of charge by simply affixing his signature onto said document. </w:t>
      </w:r>
      <w:r>
        <w:t xml:space="preserve">This meant that congressmen could </w:t>
      </w:r>
      <w:r w:rsidR="00AC7271">
        <w:t>sign</w:t>
      </w:r>
      <w:r>
        <w:t xml:space="preserve"> their </w:t>
      </w:r>
      <w:r w:rsidR="00AC7271">
        <w:t>name</w:t>
      </w:r>
      <w:r>
        <w:t xml:space="preserve"> onto a packet of party newspapers and send them out to their constituents at no cost.</w:t>
      </w:r>
      <w:r w:rsidR="003D6C0E">
        <w:t xml:space="preserve"> Congressmen were expected to sign every document they mailed pursuant to the privilege. However, many hired substitutes to sign on their behalf.</w:t>
      </w:r>
      <w:r>
        <w:t xml:space="preserve"> There are no statistics to determine how many documents were sent out under the guise of the franking privilege, but </w:t>
      </w:r>
      <w:r w:rsidR="00AC7271">
        <w:t>Richard John</w:t>
      </w:r>
      <w:r>
        <w:t xml:space="preserve"> estimates that by the 1850s “the franking privilege accounted for somewhere between one-quarter to one-half of the total weight of the mail that left Washington on any given day.”</w:t>
      </w:r>
      <w:r>
        <w:rPr>
          <w:rStyle w:val="FootnoteReference"/>
        </w:rPr>
        <w:footnoteReference w:id="12"/>
      </w:r>
      <w:r>
        <w:t xml:space="preserve"> </w:t>
      </w:r>
    </w:p>
    <w:p w14:paraId="3AA4AF0F" w14:textId="0520DB14" w:rsidR="00C36153" w:rsidRDefault="00C36153" w:rsidP="007A494A">
      <w:pPr>
        <w:spacing w:line="480" w:lineRule="auto"/>
        <w:ind w:firstLine="720"/>
      </w:pPr>
      <w:r>
        <w:t xml:space="preserve">The franking privilege </w:t>
      </w:r>
      <w:r w:rsidR="003D6C0E">
        <w:t>essentially became</w:t>
      </w:r>
      <w:r>
        <w:t xml:space="preserve"> a form of political maneuvering and machination</w:t>
      </w:r>
      <w:r w:rsidR="003D6C0E">
        <w:t>, but t</w:t>
      </w:r>
      <w:r>
        <w:t xml:space="preserve">his was not the only way that Congress used its power to manipulate the dispersal of information for their own needs. </w:t>
      </w:r>
      <w:r w:rsidR="004A64AB">
        <w:t>Political patronage of the favorite Washington newspapers was the norm in 19</w:t>
      </w:r>
      <w:r w:rsidR="004A64AB" w:rsidRPr="004A64AB">
        <w:rPr>
          <w:vertAlign w:val="superscript"/>
        </w:rPr>
        <w:t>th</w:t>
      </w:r>
      <w:r w:rsidR="004A64AB">
        <w:t xml:space="preserve"> century D.C. This was done, mainly, through government printing contracts. </w:t>
      </w:r>
    </w:p>
    <w:p w14:paraId="5ADCA6F8" w14:textId="0772808E" w:rsidR="004A64AB" w:rsidRDefault="004A64AB" w:rsidP="007A494A">
      <w:pPr>
        <w:spacing w:line="480" w:lineRule="auto"/>
        <w:ind w:firstLine="720"/>
      </w:pPr>
      <w:r>
        <w:t xml:space="preserve">Government printing contracts were awarded by each branch of the federal government and involved printing addresses, laws, and proceedings. </w:t>
      </w:r>
      <w:r w:rsidR="00C40304">
        <w:t>Lasting a total of two years, they</w:t>
      </w:r>
      <w:r w:rsidR="0008452A">
        <w:t xml:space="preserve"> were </w:t>
      </w:r>
      <w:r w:rsidR="003D6C0E">
        <w:t>typically</w:t>
      </w:r>
      <w:r w:rsidR="0008452A">
        <w:t xml:space="preserve"> awarded</w:t>
      </w:r>
      <w:r w:rsidR="00C40304">
        <w:t xml:space="preserve"> to the favorite newspaper of the party in power</w:t>
      </w:r>
      <w:r w:rsidR="0008452A">
        <w:t>.</w:t>
      </w:r>
      <w:r w:rsidR="00521465">
        <w:rPr>
          <w:rStyle w:val="FootnoteReference"/>
        </w:rPr>
        <w:footnoteReference w:id="13"/>
      </w:r>
      <w:r w:rsidR="0008452A">
        <w:t xml:space="preserve"> </w:t>
      </w:r>
      <w:r w:rsidR="00AC7271">
        <w:t>For example</w:t>
      </w:r>
      <w:r w:rsidR="0008452A">
        <w:t xml:space="preserve">, if the Jacksonian Democrats were in control of the House, the House would vote to give the printing to the Jacksonian </w:t>
      </w:r>
      <w:r w:rsidR="0008452A">
        <w:rPr>
          <w:i/>
        </w:rPr>
        <w:t xml:space="preserve">United States’ Telegraph. </w:t>
      </w:r>
      <w:r w:rsidR="0008452A">
        <w:t xml:space="preserve">If the Senate was in control of Adams’ National </w:t>
      </w:r>
      <w:r w:rsidR="0008452A">
        <w:lastRenderedPageBreak/>
        <w:t xml:space="preserve">Republicans, then the Senate contract would go to either the </w:t>
      </w:r>
      <w:r w:rsidR="0008452A">
        <w:rPr>
          <w:i/>
        </w:rPr>
        <w:t xml:space="preserve">Intelligencer </w:t>
      </w:r>
      <w:r w:rsidR="0008452A">
        <w:t xml:space="preserve">or the </w:t>
      </w:r>
      <w:r w:rsidR="0008452A">
        <w:rPr>
          <w:i/>
        </w:rPr>
        <w:t xml:space="preserve">Journal. </w:t>
      </w:r>
      <w:r w:rsidR="0008452A">
        <w:t xml:space="preserve">During the 1800s and into the 1820s, the </w:t>
      </w:r>
      <w:r w:rsidR="0008452A">
        <w:rPr>
          <w:i/>
        </w:rPr>
        <w:t xml:space="preserve">Intelligencer, </w:t>
      </w:r>
      <w:r w:rsidR="0008452A">
        <w:t>lacking any serious compe</w:t>
      </w:r>
      <w:r w:rsidR="00E049DB">
        <w:t>tition, was the beneficiary of most g</w:t>
      </w:r>
      <w:r w:rsidR="0008452A">
        <w:t xml:space="preserve">overnment patronage, specifically the executive’s. However, when Gales and Seaton refused to endorse Adams in the 1824 election, they were overthrown in favor of the </w:t>
      </w:r>
      <w:r w:rsidR="0008452A">
        <w:rPr>
          <w:i/>
        </w:rPr>
        <w:t>Journal</w:t>
      </w:r>
      <w:r w:rsidR="00925DB1">
        <w:t>.</w:t>
      </w:r>
      <w:r w:rsidR="0008452A">
        <w:rPr>
          <w:i/>
        </w:rPr>
        <w:t xml:space="preserve"> </w:t>
      </w:r>
      <w:r w:rsidR="0008452A">
        <w:rPr>
          <w:rStyle w:val="FootnoteReference"/>
          <w:i/>
        </w:rPr>
        <w:footnoteReference w:id="14"/>
      </w:r>
      <w:r w:rsidR="0008452A">
        <w:t xml:space="preserve"> </w:t>
      </w:r>
    </w:p>
    <w:p w14:paraId="5DFE4DBC" w14:textId="77777777" w:rsidR="002F5339" w:rsidRDefault="00B7061A" w:rsidP="007A494A">
      <w:pPr>
        <w:spacing w:line="480" w:lineRule="auto"/>
        <w:ind w:firstLine="720"/>
      </w:pPr>
      <w:r>
        <w:t xml:space="preserve">In the election of 1828, especially, </w:t>
      </w:r>
      <w:r w:rsidR="00E049DB">
        <w:t xml:space="preserve">government </w:t>
      </w:r>
      <w:r>
        <w:t>patronage of the press became an issue</w:t>
      </w:r>
      <w:r w:rsidR="00925DB1">
        <w:t xml:space="preserve"> when Nathaniel Macon, a senator from North Carolina, introduced a resolution calling for an investigation into </w:t>
      </w:r>
      <w:r w:rsidR="00E049DB">
        <w:t>government</w:t>
      </w:r>
      <w:r w:rsidR="00925DB1">
        <w:t xml:space="preserve"> </w:t>
      </w:r>
      <w:r w:rsidR="00E049DB">
        <w:t>printing contracts</w:t>
      </w:r>
      <w:r w:rsidR="00925DB1">
        <w:t xml:space="preserve"> by the executive branch</w:t>
      </w:r>
      <w:r w:rsidR="00B12958">
        <w:t>.</w:t>
      </w:r>
      <w:r w:rsidR="00B12958">
        <w:rPr>
          <w:rStyle w:val="FootnoteReference"/>
        </w:rPr>
        <w:footnoteReference w:id="15"/>
      </w:r>
      <w:r w:rsidR="00B12958">
        <w:t xml:space="preserve"> </w:t>
      </w:r>
      <w:r>
        <w:t>The</w:t>
      </w:r>
      <w:r w:rsidR="00925DB1">
        <w:rPr>
          <w:i/>
        </w:rPr>
        <w:t xml:space="preserve"> Telegraph</w:t>
      </w:r>
      <w:r>
        <w:t>, always eager to</w:t>
      </w:r>
      <w:r w:rsidR="00925DB1">
        <w:t xml:space="preserve"> find more political attacks against Adams, took up the mantel.</w:t>
      </w:r>
      <w:r w:rsidR="00E049DB">
        <w:t xml:space="preserve"> The</w:t>
      </w:r>
      <w:r>
        <w:t xml:space="preserve"> executive patronage of certain newspapers</w:t>
      </w:r>
      <w:r w:rsidR="00E049DB">
        <w:t xml:space="preserve">, the </w:t>
      </w:r>
      <w:r w:rsidR="00E049DB">
        <w:rPr>
          <w:i/>
        </w:rPr>
        <w:t xml:space="preserve">Telegraph </w:t>
      </w:r>
      <w:r w:rsidR="00E049DB">
        <w:t>argued,</w:t>
      </w:r>
      <w:r>
        <w:t xml:space="preserve"> “</w:t>
      </w:r>
      <w:r w:rsidR="002F5339">
        <w:t>tends to convert this sentinel of freedom [the free press] into a spy of power.” They continue</w:t>
      </w:r>
      <w:r w:rsidR="00E049DB">
        <w:t>d</w:t>
      </w:r>
      <w:r w:rsidR="002F5339">
        <w:t xml:space="preserve">: </w:t>
      </w:r>
    </w:p>
    <w:p w14:paraId="7FF916BC" w14:textId="77777777" w:rsidR="00521465" w:rsidRDefault="002F5339" w:rsidP="002F5339">
      <w:pPr>
        <w:ind w:left="1440" w:right="1440"/>
        <w:jc w:val="both"/>
      </w:pPr>
      <w:r>
        <w:t xml:space="preserve">All such patronage ought to be carefully guarded, or rather, if possible wholly removed. It is in vain to talk of a free press, when the </w:t>
      </w:r>
      <w:r>
        <w:rPr>
          <w:i/>
        </w:rPr>
        <w:t xml:space="preserve">favor of power </w:t>
      </w:r>
      <w:r>
        <w:t>is essential to the support of editors, and the money of the people, by passing through the hands of the Executive, is made co-operate as a bribe against liberty…if liberty shall ever expire in our country, it will die of the poisonous draught of corrupt patronage.</w:t>
      </w:r>
      <w:r w:rsidR="00150C2A">
        <w:rPr>
          <w:rStyle w:val="FootnoteReference"/>
        </w:rPr>
        <w:footnoteReference w:id="16"/>
      </w:r>
    </w:p>
    <w:p w14:paraId="11EA2AA7" w14:textId="77777777" w:rsidR="002F5339" w:rsidRDefault="002F5339" w:rsidP="002F5339">
      <w:pPr>
        <w:ind w:left="1440" w:right="1440"/>
        <w:jc w:val="both"/>
      </w:pPr>
    </w:p>
    <w:p w14:paraId="5F7301FD" w14:textId="1ED467FA" w:rsidR="002F5339" w:rsidRDefault="002F5339" w:rsidP="002F5339">
      <w:pPr>
        <w:spacing w:line="480" w:lineRule="auto"/>
      </w:pPr>
      <w:r>
        <w:tab/>
        <w:t xml:space="preserve">Yet the writers of the </w:t>
      </w:r>
      <w:r>
        <w:rPr>
          <w:i/>
        </w:rPr>
        <w:t xml:space="preserve">Telegraph </w:t>
      </w:r>
      <w:r>
        <w:t xml:space="preserve">did not fear the “poisonous draught of corrupt patronage” when it was extended to them. </w:t>
      </w:r>
      <w:r w:rsidR="00F50BAC">
        <w:t>When</w:t>
      </w:r>
      <w:r w:rsidR="00313D3F">
        <w:t xml:space="preserve"> the Jacksonian Democrats took control of the Senate after the 1</w:t>
      </w:r>
      <w:r w:rsidR="004031F5">
        <w:t>826</w:t>
      </w:r>
      <w:r w:rsidR="00313D3F">
        <w:t xml:space="preserve"> midterms, the Senate printing contracts shifted from the </w:t>
      </w:r>
      <w:r w:rsidR="00313D3F">
        <w:rPr>
          <w:i/>
        </w:rPr>
        <w:t xml:space="preserve">Intelligencer </w:t>
      </w:r>
      <w:r w:rsidR="00313D3F">
        <w:t xml:space="preserve">to the </w:t>
      </w:r>
      <w:r w:rsidR="00313D3F">
        <w:rPr>
          <w:i/>
        </w:rPr>
        <w:t xml:space="preserve">Telegraph </w:t>
      </w:r>
      <w:r w:rsidR="00313D3F">
        <w:t xml:space="preserve">by a vote of 25 to 19. </w:t>
      </w:r>
      <w:r w:rsidR="002651AC">
        <w:t>The House printing contracts remained in the hands of Gale and Seaton, but not without an investigatio</w:t>
      </w:r>
      <w:r w:rsidR="00984F4C">
        <w:t>n into their printing contracts</w:t>
      </w:r>
      <w:r w:rsidR="002651AC">
        <w:t>.</w:t>
      </w:r>
      <w:r w:rsidR="002651AC">
        <w:rPr>
          <w:rStyle w:val="FootnoteReference"/>
        </w:rPr>
        <w:footnoteReference w:id="17"/>
      </w:r>
    </w:p>
    <w:p w14:paraId="5A201F06" w14:textId="1A8E786D" w:rsidR="002651AC" w:rsidRDefault="002651AC" w:rsidP="002F5339">
      <w:pPr>
        <w:spacing w:line="480" w:lineRule="auto"/>
      </w:pPr>
      <w:r>
        <w:lastRenderedPageBreak/>
        <w:tab/>
      </w:r>
      <w:r w:rsidR="00CF6E25">
        <w:t>Nonetheless</w:t>
      </w:r>
      <w:r>
        <w:t xml:space="preserve">, the </w:t>
      </w:r>
      <w:r>
        <w:rPr>
          <w:i/>
        </w:rPr>
        <w:t xml:space="preserve">Telegraph </w:t>
      </w:r>
      <w:r>
        <w:t xml:space="preserve">did make a valid point </w:t>
      </w:r>
      <w:r w:rsidR="00626D90">
        <w:t xml:space="preserve">that </w:t>
      </w:r>
      <w:r>
        <w:t xml:space="preserve">a newspaper and its editor depended on the political patronage of the federal government. Government printing contracts were often what kept editors’ heads above water. According to Gerald </w:t>
      </w:r>
      <w:proofErr w:type="spellStart"/>
      <w:r>
        <w:t>Baldasty</w:t>
      </w:r>
      <w:proofErr w:type="spellEnd"/>
      <w:r>
        <w:t>, the profit margins of government printing contracts ran from 20 to 55 percent.</w:t>
      </w:r>
      <w:r>
        <w:rPr>
          <w:rStyle w:val="FootnoteReference"/>
        </w:rPr>
        <w:footnoteReference w:id="18"/>
      </w:r>
      <w:r>
        <w:t xml:space="preserve"> This kept the newspapers alive, but it also kept th</w:t>
      </w:r>
      <w:r w:rsidR="00A012AA">
        <w:t xml:space="preserve">em strictly under the thumb of </w:t>
      </w:r>
      <w:r>
        <w:t>politicians a</w:t>
      </w:r>
      <w:r w:rsidR="00A012AA">
        <w:t xml:space="preserve">nd </w:t>
      </w:r>
      <w:r w:rsidR="002B633E">
        <w:t xml:space="preserve">political </w:t>
      </w:r>
      <w:r w:rsidR="00A012AA">
        <w:t>parties</w:t>
      </w:r>
      <w:r>
        <w:t>.</w:t>
      </w:r>
    </w:p>
    <w:p w14:paraId="1D531A66" w14:textId="21C4D79F" w:rsidR="00DB6DA9" w:rsidRDefault="002B633E" w:rsidP="002F5339">
      <w:pPr>
        <w:spacing w:line="480" w:lineRule="auto"/>
      </w:pPr>
      <w:r>
        <w:tab/>
        <w:t xml:space="preserve">Nevertheless, </w:t>
      </w:r>
      <w:r w:rsidR="00DB6DA9">
        <w:t xml:space="preserve">these politicians and party officials recognized the fundamental importance of having a national, partisan newspaper. </w:t>
      </w:r>
      <w:r w:rsidR="00F526A4">
        <w:t xml:space="preserve">During the 1820s and 1830s, the local newspapers relied on the national newspapers for any </w:t>
      </w:r>
      <w:r w:rsidR="006532E5">
        <w:t>information</w:t>
      </w:r>
      <w:r w:rsidR="00F526A4">
        <w:t xml:space="preserve"> coming out of Washington. It was only until the 1840s that Congress allowed out-of-town reporters into the galleries. Until that time, the Washington D.C. newspapers had a monopoly on</w:t>
      </w:r>
      <w:r w:rsidR="00A012AA">
        <w:t xml:space="preserve"> all</w:t>
      </w:r>
      <w:r w:rsidR="00F526A4">
        <w:t xml:space="preserve"> national news and politics.</w:t>
      </w:r>
      <w:r w:rsidR="00F526A4">
        <w:rPr>
          <w:rStyle w:val="FootnoteReference"/>
        </w:rPr>
        <w:footnoteReference w:id="19"/>
      </w:r>
    </w:p>
    <w:p w14:paraId="18288024" w14:textId="5060630D" w:rsidR="00490E1C" w:rsidRDefault="00F526A4" w:rsidP="002F5339">
      <w:pPr>
        <w:spacing w:line="480" w:lineRule="auto"/>
      </w:pPr>
      <w:r>
        <w:tab/>
      </w:r>
      <w:r w:rsidR="004031F5">
        <w:t>N</w:t>
      </w:r>
      <w:r>
        <w:t xml:space="preserve">ational news and politics was becoming </w:t>
      </w:r>
      <w:r w:rsidR="003A4B2E">
        <w:t>increasingly important</w:t>
      </w:r>
      <w:r w:rsidR="004031F5">
        <w:t xml:space="preserve"> </w:t>
      </w:r>
      <w:r>
        <w:t xml:space="preserve">during the latter half of the 1820s. During the Jeffersonian era, Washington D.C. </w:t>
      </w:r>
      <w:r w:rsidR="003A4B2E">
        <w:t>was</w:t>
      </w:r>
      <w:r>
        <w:t xml:space="preserve"> an isolated, cultural backwater, </w:t>
      </w:r>
      <w:r w:rsidR="003A4B2E">
        <w:t>mostly</w:t>
      </w:r>
      <w:r>
        <w:t xml:space="preserve"> irrelevant to the majority of Americans. Indeed, in his seminal work </w:t>
      </w:r>
      <w:r>
        <w:rPr>
          <w:i/>
        </w:rPr>
        <w:t xml:space="preserve">The Washington Community, </w:t>
      </w:r>
      <w:r>
        <w:t>Jame</w:t>
      </w:r>
      <w:r w:rsidR="004A327C">
        <w:t xml:space="preserve">s Sterling Young </w:t>
      </w:r>
      <w:r w:rsidR="003A4B2E">
        <w:t>explains</w:t>
      </w:r>
      <w:r w:rsidR="004A327C">
        <w:t xml:space="preserve"> how the American citizenry was</w:t>
      </w:r>
      <w:r>
        <w:t xml:space="preserve"> “</w:t>
      </w:r>
      <w:r w:rsidR="004A327C">
        <w:t>remote and indifferent”</w:t>
      </w:r>
      <w:r w:rsidR="003A4B2E">
        <w:t xml:space="preserve"> towards the federal government,</w:t>
      </w:r>
      <w:r w:rsidR="004A327C">
        <w:t xml:space="preserve"> thus failing “t</w:t>
      </w:r>
      <w:r>
        <w:t>o contribute that civic attachment which a representative government founded on the sovereignty of the people needs above all</w:t>
      </w:r>
      <w:r w:rsidR="004A327C">
        <w:t>.”</w:t>
      </w:r>
      <w:r w:rsidR="004A327C">
        <w:rPr>
          <w:rStyle w:val="FootnoteReference"/>
        </w:rPr>
        <w:footnoteReference w:id="20"/>
      </w:r>
      <w:r w:rsidR="004A327C">
        <w:t xml:space="preserve"> Yet, as we have seen, this indifference began to fall to the wayside during the 1820s as more and more people were incorporated in</w:t>
      </w:r>
      <w:r w:rsidR="00490E1C">
        <w:t>to the political process.</w:t>
      </w:r>
    </w:p>
    <w:p w14:paraId="32A7CBD3" w14:textId="77777777" w:rsidR="006B0453" w:rsidRDefault="003A4B2E" w:rsidP="006B0453">
      <w:pPr>
        <w:spacing w:line="480" w:lineRule="auto"/>
        <w:ind w:firstLine="720"/>
      </w:pPr>
      <w:r>
        <w:t>As a result, n</w:t>
      </w:r>
      <w:r w:rsidR="004A327C">
        <w:t>ewspapers became the primary means of communicating</w:t>
      </w:r>
      <w:r w:rsidR="00824024">
        <w:t xml:space="preserve"> to and influencing the electorate. </w:t>
      </w:r>
      <w:r w:rsidR="008240C2">
        <w:t xml:space="preserve">Frederick Grimke, a jurist and political theorist, wrote in his text </w:t>
      </w:r>
      <w:r w:rsidR="008240C2">
        <w:rPr>
          <w:i/>
        </w:rPr>
        <w:t xml:space="preserve">The Nature and Tendency of Free Institutions </w:t>
      </w:r>
      <w:r w:rsidR="004031F5">
        <w:t xml:space="preserve">(1848) </w:t>
      </w:r>
      <w:r w:rsidR="008240C2">
        <w:t xml:space="preserve">that </w:t>
      </w:r>
      <w:r w:rsidR="00865F2A">
        <w:t xml:space="preserve">newspapers gave “a voice to an immensely numerous </w:t>
      </w:r>
      <w:r w:rsidR="00865F2A">
        <w:lastRenderedPageBreak/>
        <w:t>class of the population” who, in earlier years, had been “a mere lifeless and inert body” and now had the power to form “what we term public opinion.”</w:t>
      </w:r>
      <w:r w:rsidR="00865F2A">
        <w:rPr>
          <w:rStyle w:val="FootnoteReference"/>
        </w:rPr>
        <w:footnoteReference w:id="21"/>
      </w:r>
      <w:r w:rsidR="00865F2A">
        <w:t xml:space="preserve"> </w:t>
      </w:r>
      <w:r w:rsidR="00824024">
        <w:t xml:space="preserve">This new dynamic played out during the Election of 1828. </w:t>
      </w:r>
    </w:p>
    <w:p w14:paraId="4A06194E" w14:textId="7C46D587" w:rsidR="00A37692" w:rsidRDefault="00824024" w:rsidP="006B0453">
      <w:pPr>
        <w:spacing w:line="480" w:lineRule="auto"/>
        <w:ind w:firstLine="720"/>
      </w:pPr>
      <w:r>
        <w:t>As many historians have noted, the Jackson Campaign’s</w:t>
      </w:r>
      <w:r w:rsidR="003A4B2E">
        <w:t xml:space="preserve"> </w:t>
      </w:r>
      <w:r>
        <w:t>ability to harness the power of a</w:t>
      </w:r>
      <w:r w:rsidR="004D22CB">
        <w:t xml:space="preserve"> network of partisan newspapers—</w:t>
      </w:r>
      <w:r>
        <w:t>and Adams’ lack thereof</w:t>
      </w:r>
      <w:r w:rsidR="004D22CB">
        <w:t>—</w:t>
      </w:r>
      <w:r w:rsidR="003A4B2E">
        <w:t>wa</w:t>
      </w:r>
      <w:r>
        <w:t>s a major factor in Jackson’s subsequent victory.</w:t>
      </w:r>
      <w:r>
        <w:rPr>
          <w:rStyle w:val="FootnoteReference"/>
        </w:rPr>
        <w:footnoteReference w:id="22"/>
      </w:r>
      <w:r w:rsidR="00AE399D">
        <w:t xml:space="preserve"> However, </w:t>
      </w:r>
      <w:r w:rsidR="00A37692">
        <w:t xml:space="preserve">victory or loss aside, </w:t>
      </w:r>
      <w:r w:rsidR="006B0453">
        <w:t>both the newspapers of the Jackson Campaign and the n</w:t>
      </w:r>
      <w:r w:rsidR="00A37692">
        <w:t>ewspapers of the Adams Campaign were influenced by</w:t>
      </w:r>
      <w:r w:rsidR="006B0453">
        <w:t xml:space="preserve"> the democratic principle. </w:t>
      </w:r>
      <w:r w:rsidR="00CF6E25">
        <w:t>As we have seen,</w:t>
      </w:r>
      <w:r w:rsidR="00A37692">
        <w:t xml:space="preserve"> newspapers</w:t>
      </w:r>
      <w:r w:rsidR="00CF6E25">
        <w:t xml:space="preserve"> like the </w:t>
      </w:r>
      <w:r w:rsidR="00CF6E25">
        <w:rPr>
          <w:i/>
        </w:rPr>
        <w:t xml:space="preserve">Telegraph, Journal, </w:t>
      </w:r>
      <w:r w:rsidR="00CF6E25">
        <w:t xml:space="preserve">and </w:t>
      </w:r>
      <w:r w:rsidR="00CF6E25">
        <w:rPr>
          <w:i/>
        </w:rPr>
        <w:t xml:space="preserve">Intelligencer </w:t>
      </w:r>
      <w:r w:rsidR="00A37692">
        <w:t>were economically produced and sustained by the social and political systems of the democra</w:t>
      </w:r>
      <w:r w:rsidR="00CF6E25">
        <w:t xml:space="preserve">tic principle. Yet, </w:t>
      </w:r>
      <w:r w:rsidR="00A37692">
        <w:t>their</w:t>
      </w:r>
      <w:r w:rsidR="00CF6E25">
        <w:t xml:space="preserve"> rhetoric was also</w:t>
      </w:r>
      <w:r w:rsidR="00A37692">
        <w:t xml:space="preserve"> influenc</w:t>
      </w:r>
      <w:r w:rsidR="00626D90">
        <w:t xml:space="preserve">ed by the democratic principle, </w:t>
      </w:r>
      <w:r w:rsidR="00A37692">
        <w:t>predominantl</w:t>
      </w:r>
      <w:r w:rsidR="00CF6E25">
        <w:t xml:space="preserve">y through </w:t>
      </w:r>
      <w:r w:rsidR="00626D90">
        <w:t>ideology</w:t>
      </w:r>
      <w:r w:rsidR="00A37692">
        <w:t xml:space="preserve">. </w:t>
      </w:r>
    </w:p>
    <w:p w14:paraId="57C3DAA6" w14:textId="2BCF30FB" w:rsidR="00934D61" w:rsidRDefault="00A37692" w:rsidP="006B0453">
      <w:pPr>
        <w:spacing w:line="480" w:lineRule="auto"/>
        <w:ind w:firstLine="720"/>
      </w:pPr>
      <w:r>
        <w:t>Considering that they were party newspapers and were under the thumb of politicians and political parties alike, their rhetoric was extremely</w:t>
      </w:r>
      <w:r w:rsidR="00CF6E25">
        <w:t xml:space="preserve"> important to sustain</w:t>
      </w:r>
      <w:r>
        <w:t xml:space="preserve"> support. But what is notable about the rhetoric </w:t>
      </w:r>
      <w:r w:rsidR="00626D90">
        <w:t>used</w:t>
      </w:r>
      <w:r>
        <w:t xml:space="preserve"> by all three national newspapers—the </w:t>
      </w:r>
      <w:r>
        <w:rPr>
          <w:i/>
        </w:rPr>
        <w:t xml:space="preserve">Telegraph, </w:t>
      </w:r>
      <w:r>
        <w:t xml:space="preserve">the </w:t>
      </w:r>
      <w:r>
        <w:rPr>
          <w:i/>
        </w:rPr>
        <w:t xml:space="preserve">Journal, </w:t>
      </w:r>
      <w:r>
        <w:t xml:space="preserve">and the </w:t>
      </w:r>
      <w:r>
        <w:rPr>
          <w:i/>
        </w:rPr>
        <w:t>Intelligencer—</w:t>
      </w:r>
      <w:r>
        <w:t xml:space="preserve">is </w:t>
      </w:r>
      <w:r w:rsidR="00E101A2">
        <w:t>neither</w:t>
      </w:r>
      <w:r>
        <w:t xml:space="preserve"> their vitriol nor </w:t>
      </w:r>
      <w:r w:rsidR="00E101A2">
        <w:t xml:space="preserve">their </w:t>
      </w:r>
      <w:r>
        <w:t xml:space="preserve">viciousness, but </w:t>
      </w:r>
      <w:r w:rsidR="00E101A2">
        <w:t>their striking similarity. No matter party differences, a</w:t>
      </w:r>
      <w:r>
        <w:t xml:space="preserve">ll three papers, in some way or form, used the </w:t>
      </w:r>
      <w:r w:rsidR="00E101A2">
        <w:t>same rhetoric influenced by</w:t>
      </w:r>
      <w:r>
        <w:t xml:space="preserve"> the democratic principle. </w:t>
      </w:r>
      <w:r w:rsidR="00E101A2">
        <w:t>The</w:t>
      </w:r>
      <w:r w:rsidR="006B0453">
        <w:t xml:space="preserve"> democratic principle</w:t>
      </w:r>
      <w:r w:rsidR="00E101A2">
        <w:t>, in short,</w:t>
      </w:r>
      <w:r w:rsidR="006B0453">
        <w:t xml:space="preserve"> was not a partisan issue—both sides </w:t>
      </w:r>
      <w:r w:rsidR="00CF6E25">
        <w:t>used it to their own advantage.</w:t>
      </w:r>
    </w:p>
    <w:p w14:paraId="0874F773" w14:textId="68CA6EBC" w:rsidR="00F45CC5" w:rsidRPr="00AF63EC" w:rsidRDefault="0079590D" w:rsidP="00490E1C">
      <w:pPr>
        <w:spacing w:line="480" w:lineRule="auto"/>
        <w:ind w:firstLine="720"/>
      </w:pPr>
      <w:r>
        <w:t>While t</w:t>
      </w:r>
      <w:r w:rsidR="004223FA">
        <w:t xml:space="preserve">his was the case in both the Jackson and Adams’ papers, </w:t>
      </w:r>
      <w:r w:rsidR="00690E37">
        <w:t xml:space="preserve">they </w:t>
      </w:r>
      <w:r>
        <w:t xml:space="preserve">nevertheless </w:t>
      </w:r>
      <w:r w:rsidR="00690E37">
        <w:t xml:space="preserve">emphasized </w:t>
      </w:r>
      <w:r w:rsidR="004223FA">
        <w:t>different aspects of democracy</w:t>
      </w:r>
      <w:r w:rsidR="00CF6E25">
        <w:t xml:space="preserve">. </w:t>
      </w:r>
      <w:r w:rsidR="00AF63EC">
        <w:t xml:space="preserve">The </w:t>
      </w:r>
      <w:r w:rsidR="00AF63EC">
        <w:rPr>
          <w:i/>
        </w:rPr>
        <w:t xml:space="preserve">Telegraph, </w:t>
      </w:r>
      <w:r w:rsidR="00AF63EC">
        <w:t>for example, had the motto “Power is always stealing from the many to the few” on the front page of every issue they published</w:t>
      </w:r>
      <w:r w:rsidR="004D22CB">
        <w:t>,</w:t>
      </w:r>
      <w:r w:rsidR="00AF63EC">
        <w:t xml:space="preserve"> and </w:t>
      </w:r>
      <w:r w:rsidR="00AF63EC">
        <w:lastRenderedPageBreak/>
        <w:t xml:space="preserve">it represents a common trope found in the Jacksonian newspapers. Jacksonians </w:t>
      </w:r>
      <w:r w:rsidR="00690E37">
        <w:t>often</w:t>
      </w:r>
      <w:r w:rsidR="00AF63EC">
        <w:t xml:space="preserve"> represent</w:t>
      </w:r>
      <w:r w:rsidR="00690E37">
        <w:t>ed</w:t>
      </w:r>
      <w:r w:rsidR="00AF63EC">
        <w:t xml:space="preserve"> themselves as “the many,” while Adams and his administration represented the corrupted “few.” </w:t>
      </w:r>
      <w:r w:rsidR="00F45CC5">
        <w:t xml:space="preserve">For the </w:t>
      </w:r>
      <w:r w:rsidR="00F45CC5">
        <w:rPr>
          <w:i/>
        </w:rPr>
        <w:t xml:space="preserve">Telegraph, </w:t>
      </w:r>
      <w:r w:rsidR="00F45CC5">
        <w:t xml:space="preserve">the “preservation </w:t>
      </w:r>
      <w:r w:rsidR="00690E37">
        <w:t>of liberty” was a common theme, and, a</w:t>
      </w:r>
      <w:r w:rsidR="00AF63EC">
        <w:t>ccordi</w:t>
      </w:r>
      <w:r w:rsidR="00690E37">
        <w:t xml:space="preserve">ng to the Jacksonians, </w:t>
      </w:r>
      <w:r w:rsidR="00AF63EC">
        <w:t xml:space="preserve">liberty was in danger because of the machinations and tyrannical practices of the Adams’ administration. In the election of 1824, </w:t>
      </w:r>
      <w:r w:rsidR="00690E37">
        <w:t xml:space="preserve">they argued, </w:t>
      </w:r>
      <w:r w:rsidR="00AF63EC">
        <w:t xml:space="preserve">“a </w:t>
      </w:r>
      <w:r w:rsidR="00AF63EC">
        <w:rPr>
          <w:i/>
        </w:rPr>
        <w:t xml:space="preserve">minority </w:t>
      </w:r>
      <w:r w:rsidR="00AF63EC">
        <w:t xml:space="preserve">of the people nominated, and a </w:t>
      </w:r>
      <w:r w:rsidR="00AF63EC">
        <w:rPr>
          <w:i/>
        </w:rPr>
        <w:t xml:space="preserve">minority </w:t>
      </w:r>
      <w:r w:rsidR="00AF63EC">
        <w:t>of members of Congress elected Mr. Adams,” and thus the will of the people had been ignored.</w:t>
      </w:r>
      <w:r w:rsidR="00AF63EC">
        <w:rPr>
          <w:rStyle w:val="FootnoteReference"/>
        </w:rPr>
        <w:footnoteReference w:id="23"/>
      </w:r>
    </w:p>
    <w:p w14:paraId="0A459F64" w14:textId="728901C4" w:rsidR="00A87D23" w:rsidRDefault="003077BE" w:rsidP="00490E1C">
      <w:pPr>
        <w:spacing w:line="480" w:lineRule="auto"/>
        <w:ind w:firstLine="720"/>
      </w:pPr>
      <w:r>
        <w:t xml:space="preserve">This was rooted in the </w:t>
      </w:r>
      <w:r w:rsidR="00AF63EC">
        <w:t>belief that there had been</w:t>
      </w:r>
      <w:r w:rsidR="00B94078">
        <w:t xml:space="preserve"> a quid pro quo agreement between Adams and Henry Clay during </w:t>
      </w:r>
      <w:r w:rsidR="00246B50">
        <w:t xml:space="preserve">the Election of </w:t>
      </w:r>
      <w:r w:rsidR="00B94078">
        <w:t>1824</w:t>
      </w:r>
      <w:r w:rsidR="00246B50">
        <w:t xml:space="preserve">. </w:t>
      </w:r>
      <w:r w:rsidR="006D4166">
        <w:t xml:space="preserve">There is no concrete evidence </w:t>
      </w:r>
      <w:r w:rsidR="001660D2">
        <w:t>proving</w:t>
      </w:r>
      <w:r w:rsidR="006D4166">
        <w:t xml:space="preserve"> this happened, but </w:t>
      </w:r>
      <w:r w:rsidR="001660D2">
        <w:t>when</w:t>
      </w:r>
      <w:r w:rsidR="006D4166">
        <w:t xml:space="preserve"> there was no apparent</w:t>
      </w:r>
      <w:r w:rsidR="001660D2">
        <w:t xml:space="preserve"> winner,</w:t>
      </w:r>
      <w:r w:rsidR="004031F5">
        <w:t xml:space="preserve"> </w:t>
      </w:r>
      <w:r w:rsidR="006D4166">
        <w:t xml:space="preserve">Clay </w:t>
      </w:r>
      <w:r w:rsidR="004031F5">
        <w:t>gave his electors to</w:t>
      </w:r>
      <w:r w:rsidR="00A76370">
        <w:t xml:space="preserve"> Adams, allowing Adams to gain the ma</w:t>
      </w:r>
      <w:r w:rsidR="00246B50">
        <w:t>jority</w:t>
      </w:r>
      <w:r w:rsidR="00A76370">
        <w:t xml:space="preserve">. </w:t>
      </w:r>
      <w:r w:rsidR="006D4166">
        <w:t xml:space="preserve">When Clay </w:t>
      </w:r>
      <w:r w:rsidR="00A76370">
        <w:t>eventually beca</w:t>
      </w:r>
      <w:r w:rsidR="006D4166">
        <w:t xml:space="preserve">me Secretary of State, the Jacksonians jumped to the conclusion that there had been a quid pro quo, and </w:t>
      </w:r>
      <w:r w:rsidR="00A76370">
        <w:t>the</w:t>
      </w:r>
      <w:r w:rsidR="006D4166">
        <w:t xml:space="preserve"> theory of a “corrupt bargain” fueled notions that the Adams’ administration represented the “few” who had wrested power from the “many.”</w:t>
      </w:r>
      <w:r w:rsidR="006D4166">
        <w:rPr>
          <w:rStyle w:val="FootnoteReference"/>
        </w:rPr>
        <w:footnoteReference w:id="24"/>
      </w:r>
    </w:p>
    <w:p w14:paraId="2C00840A" w14:textId="39071BD5" w:rsidR="006D4166" w:rsidRDefault="004031F5" w:rsidP="00490E1C">
      <w:pPr>
        <w:spacing w:line="480" w:lineRule="auto"/>
        <w:ind w:firstLine="720"/>
      </w:pPr>
      <w:r>
        <w:t>Th</w:t>
      </w:r>
      <w:r w:rsidR="00D84494">
        <w:t xml:space="preserve">e </w:t>
      </w:r>
      <w:r w:rsidR="00D84494">
        <w:rPr>
          <w:i/>
        </w:rPr>
        <w:t xml:space="preserve">Telegraph </w:t>
      </w:r>
      <w:r w:rsidR="00D84494">
        <w:t>took full advantage of this “corrupt bargain.” In its first issue</w:t>
      </w:r>
      <w:r w:rsidR="007C252D">
        <w:t xml:space="preserve"> in 1826</w:t>
      </w:r>
      <w:r w:rsidR="00D84494">
        <w:t xml:space="preserve">, the </w:t>
      </w:r>
      <w:r w:rsidR="00D84494">
        <w:rPr>
          <w:i/>
        </w:rPr>
        <w:t xml:space="preserve">Telegraph </w:t>
      </w:r>
      <w:r w:rsidR="00D84494">
        <w:t>declared:</w:t>
      </w:r>
    </w:p>
    <w:p w14:paraId="2AD63CC4" w14:textId="77777777" w:rsidR="00D84494" w:rsidRDefault="00D84494" w:rsidP="00D84494">
      <w:pPr>
        <w:ind w:left="1440" w:right="1440"/>
        <w:jc w:val="both"/>
      </w:pPr>
      <w:r>
        <w:t>…we are impressed with a deep and deliberate conviction, that, in the election of our present Chief Magistrate [John Quincy Adams], as well as by one of the first organic acts of his administration [the appointment of Henry Clay as Secretary of State], the most sacred principles of the Constitution, and the sound dictates of Republican policy, have been openly contemned and violated.</w:t>
      </w:r>
    </w:p>
    <w:p w14:paraId="77E5E977" w14:textId="77777777" w:rsidR="00D84494" w:rsidRDefault="00D84494" w:rsidP="00D84494">
      <w:pPr>
        <w:ind w:left="1440" w:right="1440"/>
        <w:jc w:val="both"/>
      </w:pPr>
    </w:p>
    <w:p w14:paraId="4A3A7842" w14:textId="77777777" w:rsidR="00D84494" w:rsidRDefault="00D84494" w:rsidP="00D84494">
      <w:pPr>
        <w:spacing w:line="480" w:lineRule="auto"/>
      </w:pPr>
      <w:r>
        <w:tab/>
        <w:t xml:space="preserve">The </w:t>
      </w:r>
      <w:r>
        <w:rPr>
          <w:i/>
        </w:rPr>
        <w:t xml:space="preserve">Telegraph </w:t>
      </w:r>
      <w:r>
        <w:t xml:space="preserve">goes further by claiming that Clay had “divided the vote of the Western states” by running for the presidency, throwing “the election into the House of Representatives, </w:t>
      </w:r>
      <w:r>
        <w:lastRenderedPageBreak/>
        <w:t>of which he was a prominent member” and thus striking a bargain with Adams to become Secretary of State and exerting “the whole force of his influence in favor of a candidate who evidently was not the choice of the people.”</w:t>
      </w:r>
      <w:r>
        <w:rPr>
          <w:rStyle w:val="FootnoteReference"/>
        </w:rPr>
        <w:footnoteReference w:id="25"/>
      </w:r>
    </w:p>
    <w:p w14:paraId="402469E6" w14:textId="77777777" w:rsidR="00CA4C1C" w:rsidRPr="00CA4C1C" w:rsidRDefault="00CA4C1C" w:rsidP="00D84494">
      <w:pPr>
        <w:spacing w:line="480" w:lineRule="auto"/>
      </w:pPr>
      <w:r>
        <w:tab/>
        <w:t xml:space="preserve">The implications were clear. Adams and Clay now became the symbols of a tyrannical power trying to destroy the American public’s liberty. They did this, supposedly, through the machinations of the 1824 election as they put in a President who was “not the choice of the people.” The choice of the people, according to the </w:t>
      </w:r>
      <w:r>
        <w:rPr>
          <w:i/>
        </w:rPr>
        <w:t>Telegraph,</w:t>
      </w:r>
      <w:r>
        <w:t xml:space="preserve"> had been none other than Andrew Jackson who had received the most electoral votes at 99, compared to Adams’ 84, Treasury Secretary William H. Crawford’s 41, and Henry Clay’s 37.</w:t>
      </w:r>
      <w:r>
        <w:rPr>
          <w:rStyle w:val="FootnoteReference"/>
        </w:rPr>
        <w:footnoteReference w:id="26"/>
      </w:r>
    </w:p>
    <w:p w14:paraId="4FFF61F0" w14:textId="3CCBBCC1" w:rsidR="00F72275" w:rsidRDefault="004A327C" w:rsidP="002F5339">
      <w:pPr>
        <w:spacing w:line="480" w:lineRule="auto"/>
      </w:pPr>
      <w:r>
        <w:tab/>
      </w:r>
      <w:r w:rsidR="00874336">
        <w:t xml:space="preserve">The </w:t>
      </w:r>
      <w:r w:rsidR="00874336">
        <w:rPr>
          <w:i/>
        </w:rPr>
        <w:t xml:space="preserve">Telegraph </w:t>
      </w:r>
      <w:r w:rsidR="00874336">
        <w:t>continue</w:t>
      </w:r>
      <w:r w:rsidR="004031F5">
        <w:t>d o</w:t>
      </w:r>
      <w:r w:rsidR="00874336">
        <w:t xml:space="preserve">n with the “many vs. few” argument throughout much of the </w:t>
      </w:r>
      <w:r w:rsidR="00512169">
        <w:t>next two years (indeed, it is even applied to the question of press patronage in the article mentioned earlier). They would</w:t>
      </w:r>
      <w:r w:rsidR="00106D1B">
        <w:t xml:space="preserve"> build upon this trope </w:t>
      </w:r>
      <w:r w:rsidR="00512169">
        <w:t>by casting Adams not only as a tyrant who had assumed power undemocratically, but also by casting</w:t>
      </w:r>
      <w:r w:rsidR="00106D1B">
        <w:t xml:space="preserve"> </w:t>
      </w:r>
      <w:r w:rsidR="00512169">
        <w:t>hi</w:t>
      </w:r>
      <w:r w:rsidR="00BA49A5">
        <w:t>m as an aristocrat</w:t>
      </w:r>
      <w:r w:rsidR="00AF63EC">
        <w:t xml:space="preserve">. </w:t>
      </w:r>
      <w:r w:rsidR="00F45CC5">
        <w:t xml:space="preserve">Adams, according to the </w:t>
      </w:r>
      <w:r w:rsidR="00F45CC5">
        <w:rPr>
          <w:i/>
        </w:rPr>
        <w:t xml:space="preserve">Telegraph, </w:t>
      </w:r>
      <w:r w:rsidR="00F45CC5">
        <w:t>“received his education in foreign courts, where the voice of the people is not consulted, and where the first maxim of government is, ‘The King can do no wrong.’”</w:t>
      </w:r>
      <w:r w:rsidR="00F45CC5">
        <w:rPr>
          <w:rStyle w:val="FootnoteReference"/>
        </w:rPr>
        <w:footnoteReference w:id="27"/>
      </w:r>
      <w:r w:rsidR="00AF63EC">
        <w:t xml:space="preserve"> Adams was even surrounded by </w:t>
      </w:r>
      <w:r w:rsidR="004D22CB">
        <w:t>Englishme</w:t>
      </w:r>
      <w:r w:rsidR="00F72275">
        <w:t xml:space="preserve">n and aristocrats (the two being synonymous to Jacksonians) since </w:t>
      </w:r>
      <w:r w:rsidR="00BA49A5">
        <w:rPr>
          <w:i/>
        </w:rPr>
        <w:t>The National Journal</w:t>
      </w:r>
      <w:r w:rsidR="00F72275">
        <w:rPr>
          <w:i/>
        </w:rPr>
        <w:t xml:space="preserve"> </w:t>
      </w:r>
      <w:r w:rsidR="00F72275">
        <w:t xml:space="preserve">was edited by Peter Force, an Englishman. “The man who edits the confidential paper of Mr. Adams,” the </w:t>
      </w:r>
      <w:r w:rsidR="00F72275">
        <w:rPr>
          <w:i/>
        </w:rPr>
        <w:t xml:space="preserve">Telegraph </w:t>
      </w:r>
      <w:r w:rsidR="00F72275">
        <w:t xml:space="preserve">declared: </w:t>
      </w:r>
    </w:p>
    <w:p w14:paraId="135D15AC" w14:textId="108205C9" w:rsidR="00F72275" w:rsidRDefault="00F72275" w:rsidP="003527DE">
      <w:pPr>
        <w:ind w:left="1440" w:right="1440"/>
        <w:jc w:val="both"/>
      </w:pPr>
      <w:r>
        <w:t xml:space="preserve">…and who participates in the political secrets of Mr. [Daniel] Webster; who thus undertakes to </w:t>
      </w:r>
      <w:proofErr w:type="spellStart"/>
      <w:r>
        <w:t>catechise</w:t>
      </w:r>
      <w:proofErr w:type="spellEnd"/>
      <w:r>
        <w:t xml:space="preserve"> </w:t>
      </w:r>
      <w:r w:rsidRPr="00BA49A5">
        <w:rPr>
          <w:i/>
        </w:rPr>
        <w:t xml:space="preserve">[sic] </w:t>
      </w:r>
      <w:r>
        <w:t xml:space="preserve">the American people about the management of their own </w:t>
      </w:r>
      <w:proofErr w:type="gramStart"/>
      <w:r>
        <w:t>affairs, and</w:t>
      </w:r>
      <w:proofErr w:type="gramEnd"/>
      <w:r>
        <w:t xml:space="preserve"> raise his pure voice against the corruptions that are undermining the institutions which they extorted by the sword from t</w:t>
      </w:r>
      <w:r w:rsidR="004031F5">
        <w:t>rans</w:t>
      </w:r>
      <w:r>
        <w:t xml:space="preserve">atlantic tyrants, is an </w:t>
      </w:r>
      <w:r>
        <w:rPr>
          <w:i/>
        </w:rPr>
        <w:t xml:space="preserve">Englishman!! </w:t>
      </w:r>
      <w:r>
        <w:t xml:space="preserve">Yes! The right-hand man of our President, and the champion of the </w:t>
      </w:r>
      <w:r>
        <w:rPr>
          <w:i/>
        </w:rPr>
        <w:t xml:space="preserve">American </w:t>
      </w:r>
      <w:r>
        <w:t xml:space="preserve">System, is a hireling from the nauseous </w:t>
      </w:r>
      <w:r>
        <w:lastRenderedPageBreak/>
        <w:t>venality of London; a wanderer from that scum of corrupt institutions, who have their price, and whose only principle is to sell t</w:t>
      </w:r>
      <w:r w:rsidR="00D574FA">
        <w:t>hemselves to the highest bidder!</w:t>
      </w:r>
    </w:p>
    <w:p w14:paraId="75152705" w14:textId="77777777" w:rsidR="00F72275" w:rsidRDefault="00F72275" w:rsidP="00F72275">
      <w:pPr>
        <w:ind w:left="1440" w:right="1440"/>
      </w:pPr>
    </w:p>
    <w:p w14:paraId="4786EC38" w14:textId="60C385AE" w:rsidR="00F72275" w:rsidRDefault="00F72275" w:rsidP="002F5339">
      <w:pPr>
        <w:spacing w:line="480" w:lineRule="auto"/>
      </w:pPr>
      <w:r>
        <w:tab/>
        <w:t xml:space="preserve">Adams </w:t>
      </w:r>
      <w:r w:rsidR="004D22CB">
        <w:t>and his hirelings were Englishme</w:t>
      </w:r>
      <w:r>
        <w:t>n, schooled in the arts of tyranny and aristocracy. Clearly</w:t>
      </w:r>
      <w:r w:rsidR="003527DE">
        <w:t>,</w:t>
      </w:r>
      <w:r>
        <w:t xml:space="preserve"> they couldn’t be trusted with the sacred “tree of Democratic Liberty” that the Founders had so carefully planted.</w:t>
      </w:r>
      <w:r w:rsidR="003527DE">
        <w:rPr>
          <w:rStyle w:val="FootnoteReference"/>
        </w:rPr>
        <w:footnoteReference w:id="28"/>
      </w:r>
      <w:r w:rsidR="003527DE">
        <w:t xml:space="preserve"> Yet this vicious passage was a response to the “Englishman’s” own claims that Andrew Jackson</w:t>
      </w:r>
      <w:r w:rsidR="00BA49A5">
        <w:t xml:space="preserve">, not Adams, was the </w:t>
      </w:r>
      <w:r w:rsidR="003527DE">
        <w:t xml:space="preserve">threat to the tree of Democratic Liberty. Indeed, similar to the </w:t>
      </w:r>
      <w:r w:rsidR="003527DE">
        <w:rPr>
          <w:i/>
        </w:rPr>
        <w:t xml:space="preserve">Telegraph, </w:t>
      </w:r>
      <w:r w:rsidR="003527DE">
        <w:t>the Adams’ papers used their</w:t>
      </w:r>
      <w:r w:rsidR="0079590D">
        <w:t xml:space="preserve"> own</w:t>
      </w:r>
      <w:r w:rsidR="003527DE">
        <w:t xml:space="preserve"> democratic tropes to argue why Andrew Jackson was the tyrant, not John Quincy Adams. They did not deploy the “many vs. few” argument (the Jacksonians h</w:t>
      </w:r>
      <w:r w:rsidR="00F94AC0">
        <w:t>ad a full monopoly on that one); instead,</w:t>
      </w:r>
      <w:r w:rsidR="003527DE">
        <w:t xml:space="preserve"> </w:t>
      </w:r>
      <w:r w:rsidR="00F94AC0">
        <w:t xml:space="preserve">they </w:t>
      </w:r>
      <w:r w:rsidR="003527DE">
        <w:t>deploy</w:t>
      </w:r>
      <w:r w:rsidR="00F94AC0">
        <w:t>ed</w:t>
      </w:r>
      <w:r w:rsidR="003527DE">
        <w:t xml:space="preserve"> another argument that would strike fear into the hearts of any democracy-loving individual—namely, equating Andrew Jackson to a “military chieftain.”</w:t>
      </w:r>
    </w:p>
    <w:p w14:paraId="1E20EE7F" w14:textId="349E9227" w:rsidR="00FD015B" w:rsidRDefault="00FD015B" w:rsidP="002F5339">
      <w:pPr>
        <w:spacing w:line="480" w:lineRule="auto"/>
      </w:pPr>
      <w:r>
        <w:tab/>
        <w:t xml:space="preserve">There were efforts, wrote the </w:t>
      </w:r>
      <w:r>
        <w:rPr>
          <w:i/>
        </w:rPr>
        <w:t xml:space="preserve">Journal </w:t>
      </w:r>
      <w:r>
        <w:t xml:space="preserve">a few days earlier, “to wrest the superintending functions of President from the hands of a civilian, and to deposit them in the hands of a Military </w:t>
      </w:r>
      <w:r w:rsidR="001E27A6">
        <w:t>Chieftain</w:t>
      </w:r>
      <w:r>
        <w:t>.</w:t>
      </w:r>
      <w:r w:rsidR="001E27A6">
        <w:t xml:space="preserve">” A military chieftain coming to power was believed to be one of the main ways democracies died, and indeed the </w:t>
      </w:r>
      <w:r w:rsidR="001E27A6">
        <w:rPr>
          <w:i/>
        </w:rPr>
        <w:t xml:space="preserve">Journal </w:t>
      </w:r>
      <w:r w:rsidR="001E27A6">
        <w:t>took an opportunity to remind their readers of that danger:</w:t>
      </w:r>
      <w:r w:rsidR="00A40172">
        <w:t xml:space="preserve"> </w:t>
      </w:r>
    </w:p>
    <w:p w14:paraId="706A42EB" w14:textId="77777777" w:rsidR="001E27A6" w:rsidRDefault="001E27A6" w:rsidP="001E27A6">
      <w:pPr>
        <w:ind w:left="1440" w:right="1440"/>
        <w:jc w:val="both"/>
      </w:pPr>
      <w:r>
        <w:t>Who doubts, for a moment, that if the virtue and intelligence of our citizens, which forms the only secure basis of our republican institutions, be shaken, that our Government is in imminent danger?</w:t>
      </w:r>
      <w:r w:rsidR="00750778">
        <w:t xml:space="preserve"> ...[D]</w:t>
      </w:r>
      <w:proofErr w:type="spellStart"/>
      <w:r>
        <w:t>estroy</w:t>
      </w:r>
      <w:proofErr w:type="spellEnd"/>
      <w:r>
        <w:t xml:space="preserve"> the virtue and intelligence of the Am</w:t>
      </w:r>
      <w:r w:rsidR="00750778">
        <w:t>erican people, and the republic…must perish…</w:t>
      </w:r>
      <w:r>
        <w:t>The whole of the course pursued by the friends of General Jackson leads to this awful result…By opening the flood-gates of falsehood and calumny, the</w:t>
      </w:r>
      <w:r w:rsidR="00750778">
        <w:t>y</w:t>
      </w:r>
      <w:r>
        <w:t xml:space="preserve"> have destroyed the land-marks which were the guides and beacons of a correct </w:t>
      </w:r>
      <w:proofErr w:type="gramStart"/>
      <w:r>
        <w:t>morality, and</w:t>
      </w:r>
      <w:proofErr w:type="gramEnd"/>
      <w:r>
        <w:t xml:space="preserve"> inundated the country with a foul and pestilential tide. While hypocritically inveighing against a political corruption, which is a chimera of their own fancies, they have labored, and not altogether </w:t>
      </w:r>
      <w:r>
        <w:lastRenderedPageBreak/>
        <w:t>without success, to introduce a moral corruption in the Union, from which…we may date the decline of our republican institutions.</w:t>
      </w:r>
      <w:r>
        <w:rPr>
          <w:rStyle w:val="FootnoteReference"/>
        </w:rPr>
        <w:footnoteReference w:id="29"/>
      </w:r>
    </w:p>
    <w:p w14:paraId="379627D5" w14:textId="77777777" w:rsidR="001E27A6" w:rsidRDefault="001E27A6" w:rsidP="001E27A6">
      <w:pPr>
        <w:ind w:left="1440" w:right="1440"/>
        <w:jc w:val="both"/>
      </w:pPr>
    </w:p>
    <w:p w14:paraId="1682F6F7" w14:textId="77777777" w:rsidR="001E27A6" w:rsidRDefault="001E27A6" w:rsidP="002F5339">
      <w:pPr>
        <w:spacing w:line="480" w:lineRule="auto"/>
      </w:pPr>
      <w:r>
        <w:tab/>
        <w:t xml:space="preserve">Thus, it was not only Andrew Jackson’s role as a “military chieftain” which should frighten Americans, it was also the way in which the Jacksonians were filling the country with “falsehood and calumny,” poisoning the intelligence and virtue of the citizenry. </w:t>
      </w:r>
      <w:r w:rsidR="00BB2ED8">
        <w:t>By doing so</w:t>
      </w:r>
      <w:r w:rsidR="00750778">
        <w:t>, the Jacksonians would be able to dupe the vo</w:t>
      </w:r>
      <w:r w:rsidR="00BB2ED8">
        <w:t>ters into electing</w:t>
      </w:r>
      <w:r w:rsidR="00750778">
        <w:t xml:space="preserve"> Jackson, thus sending a “military chieftain” into office and causing “the decline of our republican institutions.”</w:t>
      </w:r>
      <w:r>
        <w:t xml:space="preserve"> </w:t>
      </w:r>
    </w:p>
    <w:p w14:paraId="39491A61" w14:textId="1D8EA441" w:rsidR="00750778" w:rsidRDefault="00750778" w:rsidP="002F5339">
      <w:pPr>
        <w:spacing w:line="480" w:lineRule="auto"/>
      </w:pPr>
      <w:r>
        <w:tab/>
      </w:r>
      <w:r w:rsidR="00377DE2">
        <w:t>The</w:t>
      </w:r>
      <w:r>
        <w:t xml:space="preserve"> </w:t>
      </w:r>
      <w:r>
        <w:rPr>
          <w:i/>
        </w:rPr>
        <w:t xml:space="preserve">Telegraph </w:t>
      </w:r>
      <w:r>
        <w:t xml:space="preserve">wasted no time in </w:t>
      </w:r>
      <w:r w:rsidR="004031F5">
        <w:t>striking</w:t>
      </w:r>
      <w:r>
        <w:t xml:space="preserve"> back. They </w:t>
      </w:r>
      <w:r w:rsidR="00377DE2">
        <w:t xml:space="preserve">did not bother trying to counter the “military chieftain” argument, instead, as we have seen, they went after the reputations of Force and the Administration. They further went to discredit them, claiming that it was the </w:t>
      </w:r>
      <w:r w:rsidR="00377DE2">
        <w:rPr>
          <w:i/>
        </w:rPr>
        <w:t xml:space="preserve">Administration, </w:t>
      </w:r>
      <w:r w:rsidR="00377DE2">
        <w:t xml:space="preserve">not the Jacksonians, who were filling the people’s minds with falsehoods. </w:t>
      </w:r>
      <w:r>
        <w:t xml:space="preserve">“Whoever will incur the trouble of reading an article in the Journal of Monday,” the </w:t>
      </w:r>
      <w:r>
        <w:rPr>
          <w:i/>
        </w:rPr>
        <w:t xml:space="preserve">Telegraph </w:t>
      </w:r>
      <w:r>
        <w:t>started:</w:t>
      </w:r>
    </w:p>
    <w:p w14:paraId="4485BB01" w14:textId="77777777" w:rsidR="00750778" w:rsidRDefault="00750778" w:rsidP="00377DE2">
      <w:pPr>
        <w:ind w:left="1440" w:right="1440"/>
        <w:jc w:val="both"/>
      </w:pPr>
      <w:r>
        <w:t>…will plainly perceive the course of policy whereby the present Administration are attempting to secure their re-election…</w:t>
      </w:r>
      <w:r w:rsidR="00377DE2">
        <w:t xml:space="preserve">The virtue and intelligence of the people are our only security. Upon </w:t>
      </w:r>
      <w:r w:rsidR="00377DE2">
        <w:rPr>
          <w:i/>
        </w:rPr>
        <w:t xml:space="preserve">these, </w:t>
      </w:r>
      <w:r w:rsidR="00377DE2">
        <w:t>the friends of General Jackson have always confidently relied; and, to prevent the one from being impaired and the other misled, have always endeavored to represent things correctly. What has been the course of the Coalition [i.e. the Administration]? Let the question be answered by the innumerable slanders which they have circulated in all parts of the Union, to destroy their opponents and promote their own views.</w:t>
      </w:r>
      <w:r w:rsidR="00377DE2">
        <w:rPr>
          <w:rStyle w:val="FootnoteReference"/>
        </w:rPr>
        <w:footnoteReference w:id="30"/>
      </w:r>
    </w:p>
    <w:p w14:paraId="5963DEF1" w14:textId="77777777" w:rsidR="00377DE2" w:rsidRDefault="00377DE2" w:rsidP="00377DE2">
      <w:pPr>
        <w:ind w:left="1440" w:right="1440"/>
      </w:pPr>
    </w:p>
    <w:p w14:paraId="676CABA0" w14:textId="467458E3" w:rsidR="00377DE2" w:rsidRDefault="00377DE2" w:rsidP="002F5339">
      <w:pPr>
        <w:spacing w:line="480" w:lineRule="auto"/>
      </w:pPr>
      <w:r>
        <w:tab/>
      </w:r>
      <w:r w:rsidR="00A21649">
        <w:t>One</w:t>
      </w:r>
      <w:r w:rsidR="00CF30A1">
        <w:t xml:space="preserve"> can see that </w:t>
      </w:r>
      <w:r>
        <w:t xml:space="preserve">both the </w:t>
      </w:r>
      <w:r>
        <w:rPr>
          <w:i/>
        </w:rPr>
        <w:t xml:space="preserve">Journal </w:t>
      </w:r>
      <w:r>
        <w:t xml:space="preserve">and the </w:t>
      </w:r>
      <w:r>
        <w:rPr>
          <w:i/>
        </w:rPr>
        <w:t>Telegraph</w:t>
      </w:r>
      <w:r w:rsidR="00934E5D">
        <w:rPr>
          <w:i/>
        </w:rPr>
        <w:t xml:space="preserve"> </w:t>
      </w:r>
      <w:r w:rsidR="00934E5D">
        <w:t>used</w:t>
      </w:r>
      <w:r>
        <w:rPr>
          <w:i/>
        </w:rPr>
        <w:t xml:space="preserve"> </w:t>
      </w:r>
      <w:r>
        <w:t xml:space="preserve">the same arguments considering American democracy. </w:t>
      </w:r>
      <w:r w:rsidR="00F25308">
        <w:t xml:space="preserve">Both </w:t>
      </w:r>
      <w:r w:rsidR="00CF30A1">
        <w:t>champion</w:t>
      </w:r>
      <w:r w:rsidR="007A4087">
        <w:t>ed</w:t>
      </w:r>
      <w:r w:rsidR="00F25308">
        <w:t xml:space="preserve"> the virtue and intelligence of the people, both approve</w:t>
      </w:r>
      <w:r w:rsidR="007A4087">
        <w:t>d</w:t>
      </w:r>
      <w:r w:rsidR="00F25308">
        <w:t xml:space="preserve"> of American democracy and following the will of people, and both deride</w:t>
      </w:r>
      <w:r w:rsidR="007A4087">
        <w:t>d</w:t>
      </w:r>
      <w:r w:rsidR="00F25308">
        <w:t xml:space="preserve"> the other for trying to manipulate the people </w:t>
      </w:r>
      <w:r w:rsidR="00BB2ED8">
        <w:t>in order to</w:t>
      </w:r>
      <w:r w:rsidR="00F25308">
        <w:t xml:space="preserve"> put a tyrant into the White House. Of course, </w:t>
      </w:r>
      <w:r w:rsidR="00F25308">
        <w:lastRenderedPageBreak/>
        <w:t xml:space="preserve">both sides had their own reasons for claiming the other was a tyrant—for the Jacksonians it was the “corrupt bargain,” and for the Administration it was their perception that Jackson was a “military chieftain”—and while the other denounced these claims as false, the claims nonetheless were rooted in </w:t>
      </w:r>
      <w:r w:rsidR="00A21649">
        <w:t>the ideologies of the American democratic principle</w:t>
      </w:r>
      <w:r w:rsidR="00F25308">
        <w:t xml:space="preserve">. </w:t>
      </w:r>
      <w:r w:rsidR="00CB1E1D">
        <w:t xml:space="preserve">They stemmed from a fear of power and how power can corrupt men and turn them into tyrants. This was, as they saw, the way that </w:t>
      </w:r>
      <w:r w:rsidR="00D574FA">
        <w:t>all democracies of the past fell apart.</w:t>
      </w:r>
    </w:p>
    <w:p w14:paraId="4F00FE6D" w14:textId="77777777" w:rsidR="00D574FA" w:rsidRDefault="00D574FA" w:rsidP="002F5339">
      <w:pPr>
        <w:spacing w:line="480" w:lineRule="auto"/>
      </w:pPr>
      <w:r>
        <w:tab/>
        <w:t xml:space="preserve">Take away the personal slander, and one can see that the two sides of the Election of 1828 were not too different. It is not surprising, </w:t>
      </w:r>
      <w:r w:rsidR="00CF30A1">
        <w:t>then</w:t>
      </w:r>
      <w:r>
        <w:t>, that the election devolved into a personality contest.</w:t>
      </w:r>
      <w:r>
        <w:rPr>
          <w:rStyle w:val="FootnoteReference"/>
        </w:rPr>
        <w:footnoteReference w:id="31"/>
      </w:r>
      <w:r>
        <w:t xml:space="preserve"> What else did they have to fight about, after all?</w:t>
      </w:r>
    </w:p>
    <w:p w14:paraId="742D8B9D" w14:textId="503D060E" w:rsidR="00D574FA" w:rsidRDefault="00D574FA" w:rsidP="002F5339">
      <w:pPr>
        <w:spacing w:line="480" w:lineRule="auto"/>
      </w:pPr>
      <w:r>
        <w:tab/>
        <w:t>One quite notable exception in all this that h</w:t>
      </w:r>
      <w:r w:rsidR="00934E5D">
        <w:t>as no</w:t>
      </w:r>
      <w:r>
        <w:t xml:space="preserve">t yet been noted is the </w:t>
      </w:r>
      <w:r>
        <w:rPr>
          <w:i/>
        </w:rPr>
        <w:t>National Intelligencer.</w:t>
      </w:r>
      <w:r w:rsidR="00BB2ED8">
        <w:rPr>
          <w:i/>
        </w:rPr>
        <w:t xml:space="preserve"> </w:t>
      </w:r>
      <w:r w:rsidR="00F05CFC">
        <w:t xml:space="preserve">As previously stated, the </w:t>
      </w:r>
      <w:r w:rsidR="00F05CFC">
        <w:rPr>
          <w:i/>
        </w:rPr>
        <w:t xml:space="preserve">Intelligencer </w:t>
      </w:r>
      <w:r w:rsidR="00F05CFC">
        <w:t xml:space="preserve">was the main Washington newspaper up until the mid-1820s. Once the </w:t>
      </w:r>
      <w:r w:rsidR="00F05CFC">
        <w:rPr>
          <w:i/>
        </w:rPr>
        <w:t xml:space="preserve">Journal </w:t>
      </w:r>
      <w:r w:rsidR="00F05CFC">
        <w:t xml:space="preserve">and the </w:t>
      </w:r>
      <w:r w:rsidR="00F05CFC">
        <w:rPr>
          <w:i/>
        </w:rPr>
        <w:t xml:space="preserve">Telegraph </w:t>
      </w:r>
      <w:r w:rsidR="00F05CFC">
        <w:t xml:space="preserve">entered the scene, the government printing contracts that the </w:t>
      </w:r>
      <w:r w:rsidR="00F05CFC">
        <w:rPr>
          <w:i/>
        </w:rPr>
        <w:t xml:space="preserve">Intelligencer </w:t>
      </w:r>
      <w:r w:rsidR="00F05CFC">
        <w:t xml:space="preserve">had held onto for a number of years soon began </w:t>
      </w:r>
      <w:r w:rsidR="00CF30A1">
        <w:t xml:space="preserve">to fall </w:t>
      </w:r>
      <w:r w:rsidR="0079590D">
        <w:t>by the wayside</w:t>
      </w:r>
      <w:r w:rsidR="00CF30A1">
        <w:t xml:space="preserve"> (</w:t>
      </w:r>
      <w:r w:rsidR="00F05CFC">
        <w:t>by 1829 they</w:t>
      </w:r>
      <w:r w:rsidR="00CF30A1">
        <w:t xml:space="preserve"> would lose</w:t>
      </w:r>
      <w:r w:rsidR="00F05CFC">
        <w:t xml:space="preserve"> all of their government printing contracts to the </w:t>
      </w:r>
      <w:r w:rsidR="00F05CFC">
        <w:rPr>
          <w:i/>
        </w:rPr>
        <w:t xml:space="preserve">Telegraph </w:t>
      </w:r>
      <w:r w:rsidR="00F05CFC">
        <w:t xml:space="preserve">and </w:t>
      </w:r>
      <w:r w:rsidR="00F05CFC">
        <w:rPr>
          <w:i/>
        </w:rPr>
        <w:t>Journal</w:t>
      </w:r>
      <w:r w:rsidR="00F05CFC">
        <w:t xml:space="preserve">). </w:t>
      </w:r>
      <w:r w:rsidR="00342DD8">
        <w:t xml:space="preserve">And as we have seen, these government printing contracts were vital in keeping the newspapers afloat. </w:t>
      </w:r>
      <w:r w:rsidR="00F05CFC">
        <w:t xml:space="preserve">But while </w:t>
      </w:r>
      <w:r w:rsidR="00CF30A1">
        <w:t xml:space="preserve">they lost a significant source of revenue, </w:t>
      </w:r>
      <w:r w:rsidR="00342DD8">
        <w:t xml:space="preserve">the </w:t>
      </w:r>
      <w:r w:rsidR="00342DD8">
        <w:rPr>
          <w:i/>
        </w:rPr>
        <w:t xml:space="preserve">Intelligencer’s </w:t>
      </w:r>
      <w:r w:rsidR="00342DD8">
        <w:t>loss of their government printing contracts freed them of many of the obligations they may have</w:t>
      </w:r>
      <w:r w:rsidR="00CF30A1">
        <w:t xml:space="preserve"> had</w:t>
      </w:r>
      <w:r w:rsidR="00342DD8">
        <w:t xml:space="preserve"> to a political official and/or party. </w:t>
      </w:r>
      <w:r w:rsidR="00D6472F">
        <w:t>This</w:t>
      </w:r>
      <w:r w:rsidR="00F519C1">
        <w:t xml:space="preserve"> </w:t>
      </w:r>
      <w:r w:rsidR="00D6472F">
        <w:t>did not last, but for a time t</w:t>
      </w:r>
      <w:r w:rsidR="001D33A4">
        <w:t>hey were independent enough to “criticize and to suggest alternative policies.”</w:t>
      </w:r>
      <w:r w:rsidR="001D33A4">
        <w:rPr>
          <w:rStyle w:val="FootnoteReference"/>
        </w:rPr>
        <w:footnoteReference w:id="32"/>
      </w:r>
    </w:p>
    <w:p w14:paraId="7A62828B" w14:textId="29CD6637" w:rsidR="00A41DB6" w:rsidRDefault="00307805" w:rsidP="002F5339">
      <w:pPr>
        <w:spacing w:line="480" w:lineRule="auto"/>
      </w:pPr>
      <w:r>
        <w:tab/>
      </w:r>
      <w:r w:rsidR="00934E5D">
        <w:t>Tim</w:t>
      </w:r>
      <w:r w:rsidR="00D6472F">
        <w:t>es changed,</w:t>
      </w:r>
      <w:r w:rsidR="00815B6E">
        <w:t xml:space="preserve"> however,</w:t>
      </w:r>
      <w:r w:rsidR="00D6472F">
        <w:t xml:space="preserve"> and Gales and Seaton soon realized they had to pick a side. </w:t>
      </w:r>
      <w:r w:rsidR="00FB78AD">
        <w:t>With the loss of government printing contracts and the increasing hostilities between the Adams and Jackson campaigns, Gales and Seaton eventually swung their allegiance to Adams.</w:t>
      </w:r>
      <w:r w:rsidR="00A41DB6">
        <w:t xml:space="preserve"> Yet it is </w:t>
      </w:r>
      <w:r w:rsidR="00A41DB6">
        <w:lastRenderedPageBreak/>
        <w:t xml:space="preserve">vital to point out that the </w:t>
      </w:r>
      <w:r w:rsidR="00A41DB6">
        <w:rPr>
          <w:i/>
        </w:rPr>
        <w:t>Intelligencer</w:t>
      </w:r>
      <w:r w:rsidR="00A41DB6">
        <w:t xml:space="preserve">’s support was </w:t>
      </w:r>
      <w:r w:rsidR="00CF30A1">
        <w:t>lukewarm</w:t>
      </w:r>
      <w:r w:rsidR="00A41DB6">
        <w:t xml:space="preserve"> at best. In the opening passage declaring their support</w:t>
      </w:r>
      <w:r w:rsidR="00A81360">
        <w:t xml:space="preserve"> for Adams, the </w:t>
      </w:r>
      <w:r w:rsidR="00A81360">
        <w:rPr>
          <w:i/>
        </w:rPr>
        <w:t xml:space="preserve">Intelligencer </w:t>
      </w:r>
      <w:r w:rsidR="00A81360">
        <w:t>proclaimed</w:t>
      </w:r>
      <w:r w:rsidR="00A41DB6">
        <w:t>: “Believing the contest for the next Presidency to be narrowed down to two candidates…we have…explained to our readers the grounds upon which we are…opposed to the election of General Andrew Jackson to the Presidency.”</w:t>
      </w:r>
      <w:r w:rsidR="0060382D">
        <w:rPr>
          <w:rStyle w:val="FootnoteReference"/>
        </w:rPr>
        <w:footnoteReference w:id="33"/>
      </w:r>
      <w:r w:rsidR="00A41DB6">
        <w:t xml:space="preserve"> They define their stance, essentially, as for Adams because he’s not Jackson. </w:t>
      </w:r>
    </w:p>
    <w:p w14:paraId="3037184A" w14:textId="501E195B" w:rsidR="00D256E8" w:rsidRDefault="00F519C1" w:rsidP="00A41DB6">
      <w:pPr>
        <w:spacing w:line="480" w:lineRule="auto"/>
        <w:ind w:firstLine="720"/>
      </w:pPr>
      <w:r>
        <w:t>Considering their refusal to support Adams in 1824, o</w:t>
      </w:r>
      <w:r w:rsidR="00A41DB6">
        <w:t>ne ca</w:t>
      </w:r>
      <w:r w:rsidR="00934E5D">
        <w:t xml:space="preserve">nnot </w:t>
      </w:r>
      <w:r w:rsidR="00A41DB6">
        <w:t>blame Gales and Seaton for their tepid endorsement</w:t>
      </w:r>
      <w:r>
        <w:t xml:space="preserve">, </w:t>
      </w:r>
      <w:r w:rsidR="00A41DB6">
        <w:t>but while t</w:t>
      </w:r>
      <w:r w:rsidR="00F12CA9">
        <w:t>heir</w:t>
      </w:r>
      <w:r w:rsidR="00FB78AD">
        <w:t xml:space="preserve"> loyalty was not as exuberant as the </w:t>
      </w:r>
      <w:r w:rsidR="00FB78AD">
        <w:rPr>
          <w:i/>
        </w:rPr>
        <w:t>Journal</w:t>
      </w:r>
      <w:r w:rsidR="00F12CA9">
        <w:rPr>
          <w:i/>
        </w:rPr>
        <w:t xml:space="preserve">, </w:t>
      </w:r>
      <w:r w:rsidR="00F12CA9">
        <w:t>they</w:t>
      </w:r>
      <w:r w:rsidR="00A41DB6">
        <w:t xml:space="preserve"> still</w:t>
      </w:r>
      <w:r w:rsidR="00F12CA9">
        <w:t xml:space="preserve"> deployed the similar democratic arguments that both the </w:t>
      </w:r>
      <w:r w:rsidR="00F12CA9">
        <w:rPr>
          <w:i/>
        </w:rPr>
        <w:t xml:space="preserve">Journal </w:t>
      </w:r>
      <w:r w:rsidR="00F12CA9">
        <w:t xml:space="preserve">and the </w:t>
      </w:r>
      <w:r w:rsidR="00F12CA9">
        <w:rPr>
          <w:i/>
        </w:rPr>
        <w:t xml:space="preserve">Telegraph </w:t>
      </w:r>
      <w:r w:rsidR="00F12CA9">
        <w:t xml:space="preserve">used. </w:t>
      </w:r>
      <w:r w:rsidR="00A81360">
        <w:t>For example, the</w:t>
      </w:r>
      <w:r w:rsidR="00A41DB6">
        <w:t xml:space="preserve"> </w:t>
      </w:r>
      <w:r w:rsidR="00A41DB6">
        <w:rPr>
          <w:i/>
        </w:rPr>
        <w:t xml:space="preserve">Intelligencer </w:t>
      </w:r>
      <w:r w:rsidR="00A81360">
        <w:t>fully</w:t>
      </w:r>
      <w:r w:rsidR="00D256E8">
        <w:t xml:space="preserve"> support</w:t>
      </w:r>
      <w:r w:rsidR="00A81360">
        <w:t>ed</w:t>
      </w:r>
      <w:r w:rsidR="00D256E8">
        <w:t xml:space="preserve"> Henry Clay’s appo</w:t>
      </w:r>
      <w:r w:rsidR="00A41DB6">
        <w:t xml:space="preserve">intment as Secretary of State. </w:t>
      </w:r>
      <w:r w:rsidR="00A81360">
        <w:t>They</w:t>
      </w:r>
      <w:r w:rsidR="00D256E8">
        <w:rPr>
          <w:i/>
        </w:rPr>
        <w:t xml:space="preserve"> </w:t>
      </w:r>
      <w:r w:rsidR="00A81360">
        <w:t>argued</w:t>
      </w:r>
      <w:r w:rsidR="00D256E8">
        <w:t xml:space="preserve">: </w:t>
      </w:r>
    </w:p>
    <w:p w14:paraId="4CABAA38" w14:textId="289C501C" w:rsidR="00FB78AD" w:rsidRDefault="00D256E8" w:rsidP="00D256E8">
      <w:pPr>
        <w:ind w:left="1440" w:right="1440"/>
        <w:jc w:val="both"/>
      </w:pPr>
      <w:r>
        <w:t>But perhaps it may be said, that this disqual</w:t>
      </w:r>
      <w:r w:rsidR="0079590D">
        <w:t>ification has arisen… because [Clay]</w:t>
      </w:r>
      <w:r>
        <w:t xml:space="preserve"> was a Representative of the People. Is, then, an appointment, </w:t>
      </w:r>
      <w:r>
        <w:rPr>
          <w:i/>
        </w:rPr>
        <w:t xml:space="preserve">by the People, </w:t>
      </w:r>
      <w:r>
        <w:t>t</w:t>
      </w:r>
      <w:r w:rsidR="0094371F">
        <w:t>o the highest…</w:t>
      </w:r>
      <w:r>
        <w:t>office in the National Government with their immediate</w:t>
      </w:r>
      <w:r w:rsidR="0079590D">
        <w:t xml:space="preserve"> </w:t>
      </w:r>
      <w:r>
        <w:t xml:space="preserve">gift, to operate as a civil disqualification for all Executive appointments whatever? Is </w:t>
      </w:r>
      <w:r>
        <w:rPr>
          <w:i/>
        </w:rPr>
        <w:t xml:space="preserve">their </w:t>
      </w:r>
      <w:r>
        <w:t xml:space="preserve">selection to the highest trust to be regarded as proof of a disqualifying incompetency? Is </w:t>
      </w:r>
      <w:r>
        <w:rPr>
          <w:i/>
        </w:rPr>
        <w:t xml:space="preserve">their </w:t>
      </w:r>
      <w:r>
        <w:t xml:space="preserve">favor to be </w:t>
      </w:r>
      <w:r w:rsidR="0079590D">
        <w:t>the cause of disenfranchisement</w:t>
      </w:r>
      <w:r w:rsidR="001D5144">
        <w:t>...</w:t>
      </w:r>
      <w:r w:rsidR="0079590D">
        <w:t xml:space="preserve">? </w:t>
      </w:r>
      <w:r w:rsidR="001D5144">
        <w:t xml:space="preserve">Or are the members of the House…to be informed, that, whilst serving as legislators, they are precluded from the privilege of citizens; that, as soon as they enter the </w:t>
      </w:r>
      <w:r w:rsidR="001D5144">
        <w:rPr>
          <w:i/>
        </w:rPr>
        <w:t xml:space="preserve">service of the People, </w:t>
      </w:r>
      <w:r w:rsidR="001D5144">
        <w:t xml:space="preserve">they are to be regarded as </w:t>
      </w:r>
      <w:proofErr w:type="spellStart"/>
      <w:r w:rsidR="00296509">
        <w:rPr>
          <w:i/>
        </w:rPr>
        <w:t>civiliter</w:t>
      </w:r>
      <w:proofErr w:type="spellEnd"/>
      <w:r w:rsidR="00296509">
        <w:rPr>
          <w:i/>
        </w:rPr>
        <w:t xml:space="preserve"> </w:t>
      </w:r>
      <w:proofErr w:type="spellStart"/>
      <w:r w:rsidR="00296509">
        <w:rPr>
          <w:i/>
        </w:rPr>
        <w:t>moruus</w:t>
      </w:r>
      <w:proofErr w:type="spellEnd"/>
      <w:r w:rsidR="00296509">
        <w:rPr>
          <w:i/>
        </w:rPr>
        <w:t xml:space="preserve"> </w:t>
      </w:r>
      <w:r w:rsidR="00296509">
        <w:t>[civil death]</w:t>
      </w:r>
      <w:r w:rsidR="001D5144">
        <w:rPr>
          <w:i/>
        </w:rPr>
        <w:t xml:space="preserve">, </w:t>
      </w:r>
      <w:r w:rsidR="001D5144">
        <w:t>until</w:t>
      </w:r>
      <w:r w:rsidR="00296509">
        <w:t>, by the expiration of their terms of service, they are restored to the rank from which they have descended?</w:t>
      </w:r>
      <w:r>
        <w:rPr>
          <w:rStyle w:val="FootnoteReference"/>
        </w:rPr>
        <w:footnoteReference w:id="34"/>
      </w:r>
    </w:p>
    <w:p w14:paraId="70AE104A" w14:textId="77777777" w:rsidR="00296509" w:rsidRDefault="00296509" w:rsidP="00D256E8">
      <w:pPr>
        <w:ind w:left="1440" w:right="1440"/>
        <w:jc w:val="both"/>
      </w:pPr>
    </w:p>
    <w:p w14:paraId="60B3E0F0" w14:textId="15FA1CEE" w:rsidR="00A41DB6" w:rsidRDefault="00D256E8" w:rsidP="002F5339">
      <w:pPr>
        <w:spacing w:line="480" w:lineRule="auto"/>
      </w:pPr>
      <w:r>
        <w:tab/>
        <w:t>It is, then, the argument we have seen before—the sanctity of the “choice of the people” or the “people’s will.”</w:t>
      </w:r>
      <w:r w:rsidR="00296509">
        <w:t xml:space="preserve"> While applied in a somewhat backwards way in comparison to the </w:t>
      </w:r>
      <w:r w:rsidR="00296509">
        <w:rPr>
          <w:i/>
        </w:rPr>
        <w:t xml:space="preserve">Telegraph, </w:t>
      </w:r>
      <w:r w:rsidR="00296509">
        <w:t xml:space="preserve">the </w:t>
      </w:r>
      <w:r w:rsidR="00296509">
        <w:rPr>
          <w:i/>
        </w:rPr>
        <w:t xml:space="preserve">Intelligencer </w:t>
      </w:r>
      <w:r w:rsidR="00296509">
        <w:t xml:space="preserve">is essentially arguing that politicians are not only chosen by </w:t>
      </w:r>
      <w:r w:rsidR="000853CE">
        <w:t>“</w:t>
      </w:r>
      <w:r w:rsidR="00296509">
        <w:t>the People</w:t>
      </w:r>
      <w:r w:rsidR="000853CE">
        <w:t>”</w:t>
      </w:r>
      <w:r w:rsidR="00296509">
        <w:t xml:space="preserve"> and represent their wishes, they are also among “the People” and their choices must be </w:t>
      </w:r>
      <w:r w:rsidR="00296509">
        <w:lastRenderedPageBreak/>
        <w:t>respected as well.</w:t>
      </w:r>
      <w:r w:rsidR="0089705E">
        <w:t xml:space="preserve"> </w:t>
      </w:r>
      <w:r w:rsidR="00A41DB6">
        <w:t xml:space="preserve">Clay </w:t>
      </w:r>
      <w:r w:rsidR="0089705E">
        <w:t>was</w:t>
      </w:r>
      <w:r w:rsidR="0094371F">
        <w:t>, after</w:t>
      </w:r>
      <w:r w:rsidR="00934E5D">
        <w:t xml:space="preserve"> </w:t>
      </w:r>
      <w:r w:rsidR="0094371F">
        <w:t>all,</w:t>
      </w:r>
      <w:r w:rsidR="0089705E">
        <w:t xml:space="preserve"> “an individual</w:t>
      </w:r>
      <w:r w:rsidR="00A41DB6">
        <w:t>… [</w:t>
      </w:r>
      <w:r w:rsidR="0089705E">
        <w:t>who stands] prominent in that body which is clothed with the Power and reflects the will of the People.”</w:t>
      </w:r>
      <w:r w:rsidR="0089705E">
        <w:rPr>
          <w:rStyle w:val="FootnoteReference"/>
        </w:rPr>
        <w:footnoteReference w:id="35"/>
      </w:r>
      <w:r w:rsidR="00A41DB6">
        <w:t xml:space="preserve"> </w:t>
      </w:r>
    </w:p>
    <w:p w14:paraId="6FC95357" w14:textId="25A8B8CA" w:rsidR="00296509" w:rsidRDefault="0079590D" w:rsidP="001B1E42">
      <w:pPr>
        <w:spacing w:line="480" w:lineRule="auto"/>
        <w:ind w:firstLine="720"/>
      </w:pPr>
      <w:r>
        <w:t>Moreover</w:t>
      </w:r>
      <w:r w:rsidR="0089705E">
        <w:t xml:space="preserve">, they </w:t>
      </w:r>
      <w:r>
        <w:t>used</w:t>
      </w:r>
      <w:r w:rsidR="0089705E">
        <w:t xml:space="preserve"> the same “military chieftain” argument </w:t>
      </w:r>
      <w:r w:rsidR="007031FC">
        <w:t>as the</w:t>
      </w:r>
      <w:r w:rsidR="0089705E">
        <w:t xml:space="preserve"> </w:t>
      </w:r>
      <w:r w:rsidR="0089705E">
        <w:rPr>
          <w:i/>
        </w:rPr>
        <w:t>Journal</w:t>
      </w:r>
      <w:r w:rsidR="0089705E">
        <w:t>.</w:t>
      </w:r>
      <w:r w:rsidR="00A41DB6">
        <w:t xml:space="preserve"> </w:t>
      </w:r>
      <w:r w:rsidR="001B1E42">
        <w:t xml:space="preserve">While Jackson proved his bravery and valor in the Battle of New Orleans, the </w:t>
      </w:r>
      <w:r w:rsidR="001B1E42">
        <w:rPr>
          <w:i/>
        </w:rPr>
        <w:t xml:space="preserve">Intelligencer </w:t>
      </w:r>
      <w:r w:rsidR="001B1E42">
        <w:t>argued, “we cannot admit that either his gallant conduct on that occasion, the general tenor of his public acts, or his temper, judge of by them, qualify him for the highest civil office</w:t>
      </w:r>
      <w:r w:rsidR="00934E5D">
        <w:t>… [</w:t>
      </w:r>
      <w:r w:rsidR="000853CE">
        <w:t xml:space="preserve">neither </w:t>
      </w:r>
      <w:r w:rsidR="001B1E42">
        <w:t xml:space="preserve">General Jackson’s] mind nor temper are suited for civil office.” They go on to reprint several pieces from Jacksonian newspapers (mostly the </w:t>
      </w:r>
      <w:r w:rsidR="001B1E42" w:rsidRPr="00B93C36">
        <w:rPr>
          <w:i/>
        </w:rPr>
        <w:t>Richmond Enquirer</w:t>
      </w:r>
      <w:r w:rsidR="001B1E42">
        <w:t xml:space="preserve">), which prove their point that Jackson’s temperament and tendency for war makes him out to be a military chieftain. In one passage, the </w:t>
      </w:r>
      <w:r w:rsidR="001B1E42">
        <w:rPr>
          <w:i/>
        </w:rPr>
        <w:t xml:space="preserve">Enquirer </w:t>
      </w:r>
      <w:r w:rsidR="001B1E42">
        <w:t xml:space="preserve">states that war “is continually floating before [Jackson’s] own eyes. The man who can view </w:t>
      </w:r>
      <w:r w:rsidR="001B1E42">
        <w:rPr>
          <w:i/>
        </w:rPr>
        <w:t xml:space="preserve">blood </w:t>
      </w:r>
      <w:r w:rsidR="001B1E42">
        <w:t xml:space="preserve">and </w:t>
      </w:r>
      <w:r w:rsidR="001B1E42">
        <w:rPr>
          <w:i/>
        </w:rPr>
        <w:t xml:space="preserve">carnage </w:t>
      </w:r>
      <w:r w:rsidR="001B1E42">
        <w:t xml:space="preserve">with </w:t>
      </w:r>
      <w:r w:rsidR="001B1E42">
        <w:rPr>
          <w:i/>
        </w:rPr>
        <w:t xml:space="preserve">composure, </w:t>
      </w:r>
      <w:r w:rsidR="00097CEB">
        <w:t xml:space="preserve">has higher qualifications for the Presidency, </w:t>
      </w:r>
      <w:r w:rsidR="001B1E42">
        <w:t xml:space="preserve">than he who is a great </w:t>
      </w:r>
      <w:r w:rsidR="001B1E42">
        <w:rPr>
          <w:i/>
        </w:rPr>
        <w:t xml:space="preserve">civilian, </w:t>
      </w:r>
      <w:r w:rsidR="001B1E42">
        <w:t xml:space="preserve">or a </w:t>
      </w:r>
      <w:r w:rsidR="001B1E42">
        <w:rPr>
          <w:i/>
        </w:rPr>
        <w:t>great politician.</w:t>
      </w:r>
      <w:r w:rsidR="00097CEB">
        <w:t xml:space="preserve">” They further quote the </w:t>
      </w:r>
      <w:r w:rsidR="00097CEB">
        <w:rPr>
          <w:i/>
        </w:rPr>
        <w:t>National Advocate</w:t>
      </w:r>
      <w:r w:rsidR="007031FC">
        <w:rPr>
          <w:i/>
        </w:rPr>
        <w:t xml:space="preserve">, </w:t>
      </w:r>
      <w:r w:rsidR="00B93C36">
        <w:t>an</w:t>
      </w:r>
      <w:r w:rsidR="007031FC">
        <w:t xml:space="preserve"> Adams</w:t>
      </w:r>
      <w:r w:rsidR="00934E5D">
        <w:t>’</w:t>
      </w:r>
      <w:r w:rsidR="007031FC">
        <w:t xml:space="preserve"> paper,</w:t>
      </w:r>
      <w:r w:rsidR="00097CEB">
        <w:rPr>
          <w:i/>
        </w:rPr>
        <w:t xml:space="preserve"> </w:t>
      </w:r>
      <w:r w:rsidR="00097CEB">
        <w:t xml:space="preserve">which stated: “Almost every republic known to history…have been subverted or destroyed by </w:t>
      </w:r>
      <w:r w:rsidR="00097CEB">
        <w:rPr>
          <w:i/>
        </w:rPr>
        <w:t xml:space="preserve">military usurpation. </w:t>
      </w:r>
      <w:r w:rsidR="00097CEB">
        <w:t xml:space="preserve">We know </w:t>
      </w:r>
      <w:r w:rsidR="00097CEB">
        <w:rPr>
          <w:i/>
        </w:rPr>
        <w:t xml:space="preserve">the influence of the sword, the effect of military glory, </w:t>
      </w:r>
      <w:r w:rsidR="00097CEB">
        <w:t>the daunting, destructing power of armies… and if we swallow the gilded pill with our eyes open, we shall have less claim to pity than nation</w:t>
      </w:r>
      <w:r w:rsidR="007031FC">
        <w:t>s</w:t>
      </w:r>
      <w:r w:rsidR="00097CEB">
        <w:t xml:space="preserve"> better prepared to do right.”</w:t>
      </w:r>
    </w:p>
    <w:p w14:paraId="198F2FFC" w14:textId="4CC303FE" w:rsidR="001B1E42" w:rsidRDefault="000542DF" w:rsidP="00097CEB">
      <w:pPr>
        <w:spacing w:line="480" w:lineRule="auto"/>
        <w:ind w:firstLine="720"/>
      </w:pPr>
      <w:r>
        <w:t>While</w:t>
      </w:r>
      <w:r w:rsidR="00097CEB">
        <w:t xml:space="preserve"> </w:t>
      </w:r>
      <w:r w:rsidR="00934E5D">
        <w:t xml:space="preserve">the </w:t>
      </w:r>
      <w:r w:rsidR="00934E5D">
        <w:rPr>
          <w:i/>
        </w:rPr>
        <w:t>Intelligencer</w:t>
      </w:r>
      <w:r w:rsidR="00097CEB">
        <w:t xml:space="preserve"> d</w:t>
      </w:r>
      <w:r w:rsidR="00934E5D">
        <w:t>oes not</w:t>
      </w:r>
      <w:r w:rsidR="00097CEB">
        <w:t xml:space="preserve"> say it in </w:t>
      </w:r>
      <w:r>
        <w:t>their own words,</w:t>
      </w:r>
      <w:r w:rsidR="00097CEB">
        <w:t xml:space="preserve"> their argument is clear: Jackson was a military general who thought</w:t>
      </w:r>
      <w:r w:rsidR="00B93C36">
        <w:t xml:space="preserve"> of</w:t>
      </w:r>
      <w:r w:rsidR="00097CEB">
        <w:t xml:space="preserve"> nothing but war and violence, and as history predicated, military generals who assume power ultimately bring about the destruction of democracy. The Jacksonians were simply trying to dupe the American people into taking the “gilded pill.” They were</w:t>
      </w:r>
      <w:r w:rsidR="001B1E42">
        <w:t xml:space="preserve"> hypocrites, filling the people’s heads with lies. “The combination of the conductors of the press for the support of General Jackson,” they argued, “is essentially bad. It is </w:t>
      </w:r>
      <w:r w:rsidR="001B1E42">
        <w:lastRenderedPageBreak/>
        <w:t xml:space="preserve">a combination to put down the present Administration of the Government, right or wrong, to establish on its ruins one which </w:t>
      </w:r>
      <w:r w:rsidR="001B1E42">
        <w:rPr>
          <w:i/>
        </w:rPr>
        <w:t xml:space="preserve">they know </w:t>
      </w:r>
      <w:r w:rsidR="001B1E42">
        <w:t>will be dangerous (at least hazardous) to their country.”</w:t>
      </w:r>
      <w:r w:rsidR="00097CEB">
        <w:rPr>
          <w:rStyle w:val="FootnoteReference"/>
        </w:rPr>
        <w:footnoteReference w:id="36"/>
      </w:r>
    </w:p>
    <w:p w14:paraId="2530A84C" w14:textId="2299B18E" w:rsidR="00284699" w:rsidRDefault="006E1B5A" w:rsidP="00097CEB">
      <w:pPr>
        <w:spacing w:line="480" w:lineRule="auto"/>
        <w:ind w:firstLine="720"/>
      </w:pPr>
      <w:r>
        <w:t>I</w:t>
      </w:r>
      <w:r w:rsidR="00934E5D">
        <w:t>t is</w:t>
      </w:r>
      <w:r>
        <w:t xml:space="preserve"> the </w:t>
      </w:r>
      <w:r w:rsidR="006D717F">
        <w:t>same rhetoric</w:t>
      </w:r>
      <w:r>
        <w:t xml:space="preserve"> repeated all over again: military chieftain, will of the people, democracy in danger, hypocrites and liars, tyranny and power. </w:t>
      </w:r>
      <w:r w:rsidR="002B3789">
        <w:t>The arguments against and/or</w:t>
      </w:r>
      <w:r w:rsidR="00365B3F">
        <w:t xml:space="preserve"> for one candidate or the other </w:t>
      </w:r>
      <w:r w:rsidR="00C30EAD">
        <w:t xml:space="preserve">may differ in details, but their overall trend is essentially pro-democracy, anti-tyranny, with one side defending democracy and the other trying to take it away. </w:t>
      </w:r>
    </w:p>
    <w:p w14:paraId="7E707569" w14:textId="29054A1D" w:rsidR="0085224A" w:rsidRDefault="00B93C36" w:rsidP="00097CEB">
      <w:pPr>
        <w:spacing w:line="480" w:lineRule="auto"/>
        <w:ind w:firstLine="720"/>
      </w:pPr>
      <w:r>
        <w:t xml:space="preserve">As such, the democratic principle’s influence is clear. The rhetoric deployed by all three national newspapers reflected the democratic sentiments of not only its writers, but its readers as well. It helped to sell their newspapers, to garner support for their candidates, and to influence the political process. </w:t>
      </w:r>
      <w:r w:rsidR="00F92534">
        <w:t xml:space="preserve">These democratic sentiments were based on ideologies of egalitarianism </w:t>
      </w:r>
      <w:r w:rsidR="004F314D">
        <w:t xml:space="preserve">and a fear of tyrannical power, and they are what shaped the democratic principle which O’Sullivan so passionately discusses. </w:t>
      </w:r>
    </w:p>
    <w:p w14:paraId="4AF8FFD8" w14:textId="0AF10B87" w:rsidR="004F314D" w:rsidRDefault="004F314D" w:rsidP="00097CEB">
      <w:pPr>
        <w:spacing w:line="480" w:lineRule="auto"/>
        <w:ind w:firstLine="720"/>
      </w:pPr>
      <w:r>
        <w:t>Yet the democratic principle’s influence was broader than just rhetoric. This ideology also fueled the public policy initiatives taken during the early 19</w:t>
      </w:r>
      <w:r w:rsidRPr="004F314D">
        <w:rPr>
          <w:vertAlign w:val="superscript"/>
        </w:rPr>
        <w:t>th</w:t>
      </w:r>
      <w:r>
        <w:t xml:space="preserve"> century which helped to </w:t>
      </w:r>
      <w:r w:rsidR="002B3789">
        <w:t>establish</w:t>
      </w:r>
      <w:r>
        <w:t xml:space="preserve"> and sustain the partisan press. A </w:t>
      </w:r>
      <w:r w:rsidR="002B3789">
        <w:t>partisan press’ licentiousness wa</w:t>
      </w:r>
      <w:r>
        <w:t xml:space="preserve">s often seen as destructive to a democracy, but its value as an educational tool made up for its licentious excesses. The democratic principle insisted that an educated majority was what kept a tyrannical minority at bay, and the newspaper was the primary form of political education. Consequently, the United States’ federal government took steps to support the burgeoning political press. Subsidization of the Postal System, the franking privilege, and government printing contracts, all </w:t>
      </w:r>
      <w:r>
        <w:lastRenderedPageBreak/>
        <w:t xml:space="preserve">allowed newspapers such as the </w:t>
      </w:r>
      <w:r>
        <w:rPr>
          <w:i/>
        </w:rPr>
        <w:t xml:space="preserve">Telegraph, Journal, </w:t>
      </w:r>
      <w:r>
        <w:t xml:space="preserve">and </w:t>
      </w:r>
      <w:r>
        <w:rPr>
          <w:i/>
        </w:rPr>
        <w:t xml:space="preserve">Intelligencer </w:t>
      </w:r>
      <w:r>
        <w:t xml:space="preserve">to not only get off the ground, but to survive. </w:t>
      </w:r>
    </w:p>
    <w:p w14:paraId="0047373C" w14:textId="581233E2" w:rsidR="004F314D" w:rsidRPr="004F314D" w:rsidRDefault="004F314D" w:rsidP="00097CEB">
      <w:pPr>
        <w:spacing w:line="480" w:lineRule="auto"/>
        <w:ind w:firstLine="720"/>
      </w:pPr>
      <w:r>
        <w:t xml:space="preserve">The partisan press may have been vicious, cruel even, and it was a prime </w:t>
      </w:r>
      <w:r w:rsidR="00CA144D">
        <w:t>manufacturer</w:t>
      </w:r>
      <w:r>
        <w:t xml:space="preserve"> of falsehoods and innuendos. Yet a</w:t>
      </w:r>
      <w:r w:rsidR="00CA144D">
        <w:t>s De Tocqueville admitted, the partisan press was a mixture of both good and evil—it could be destructive, but the information</w:t>
      </w:r>
      <w:r w:rsidR="00B2254D">
        <w:t xml:space="preserve"> and oversight</w:t>
      </w:r>
      <w:r w:rsidR="00CA144D">
        <w:t xml:space="preserve"> it provided allowed freedom to thrive. </w:t>
      </w:r>
      <w:r w:rsidR="00B2254D">
        <w:t>To Americans of the early 19</w:t>
      </w:r>
      <w:r w:rsidR="00B2254D" w:rsidRPr="00B2254D">
        <w:rPr>
          <w:vertAlign w:val="superscript"/>
        </w:rPr>
        <w:t>th</w:t>
      </w:r>
      <w:r w:rsidR="00B2254D">
        <w:t xml:space="preserve"> century, </w:t>
      </w:r>
      <w:r w:rsidR="001644E5">
        <w:t>a bit—OK, more than a bit—</w:t>
      </w:r>
      <w:r w:rsidR="00CA144D">
        <w:t>of political mudslinging</w:t>
      </w:r>
      <w:r w:rsidR="00B2254D">
        <w:t xml:space="preserve"> may have to be dealt with</w:t>
      </w:r>
      <w:r w:rsidR="00CA144D">
        <w:t>, but the payoff</w:t>
      </w:r>
      <w:r w:rsidR="00B2254D">
        <w:t xml:space="preserve"> wa</w:t>
      </w:r>
      <w:r w:rsidR="00CA144D">
        <w:t>s well worth it</w:t>
      </w:r>
      <w:bookmarkStart w:id="0" w:name="_GoBack"/>
      <w:bookmarkEnd w:id="0"/>
      <w:r w:rsidR="00CA144D">
        <w:t xml:space="preserve">. </w:t>
      </w:r>
    </w:p>
    <w:p w14:paraId="3B552FA3" w14:textId="77777777" w:rsidR="000A5D02" w:rsidRPr="00C97B95" w:rsidRDefault="000A5D02" w:rsidP="007A494A">
      <w:pPr>
        <w:spacing w:line="480" w:lineRule="auto"/>
        <w:ind w:firstLine="720"/>
      </w:pPr>
    </w:p>
    <w:p w14:paraId="4E1148AC" w14:textId="77777777" w:rsidR="0074073E" w:rsidRDefault="0074073E">
      <w:r>
        <w:br w:type="page"/>
      </w:r>
    </w:p>
    <w:p w14:paraId="081DBAC4" w14:textId="77777777" w:rsidR="00C0512D" w:rsidRDefault="0074073E" w:rsidP="0074073E">
      <w:pPr>
        <w:spacing w:line="480" w:lineRule="auto"/>
        <w:jc w:val="center"/>
      </w:pPr>
      <w:r>
        <w:lastRenderedPageBreak/>
        <w:t>Works Cited</w:t>
      </w:r>
    </w:p>
    <w:p w14:paraId="791221D8" w14:textId="77777777" w:rsidR="00C311F3" w:rsidRPr="00C311F3" w:rsidRDefault="00C0512D" w:rsidP="00C311F3">
      <w:pPr>
        <w:pStyle w:val="EndNoteBibliography"/>
        <w:ind w:left="720" w:hanging="720"/>
        <w:rPr>
          <w:noProof/>
        </w:rPr>
      </w:pPr>
      <w:r>
        <w:fldChar w:fldCharType="begin"/>
      </w:r>
      <w:r>
        <w:instrText xml:space="preserve"> ADDIN EN.REFLIST </w:instrText>
      </w:r>
      <w:r>
        <w:fldChar w:fldCharType="separate"/>
      </w:r>
      <w:r w:rsidR="00C311F3" w:rsidRPr="00C311F3">
        <w:rPr>
          <w:noProof/>
        </w:rPr>
        <w:t xml:space="preserve">Ames, William E. </w:t>
      </w:r>
      <w:r w:rsidR="00C311F3" w:rsidRPr="00C311F3">
        <w:rPr>
          <w:i/>
          <w:noProof/>
        </w:rPr>
        <w:t>A History of the National Intelligencer</w:t>
      </w:r>
      <w:r w:rsidR="00C311F3" w:rsidRPr="00C311F3">
        <w:rPr>
          <w:noProof/>
        </w:rPr>
        <w:t>.  Chapel Hill: The University of North Carolina Press, 1972.</w:t>
      </w:r>
    </w:p>
    <w:p w14:paraId="47CCCB95" w14:textId="77777777" w:rsidR="00C311F3" w:rsidRPr="00C311F3" w:rsidRDefault="00C311F3" w:rsidP="00C311F3">
      <w:pPr>
        <w:pStyle w:val="EndNoteBibliography"/>
        <w:ind w:left="720" w:hanging="720"/>
        <w:rPr>
          <w:noProof/>
        </w:rPr>
      </w:pPr>
      <w:r w:rsidRPr="00C311F3">
        <w:rPr>
          <w:noProof/>
        </w:rPr>
        <w:t xml:space="preserve">Baldasty, Gerald J. </w:t>
      </w:r>
      <w:r w:rsidRPr="00C311F3">
        <w:rPr>
          <w:i/>
          <w:noProof/>
        </w:rPr>
        <w:t>The Commercialization of News in the Nineteenth Century</w:t>
      </w:r>
      <w:r w:rsidRPr="00C311F3">
        <w:rPr>
          <w:noProof/>
        </w:rPr>
        <w:t>.  Madison, Wisconsin: University of Wisconsin Press, 1992.</w:t>
      </w:r>
    </w:p>
    <w:p w14:paraId="1970DEA5" w14:textId="77777777" w:rsidR="00C311F3" w:rsidRPr="00C311F3" w:rsidRDefault="00C311F3" w:rsidP="00C311F3">
      <w:pPr>
        <w:pStyle w:val="EndNoteBibliography"/>
        <w:ind w:left="720" w:hanging="720"/>
        <w:rPr>
          <w:noProof/>
        </w:rPr>
      </w:pPr>
      <w:r w:rsidRPr="00C311F3">
        <w:rPr>
          <w:noProof/>
        </w:rPr>
        <w:t xml:space="preserve">Belko, Stephen. </w:t>
      </w:r>
      <w:r w:rsidRPr="00C311F3">
        <w:rPr>
          <w:i/>
          <w:noProof/>
        </w:rPr>
        <w:t>Invincible Duff Green: Whig of the West</w:t>
      </w:r>
      <w:r w:rsidRPr="00C311F3">
        <w:rPr>
          <w:noProof/>
        </w:rPr>
        <w:t>.  Columbia: University of Missouri Press, 2006.</w:t>
      </w:r>
    </w:p>
    <w:p w14:paraId="752E4420" w14:textId="77777777" w:rsidR="00C311F3" w:rsidRPr="00C311F3" w:rsidRDefault="00C311F3" w:rsidP="00C311F3">
      <w:pPr>
        <w:pStyle w:val="EndNoteBibliography"/>
        <w:ind w:left="720" w:hanging="720"/>
        <w:rPr>
          <w:noProof/>
        </w:rPr>
      </w:pPr>
      <w:r w:rsidRPr="00C311F3">
        <w:rPr>
          <w:noProof/>
        </w:rPr>
        <w:t xml:space="preserve">Force, Peter. "Washington." </w:t>
      </w:r>
      <w:r w:rsidRPr="00C311F3">
        <w:rPr>
          <w:i/>
          <w:noProof/>
        </w:rPr>
        <w:t>The Daily National Journal</w:t>
      </w:r>
      <w:r w:rsidRPr="00C311F3">
        <w:rPr>
          <w:noProof/>
        </w:rPr>
        <w:t>, March 3, 1828.</w:t>
      </w:r>
    </w:p>
    <w:p w14:paraId="7B15F0B5" w14:textId="77777777" w:rsidR="00C311F3" w:rsidRPr="00C311F3" w:rsidRDefault="00C311F3" w:rsidP="00C311F3">
      <w:pPr>
        <w:pStyle w:val="EndNoteBibliography"/>
        <w:ind w:left="720" w:hanging="720"/>
        <w:rPr>
          <w:noProof/>
        </w:rPr>
      </w:pPr>
      <w:r w:rsidRPr="00C311F3">
        <w:rPr>
          <w:noProof/>
        </w:rPr>
        <w:t xml:space="preserve">Green, Duff. "First Principles." </w:t>
      </w:r>
      <w:r w:rsidRPr="00C311F3">
        <w:rPr>
          <w:i/>
          <w:noProof/>
        </w:rPr>
        <w:t>United States’ Telegraph</w:t>
      </w:r>
      <w:r w:rsidRPr="00C311F3">
        <w:rPr>
          <w:noProof/>
        </w:rPr>
        <w:t>, October 21, 1826.</w:t>
      </w:r>
    </w:p>
    <w:p w14:paraId="286A2ACF" w14:textId="77777777" w:rsidR="00C311F3" w:rsidRPr="00C311F3" w:rsidRDefault="00C311F3" w:rsidP="00C311F3">
      <w:pPr>
        <w:pStyle w:val="EndNoteBibliography"/>
        <w:ind w:left="720" w:hanging="720"/>
        <w:rPr>
          <w:noProof/>
        </w:rPr>
      </w:pPr>
      <w:r w:rsidRPr="00C311F3">
        <w:rPr>
          <w:noProof/>
        </w:rPr>
        <w:t xml:space="preserve">———. "Republic Ticket." </w:t>
      </w:r>
      <w:r w:rsidRPr="00C311F3">
        <w:rPr>
          <w:i/>
          <w:noProof/>
        </w:rPr>
        <w:t>United States’ Telegraph</w:t>
      </w:r>
      <w:r w:rsidRPr="00C311F3">
        <w:rPr>
          <w:noProof/>
        </w:rPr>
        <w:t>, March 5, 1828.</w:t>
      </w:r>
    </w:p>
    <w:p w14:paraId="6F2A91AA" w14:textId="77777777" w:rsidR="00C311F3" w:rsidRPr="00C311F3" w:rsidRDefault="00C311F3" w:rsidP="00C311F3">
      <w:pPr>
        <w:pStyle w:val="EndNoteBibliography"/>
        <w:ind w:left="720" w:hanging="720"/>
        <w:rPr>
          <w:noProof/>
        </w:rPr>
      </w:pPr>
      <w:r w:rsidRPr="00C311F3">
        <w:rPr>
          <w:noProof/>
        </w:rPr>
        <w:t xml:space="preserve">Grimke, Frederick. </w:t>
      </w:r>
      <w:r w:rsidRPr="00C311F3">
        <w:rPr>
          <w:i/>
          <w:noProof/>
        </w:rPr>
        <w:t>The Nature and Tendency of Free Institutions</w:t>
      </w:r>
      <w:r w:rsidRPr="00C311F3">
        <w:rPr>
          <w:noProof/>
        </w:rPr>
        <w:t>. Edited by John William Ward Cambridge, Mass: Harvard University Press, 1968.</w:t>
      </w:r>
    </w:p>
    <w:p w14:paraId="0CF04E24" w14:textId="77777777" w:rsidR="00C311F3" w:rsidRPr="00C311F3" w:rsidRDefault="00C311F3" w:rsidP="00C311F3">
      <w:pPr>
        <w:pStyle w:val="EndNoteBibliography"/>
        <w:ind w:left="720" w:hanging="720"/>
        <w:rPr>
          <w:noProof/>
        </w:rPr>
      </w:pPr>
      <w:r w:rsidRPr="00C311F3">
        <w:rPr>
          <w:noProof/>
        </w:rPr>
        <w:t xml:space="preserve">John, Richard R. </w:t>
      </w:r>
      <w:r w:rsidRPr="00C311F3">
        <w:rPr>
          <w:i/>
          <w:noProof/>
        </w:rPr>
        <w:t>Spreading the News: The American Postal System from Franklin to Morse</w:t>
      </w:r>
      <w:r w:rsidRPr="00C311F3">
        <w:rPr>
          <w:noProof/>
        </w:rPr>
        <w:t>.  Cambridge, Massachusetts: Harvard University Press, 1995.</w:t>
      </w:r>
    </w:p>
    <w:p w14:paraId="67622E68" w14:textId="77777777" w:rsidR="00C311F3" w:rsidRPr="00C311F3" w:rsidRDefault="00C311F3" w:rsidP="00C311F3">
      <w:pPr>
        <w:pStyle w:val="EndNoteBibliography"/>
        <w:ind w:left="720" w:hanging="720"/>
        <w:rPr>
          <w:noProof/>
        </w:rPr>
      </w:pPr>
      <w:r w:rsidRPr="00C311F3">
        <w:rPr>
          <w:noProof/>
        </w:rPr>
        <w:t xml:space="preserve">Meehan, John S. "The Party of the Many and the Party of the Few." </w:t>
      </w:r>
      <w:r w:rsidRPr="00C311F3">
        <w:rPr>
          <w:i/>
          <w:noProof/>
        </w:rPr>
        <w:t>United States’ Telegraph</w:t>
      </w:r>
      <w:r w:rsidRPr="00C311F3">
        <w:rPr>
          <w:noProof/>
        </w:rPr>
        <w:t>, February 9, 1826.</w:t>
      </w:r>
    </w:p>
    <w:p w14:paraId="3611625A" w14:textId="77777777" w:rsidR="00C311F3" w:rsidRPr="00C311F3" w:rsidRDefault="00C311F3" w:rsidP="00C311F3">
      <w:pPr>
        <w:pStyle w:val="EndNoteBibliography"/>
        <w:ind w:left="720" w:hanging="720"/>
        <w:rPr>
          <w:noProof/>
        </w:rPr>
      </w:pPr>
      <w:r w:rsidRPr="00C311F3">
        <w:rPr>
          <w:noProof/>
        </w:rPr>
        <w:t xml:space="preserve">———. "To the Public." </w:t>
      </w:r>
      <w:r w:rsidRPr="00C311F3">
        <w:rPr>
          <w:i/>
          <w:noProof/>
        </w:rPr>
        <w:t>United States’ Telegraph</w:t>
      </w:r>
      <w:r w:rsidRPr="00C311F3">
        <w:rPr>
          <w:noProof/>
        </w:rPr>
        <w:t>, February 6, 1826.</w:t>
      </w:r>
    </w:p>
    <w:p w14:paraId="44AFDB58" w14:textId="77777777" w:rsidR="00C311F3" w:rsidRPr="00C311F3" w:rsidRDefault="00C311F3" w:rsidP="00C311F3">
      <w:pPr>
        <w:pStyle w:val="EndNoteBibliography"/>
        <w:ind w:left="720" w:hanging="720"/>
        <w:rPr>
          <w:noProof/>
        </w:rPr>
      </w:pPr>
      <w:r w:rsidRPr="00C311F3">
        <w:rPr>
          <w:noProof/>
        </w:rPr>
        <w:t xml:space="preserve">———. "Washington City." </w:t>
      </w:r>
      <w:r w:rsidRPr="00C311F3">
        <w:rPr>
          <w:i/>
          <w:noProof/>
        </w:rPr>
        <w:t>United States’ Telegraph</w:t>
      </w:r>
      <w:r w:rsidRPr="00C311F3">
        <w:rPr>
          <w:noProof/>
        </w:rPr>
        <w:t>, September 27, 1826.</w:t>
      </w:r>
    </w:p>
    <w:p w14:paraId="7A541C60" w14:textId="77777777" w:rsidR="00C311F3" w:rsidRPr="00C311F3" w:rsidRDefault="00C311F3" w:rsidP="00C311F3">
      <w:pPr>
        <w:pStyle w:val="EndNoteBibliography"/>
        <w:ind w:left="720" w:hanging="720"/>
        <w:rPr>
          <w:noProof/>
        </w:rPr>
      </w:pPr>
      <w:r w:rsidRPr="00C311F3">
        <w:rPr>
          <w:noProof/>
        </w:rPr>
        <w:t xml:space="preserve">O’Sullivan, John L. "The Democratic Principle." </w:t>
      </w:r>
      <w:r w:rsidRPr="00C311F3">
        <w:rPr>
          <w:i/>
          <w:noProof/>
        </w:rPr>
        <w:t xml:space="preserve">The United States Magazine and Democratic Review </w:t>
      </w:r>
      <w:r w:rsidRPr="00C311F3">
        <w:rPr>
          <w:noProof/>
        </w:rPr>
        <w:t>1, no. 1 (1837).</w:t>
      </w:r>
    </w:p>
    <w:p w14:paraId="0D62A677" w14:textId="77777777" w:rsidR="00C311F3" w:rsidRPr="00C311F3" w:rsidRDefault="00C311F3" w:rsidP="00C311F3">
      <w:pPr>
        <w:pStyle w:val="EndNoteBibliography"/>
        <w:ind w:left="720" w:hanging="720"/>
        <w:rPr>
          <w:noProof/>
        </w:rPr>
      </w:pPr>
      <w:r w:rsidRPr="00C311F3">
        <w:rPr>
          <w:noProof/>
        </w:rPr>
        <w:t xml:space="preserve">Remini, Robert V. </w:t>
      </w:r>
      <w:r w:rsidRPr="00C311F3">
        <w:rPr>
          <w:i/>
          <w:noProof/>
        </w:rPr>
        <w:t>The Election of Andrew Jackson</w:t>
      </w:r>
      <w:r w:rsidRPr="00C311F3">
        <w:rPr>
          <w:noProof/>
        </w:rPr>
        <w:t>. Critical Periods of History.  Philadelphia and New York: J.B. Lippincott Company, 1963.</w:t>
      </w:r>
    </w:p>
    <w:p w14:paraId="2D7A7A8D" w14:textId="77777777" w:rsidR="00C311F3" w:rsidRPr="00C311F3" w:rsidRDefault="00C311F3" w:rsidP="00C311F3">
      <w:pPr>
        <w:pStyle w:val="EndNoteBibliography"/>
        <w:ind w:left="720" w:hanging="720"/>
        <w:rPr>
          <w:noProof/>
        </w:rPr>
      </w:pPr>
      <w:r w:rsidRPr="00C311F3">
        <w:rPr>
          <w:noProof/>
        </w:rPr>
        <w:lastRenderedPageBreak/>
        <w:t xml:space="preserve">Seaton, Joseph Gales Jr. and William W. "Communication." </w:t>
      </w:r>
      <w:r w:rsidRPr="00C311F3">
        <w:rPr>
          <w:i/>
          <w:noProof/>
        </w:rPr>
        <w:t>The National Intelligencer</w:t>
      </w:r>
      <w:r w:rsidRPr="00C311F3">
        <w:rPr>
          <w:noProof/>
        </w:rPr>
        <w:t>, August 18, 1827.</w:t>
      </w:r>
    </w:p>
    <w:p w14:paraId="669611BB" w14:textId="77777777" w:rsidR="00C311F3" w:rsidRPr="00C311F3" w:rsidRDefault="00C311F3" w:rsidP="00C311F3">
      <w:pPr>
        <w:pStyle w:val="EndNoteBibliography"/>
        <w:ind w:left="720" w:hanging="720"/>
        <w:rPr>
          <w:noProof/>
        </w:rPr>
      </w:pPr>
      <w:r w:rsidRPr="00C311F3">
        <w:rPr>
          <w:noProof/>
        </w:rPr>
        <w:t xml:space="preserve">———. "The Next Presidency." </w:t>
      </w:r>
      <w:r w:rsidRPr="00C311F3">
        <w:rPr>
          <w:i/>
          <w:noProof/>
        </w:rPr>
        <w:t>The National Intelligencer</w:t>
      </w:r>
      <w:r w:rsidRPr="00C311F3">
        <w:rPr>
          <w:noProof/>
        </w:rPr>
        <w:t>, August 18, 1827.</w:t>
      </w:r>
    </w:p>
    <w:p w14:paraId="144382A4" w14:textId="77777777" w:rsidR="00C311F3" w:rsidRPr="00C311F3" w:rsidRDefault="00C311F3" w:rsidP="00C311F3">
      <w:pPr>
        <w:pStyle w:val="EndNoteBibliography"/>
        <w:ind w:left="720" w:hanging="720"/>
        <w:rPr>
          <w:noProof/>
        </w:rPr>
      </w:pPr>
      <w:r w:rsidRPr="00C311F3">
        <w:rPr>
          <w:noProof/>
        </w:rPr>
        <w:t xml:space="preserve">Smith, Culver S. </w:t>
      </w:r>
      <w:r w:rsidRPr="00C311F3">
        <w:rPr>
          <w:i/>
          <w:noProof/>
        </w:rPr>
        <w:t>The Press, Politics, and Patronage: The American Government’s Use of Newspapers, 1789-1875</w:t>
      </w:r>
      <w:r w:rsidRPr="00C311F3">
        <w:rPr>
          <w:noProof/>
        </w:rPr>
        <w:t>.  Athens: The University of Georgia Press, 1977.</w:t>
      </w:r>
    </w:p>
    <w:p w14:paraId="66EAF23E" w14:textId="77777777" w:rsidR="00C311F3" w:rsidRPr="00C311F3" w:rsidRDefault="00C311F3" w:rsidP="00C311F3">
      <w:pPr>
        <w:pStyle w:val="EndNoteBibliography"/>
        <w:ind w:left="720" w:hanging="720"/>
        <w:rPr>
          <w:noProof/>
        </w:rPr>
      </w:pPr>
      <w:r w:rsidRPr="00C311F3">
        <w:rPr>
          <w:noProof/>
        </w:rPr>
        <w:t xml:space="preserve">Starr, Paul. </w:t>
      </w:r>
      <w:r w:rsidRPr="00C311F3">
        <w:rPr>
          <w:i/>
          <w:noProof/>
        </w:rPr>
        <w:t>The Creation of the Media: Political Origins of Modern Communications</w:t>
      </w:r>
      <w:r w:rsidRPr="00C311F3">
        <w:rPr>
          <w:noProof/>
        </w:rPr>
        <w:t>.  New York: Basic Books, 2004.</w:t>
      </w:r>
    </w:p>
    <w:p w14:paraId="0FC7931F" w14:textId="77777777" w:rsidR="00C311F3" w:rsidRPr="00C311F3" w:rsidRDefault="00C311F3" w:rsidP="00C311F3">
      <w:pPr>
        <w:pStyle w:val="EndNoteBibliography"/>
        <w:ind w:left="720" w:hanging="720"/>
        <w:rPr>
          <w:noProof/>
        </w:rPr>
      </w:pPr>
      <w:r w:rsidRPr="00C311F3">
        <w:rPr>
          <w:noProof/>
        </w:rPr>
        <w:t xml:space="preserve">Tocqueville, Alexis de. </w:t>
      </w:r>
      <w:r w:rsidRPr="00C311F3">
        <w:rPr>
          <w:i/>
          <w:noProof/>
        </w:rPr>
        <w:t>Democracy in America and Two Essay on America</w:t>
      </w:r>
      <w:r w:rsidRPr="00C311F3">
        <w:rPr>
          <w:noProof/>
        </w:rPr>
        <w:t>. Translated by Gerald E. Bevan.  London: Penguin Books, 2003.</w:t>
      </w:r>
    </w:p>
    <w:p w14:paraId="6A9D3464" w14:textId="77777777" w:rsidR="00C311F3" w:rsidRPr="00C311F3" w:rsidRDefault="00C311F3" w:rsidP="00C311F3">
      <w:pPr>
        <w:pStyle w:val="EndNoteBibliography"/>
        <w:ind w:left="720" w:hanging="720"/>
        <w:rPr>
          <w:noProof/>
        </w:rPr>
      </w:pPr>
      <w:r w:rsidRPr="00C311F3">
        <w:rPr>
          <w:noProof/>
        </w:rPr>
        <w:t xml:space="preserve">Young, John Sterling. </w:t>
      </w:r>
      <w:r w:rsidRPr="00C311F3">
        <w:rPr>
          <w:i/>
          <w:noProof/>
        </w:rPr>
        <w:t>The Washington Community, 1800-1828</w:t>
      </w:r>
      <w:r w:rsidRPr="00C311F3">
        <w:rPr>
          <w:noProof/>
        </w:rPr>
        <w:t>.  New York: Columbia University Press, 1966.</w:t>
      </w:r>
    </w:p>
    <w:p w14:paraId="4DA17E6B" w14:textId="7663B82B" w:rsidR="00504EA0" w:rsidRPr="00C0512D" w:rsidRDefault="00C0512D" w:rsidP="005E6DA7">
      <w:pPr>
        <w:spacing w:line="480" w:lineRule="auto"/>
      </w:pPr>
      <w:r>
        <w:fldChar w:fldCharType="end"/>
      </w:r>
    </w:p>
    <w:sectPr w:rsidR="00504EA0" w:rsidRPr="00C0512D" w:rsidSect="004C03D4">
      <w:headerReference w:type="even" r:id="rId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7BFF3" w14:textId="77777777" w:rsidR="005A5883" w:rsidRDefault="005A5883" w:rsidP="00C0512D">
      <w:r>
        <w:separator/>
      </w:r>
    </w:p>
  </w:endnote>
  <w:endnote w:type="continuationSeparator" w:id="0">
    <w:p w14:paraId="7DA7317B" w14:textId="77777777" w:rsidR="005A5883" w:rsidRDefault="005A5883" w:rsidP="00C0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32174" w14:textId="77777777" w:rsidR="005A5883" w:rsidRDefault="005A5883" w:rsidP="00C0512D">
      <w:r>
        <w:separator/>
      </w:r>
    </w:p>
  </w:footnote>
  <w:footnote w:type="continuationSeparator" w:id="0">
    <w:p w14:paraId="2C726898" w14:textId="77777777" w:rsidR="005A5883" w:rsidRDefault="005A5883" w:rsidP="00C0512D">
      <w:r>
        <w:continuationSeparator/>
      </w:r>
    </w:p>
  </w:footnote>
  <w:footnote w:id="1">
    <w:p w14:paraId="631AF5FC"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&lt;EndNote&gt;&lt;Cite&gt;&lt;Author&gt;O’Sullivan&lt;/Author&gt;&lt;Year&gt;1837&lt;/Year&gt;&lt;RecNum&gt;48&lt;/RecNum&gt;&lt;DisplayText&gt;John L. O’Sullivan, &amp;quot;The Democratic Principle,&amp;quot; &lt;style face="italic"&gt;The United States Magazine and Democratic Review&lt;/style&gt; 1, no. 1 (1837).&lt;/DisplayText&gt;&lt;record&gt;&lt;rec-number&gt;48&lt;/rec-number&gt;&lt;foreign-keys&gt;&lt;key app="EN" db-id="zsrseat5ww9t5devdf1prxd7r0errx92pd5v" timestamp="1523125891"&gt;48&lt;/key&gt;&lt;/foreign-keys&gt;&lt;ref-type name="Journal Article"&gt;17&lt;/ref-type&gt;&lt;contributors&gt;&lt;authors&gt;&lt;author&gt;John L. O’Sullivan&lt;/author&gt;&lt;/authors&gt;&lt;/contributors&gt;&lt;titles&gt;&lt;title&gt;The Democratic Principle&lt;/title&gt;&lt;secondary-title&gt;The United States Magazine and Democratic Review&lt;/secondary-title&gt;&lt;/titles&gt;&lt;periodical&gt;&lt;full-title&gt;The United States Magazine and Democratic Review&lt;/full-title&gt;&lt;/periodical&gt;&lt;volume&gt;1&lt;/volume&gt;&lt;number&gt;1&lt;/number&gt;&lt;dates&gt;&lt;year&gt;1837&lt;/year&gt;&lt;/dates&gt;&lt;urls&gt;&lt;/urls&gt;&lt;/record&gt;&lt;/Cite&gt;&lt;/EndNote&gt;</w:instrText>
      </w:r>
      <w:r>
        <w:fldChar w:fldCharType="separate"/>
      </w:r>
      <w:r>
        <w:rPr>
          <w:noProof/>
        </w:rPr>
        <w:t xml:space="preserve">John L. O’Sullivan, "The Democratic Principle," </w:t>
      </w:r>
      <w:r w:rsidRPr="00A07EDE">
        <w:rPr>
          <w:i/>
          <w:noProof/>
        </w:rPr>
        <w:t>The United States Magazine and Democratic Review</w:t>
      </w:r>
      <w:r>
        <w:rPr>
          <w:noProof/>
        </w:rPr>
        <w:t xml:space="preserve"> 1, no. 1 (1837).</w:t>
      </w:r>
      <w:r>
        <w:fldChar w:fldCharType="end"/>
      </w:r>
      <w:r>
        <w:t xml:space="preserve"> 1-5.</w:t>
      </w:r>
    </w:p>
  </w:footnote>
  <w:footnote w:id="2">
    <w:p w14:paraId="388C94FC" w14:textId="7FEE5EF5" w:rsidR="00C311F3" w:rsidRDefault="00C311F3">
      <w:pPr>
        <w:pStyle w:val="FootnoteText"/>
      </w:pPr>
      <w:r>
        <w:rPr>
          <w:rStyle w:val="FootnoteReference"/>
        </w:rPr>
        <w:footnoteRef/>
      </w:r>
      <w:r>
        <w:t xml:space="preserve"> For more information on the subject, see: </w:t>
      </w:r>
      <w:r>
        <w:fldChar w:fldCharType="begin"/>
      </w:r>
      <w:r>
        <w:instrText xml:space="preserve"> ADDIN EN.CITE &lt;EndNote&gt;&lt;Cite&gt;&lt;Author&gt;Belko&lt;/Author&gt;&lt;Year&gt;2006&lt;/Year&gt;&lt;RecNum&gt;34&lt;/RecNum&gt;&lt;DisplayText&gt;Stephen Belko, &lt;style face="italic"&gt;Invincible Duff Green: Whig of the West&lt;/style&gt; (Columbia: University of Missouri Press, 2006).&lt;/DisplayText&gt;&lt;record&gt;&lt;rec-number&gt;34&lt;/rec-number&gt;&lt;foreign-keys&gt;&lt;key app="EN" db-id="zsrseat5ww9t5devdf1prxd7r0errx92pd5v" timestamp="1522436757"&gt;34&lt;/key&gt;&lt;/foreign-keys&gt;&lt;ref-type name="Book"&gt;6&lt;/ref-type&gt;&lt;contributors&gt;&lt;authors&gt;&lt;author&gt;Stephen Belko&lt;/author&gt;&lt;/authors&gt;&lt;/contributors&gt;&lt;titles&gt;&lt;title&gt;Invincible Duff Green: Whig of the West&lt;/title&gt;&lt;/titles&gt;&lt;dates&gt;&lt;year&gt;2006&lt;/year&gt;&lt;/dates&gt;&lt;pub-location&gt;Columbia&lt;/pub-location&gt;&lt;publisher&gt;University of Missouri Press&lt;/publisher&gt;&lt;urls&gt;&lt;/urls&gt;&lt;/record&gt;&lt;/Cite&gt;&lt;/EndNote&gt;</w:instrText>
      </w:r>
      <w:r>
        <w:fldChar w:fldCharType="separate"/>
      </w:r>
      <w:r>
        <w:rPr>
          <w:noProof/>
        </w:rPr>
        <w:t xml:space="preserve">Stephen Belko, </w:t>
      </w:r>
      <w:r w:rsidRPr="00C311F3">
        <w:rPr>
          <w:i/>
          <w:noProof/>
        </w:rPr>
        <w:t>Invincible Duff Green: Whig of the West</w:t>
      </w:r>
      <w:r>
        <w:rPr>
          <w:noProof/>
        </w:rPr>
        <w:t xml:space="preserve"> (Columbia: University of Missouri Press, 2006).</w:t>
      </w:r>
      <w:r>
        <w:fldChar w:fldCharType="end"/>
      </w:r>
      <w:r>
        <w:t>, 114-115.</w:t>
      </w:r>
    </w:p>
  </w:footnote>
  <w:footnote w:id="3">
    <w:p w14:paraId="0CFB24F5" w14:textId="77777777" w:rsidR="003069EA" w:rsidRDefault="003069EA" w:rsidP="003069EA">
      <w:pPr>
        <w:pStyle w:val="FootnoteText"/>
      </w:pPr>
      <w:r>
        <w:rPr>
          <w:rStyle w:val="FootnoteReference"/>
        </w:rPr>
        <w:footnoteRef/>
      </w:r>
      <w:r>
        <w:t xml:space="preserve"> </w:t>
      </w:r>
      <w:r>
        <w:fldChar w:fldCharType="begin"/>
      </w:r>
      <w:r>
        <w:instrText xml:space="preserve"> ADDIN EN.CITE &lt;EndNote&gt;&lt;Cite&gt;&lt;Author&gt;Tocqueville&lt;/Author&gt;&lt;Year&gt;2003&lt;/Year&gt;&lt;RecNum&gt;49&lt;/RecNum&gt;&lt;DisplayText&gt;Alexis de Tocqueville, &lt;style face="italic"&gt;Democracy in America and Two Essay on America&lt;/style&gt;, trans. Gerald E. Bevan (London: Penguin Books, 2003).&lt;/DisplayText&gt;&lt;record&gt;&lt;rec-number&gt;49&lt;/rec-number&gt;&lt;foreign-keys&gt;&lt;key app="EN" db-id="zsrseat5ww9t5devdf1prxd7r0errx92pd5v" timestamp="1523129018"&gt;49&lt;/key&gt;&lt;/foreign-keys&gt;&lt;ref-type name="Book"&gt;6&lt;/ref-type&gt;&lt;contributors&gt;&lt;authors&gt;&lt;author&gt;Alexis de Tocqueville&lt;/author&gt;&lt;/authors&gt;&lt;subsidiary-authors&gt;&lt;author&gt;Gerald E. Bevan&lt;/author&gt;&lt;/subsidiary-authors&gt;&lt;/contributors&gt;&lt;titles&gt;&lt;title&gt;Democracy in America and Two Essay on America&lt;/title&gt;&lt;/titles&gt;&lt;dates&gt;&lt;year&gt;2003&lt;/year&gt;&lt;/dates&gt;&lt;pub-location&gt;London&lt;/pub-location&gt;&lt;publisher&gt;Penguin Books&lt;/publisher&gt;&lt;urls&gt;&lt;/urls&gt;&lt;/record&gt;&lt;/Cite&gt;&lt;/EndNote&gt;</w:instrText>
      </w:r>
      <w:r>
        <w:fldChar w:fldCharType="separate"/>
      </w:r>
      <w:r>
        <w:rPr>
          <w:noProof/>
        </w:rPr>
        <w:t xml:space="preserve">Alexis de Tocqueville, </w:t>
      </w:r>
      <w:r w:rsidRPr="00E608E1">
        <w:rPr>
          <w:i/>
          <w:noProof/>
        </w:rPr>
        <w:t>Democracy in America and Two Essay on America</w:t>
      </w:r>
      <w:r>
        <w:rPr>
          <w:noProof/>
        </w:rPr>
        <w:t>, trans. Gerald E. Bevan (London: Penguin Books, 2003).</w:t>
      </w:r>
      <w:r>
        <w:fldChar w:fldCharType="end"/>
      </w:r>
      <w:r>
        <w:t xml:space="preserve"> 212-217.</w:t>
      </w:r>
    </w:p>
  </w:footnote>
  <w:footnote w:id="4">
    <w:p w14:paraId="1C5BA7AE" w14:textId="020B8196" w:rsidR="00A7670B" w:rsidRDefault="00A7670B" w:rsidP="004261C4">
      <w:pPr>
        <w:pStyle w:val="FootnoteText"/>
      </w:pPr>
      <w:r>
        <w:rPr>
          <w:rStyle w:val="FootnoteReference"/>
        </w:rPr>
        <w:footnoteRef/>
      </w:r>
      <w:r>
        <w:t xml:space="preserve"> </w:t>
      </w:r>
      <w:r>
        <w:fldChar w:fldCharType="begin"/>
      </w:r>
      <w:r w:rsidR="006C2350">
        <w:instrText xml:space="preserve"> ADDIN EN.CITE &lt;EndNote&gt;&lt;Cite&gt;&lt;Author&gt;O’Sullivan&lt;/Author&gt;&lt;Year&gt;1837&lt;/Year&gt;&lt;RecNum&gt;48&lt;/RecNum&gt;&lt;DisplayText&gt;O’Sullivan.&lt;/DisplayText&gt;&lt;record&gt;&lt;rec-number&gt;48&lt;/rec-number&gt;&lt;foreign-keys&gt;&lt;key app="EN" db-id="zsrseat5ww9t5devdf1prxd7r0errx92pd5v" timestamp="1523125891"&gt;48&lt;/key&gt;&lt;/foreign-keys&gt;&lt;ref-type name="Journal Article"&gt;17&lt;/ref-type&gt;&lt;contributors&gt;&lt;authors&gt;&lt;author&gt;John L. O’Sullivan&lt;/author&gt;&lt;/authors&gt;&lt;/contributors&gt;&lt;titles&gt;&lt;title&gt;The Democratic Principle&lt;/title&gt;&lt;secondary-title&gt;The United States Magazine and Democratic Review&lt;/secondary-title&gt;&lt;/titles&gt;&lt;periodical&gt;&lt;full-title&gt;The United States Magazine and Democratic Review&lt;/full-title&gt;&lt;/periodical&gt;&lt;volume&gt;1&lt;/volume&gt;&lt;number&gt;1&lt;/number&gt;&lt;dates&gt;&lt;year&gt;1837&lt;/year&gt;&lt;/dates&gt;&lt;urls&gt;&lt;/urls&gt;&lt;/record&gt;&lt;/Cite&gt;&lt;/EndNote&gt;</w:instrText>
      </w:r>
      <w:r>
        <w:fldChar w:fldCharType="separate"/>
      </w:r>
      <w:r w:rsidR="006C2350">
        <w:rPr>
          <w:noProof/>
        </w:rPr>
        <w:t>O’Sullivan.</w:t>
      </w:r>
      <w:r>
        <w:fldChar w:fldCharType="end"/>
      </w:r>
      <w:r>
        <w:t>, 5.</w:t>
      </w:r>
    </w:p>
  </w:footnote>
  <w:footnote w:id="5">
    <w:p w14:paraId="42AB4A0C"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&lt;EndNote&gt;&lt;Cite&gt;&lt;Author&gt;Meehan&lt;/Author&gt;&lt;RecNum&gt;23&lt;/RecNum&gt;&lt;DisplayText&gt;John S. Meehan, &amp;quot;Washington City,&amp;quot; &lt;style face="italic"&gt;United States’ Telegraph&lt;/style&gt;, September 27, 1826.&lt;/DisplayText&gt;&lt;record&gt;&lt;rec-number&gt;23&lt;/rec-number&gt;&lt;foreign-keys&gt;&lt;key app="EN" db-id="zsrseat5ww9t5devdf1prxd7r0errx92pd5v" timestamp="1521997663"&gt;23&lt;/key&gt;&lt;/foreign-keys&gt;&lt;ref-type name="Newspaper Article"&gt;23&lt;/ref-type&gt;&lt;contributors&gt;&lt;authors&gt;&lt;author&gt;John S. Meehan&lt;/author&gt;&lt;/authors&gt;&lt;/contributors&gt;&lt;titles&gt;&lt;title&gt;Washington City&lt;/title&gt;&lt;secondary-title&gt;United States’ Telegraph&lt;/secondary-title&gt;&lt;/titles&gt;&lt;volume&gt;1&lt;/volume&gt;&lt;edition&gt;No. 198&lt;/edition&gt;&lt;dates&gt;&lt;pub-dates&gt;&lt;date&gt;September 27, 1826&lt;/date&gt;&lt;/pub-dates&gt;&lt;/dates&gt;&lt;pub-location&gt;Washington D.C.&lt;/pub-location&gt;&lt;publisher&gt;John S. Meehan&lt;/publisher&gt;&lt;urls&gt;&lt;/urls&gt;&lt;/record&gt;&lt;/Cite&gt;&lt;/EndNote&gt;</w:instrText>
      </w:r>
      <w:r>
        <w:fldChar w:fldCharType="separate"/>
      </w:r>
      <w:r>
        <w:rPr>
          <w:noProof/>
        </w:rPr>
        <w:t xml:space="preserve">John S. Meehan, "Washington City," </w:t>
      </w:r>
      <w:r w:rsidRPr="00150C2A">
        <w:rPr>
          <w:i/>
          <w:noProof/>
        </w:rPr>
        <w:t>United States’ Telegraph</w:t>
      </w:r>
      <w:r>
        <w:rPr>
          <w:noProof/>
        </w:rPr>
        <w:t>, September 27, 1826.</w:t>
      </w:r>
      <w:r>
        <w:fldChar w:fldCharType="end"/>
      </w:r>
    </w:p>
  </w:footnote>
  <w:footnote w:id="6">
    <w:p w14:paraId="404484AE"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&lt;EndNote&gt;&lt;Cite&gt;&lt;Author&gt;Young&lt;/Author&gt;&lt;Year&gt;1966&lt;/Year&gt;&lt;RecNum&gt;24&lt;/RecNum&gt;&lt;DisplayText&gt;John Sterling Young, &lt;style face="italic"&gt;The Washington Community, 1800-1828&lt;/style&gt; (New York: Columbia University Press, 1966).&lt;/DisplayText&gt;&lt;record&gt;&lt;rec-number&gt;24&lt;/rec-number&gt;&lt;foreign-keys&gt;&lt;key app="EN" db-id="zsrseat5ww9t5devdf1prxd7r0errx92pd5v" timestamp="1521998465"&gt;24&lt;/key&gt;&lt;/foreign-keys&gt;&lt;ref-type name="Book"&gt;6&lt;/ref-type&gt;&lt;contributors&gt;&lt;authors&gt;&lt;author&gt;John Sterling Young&lt;/author&gt;&lt;/authors&gt;&lt;/contributors&gt;&lt;titles&gt;&lt;title&gt;The Washington Community, 1800-1828&lt;/title&gt;&lt;/titles&gt;&lt;dates&gt;&lt;year&gt;1966&lt;/year&gt;&lt;/dates&gt;&lt;pub-location&gt;New York&lt;/pub-location&gt;&lt;publisher&gt;Columbia University Press&lt;/publisher&gt;&lt;urls&gt;&lt;/urls&gt;&lt;/record&gt;&lt;/Cite&gt;&lt;/EndNote&gt;</w:instrText>
      </w:r>
      <w:r>
        <w:fldChar w:fldCharType="separate"/>
      </w:r>
      <w:r>
        <w:rPr>
          <w:noProof/>
        </w:rPr>
        <w:t xml:space="preserve">John Sterling Young, </w:t>
      </w:r>
      <w:r w:rsidRPr="00DA3A83">
        <w:rPr>
          <w:i/>
          <w:noProof/>
        </w:rPr>
        <w:t>The Washington Community, 1800-1828</w:t>
      </w:r>
      <w:r>
        <w:rPr>
          <w:noProof/>
        </w:rPr>
        <w:t xml:space="preserve"> (New York: Columbia University Press, 1966).</w:t>
      </w:r>
      <w:r>
        <w:fldChar w:fldCharType="end"/>
      </w:r>
      <w:r>
        <w:t xml:space="preserve"> 80.</w:t>
      </w:r>
    </w:p>
  </w:footnote>
  <w:footnote w:id="7">
    <w:p w14:paraId="1FA2DB48"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&lt;EndNote&gt;&lt;Cite&gt;&lt;Author&gt;Richard&lt;/Author&gt;&lt;Year&gt;1995&lt;/Year&gt;&lt;RecNum&gt;25&lt;/RecNum&gt;&lt;DisplayText&gt;Richard R. John, &lt;style face="italic"&gt;Spreading the News: The American Postal System from Franklin to Morse&lt;/style&gt; (Cambridge, Massachusetts: Harvard University Press, 1995).&lt;/DisplayText&gt;&lt;record&gt;&lt;rec-number&gt;25&lt;/rec-number&gt;&lt;foreign-keys&gt;&lt;key app="EN" db-id="zsrseat5ww9t5devdf1prxd7r0errx92pd5v" timestamp="1521999290"&gt;25&lt;/key&gt;&lt;/foreign-keys&gt;&lt;ref-type name="Book"&gt;6&lt;/ref-type&gt;&lt;contributors&gt;&lt;authors&gt;&lt;author&gt;Richard R. John&lt;/author&gt;&lt;/authors&gt;&lt;/contributors&gt;&lt;titles&gt;&lt;title&gt;Spreading the News: The American Postal System from Franklin to Morse&lt;/title&gt;&lt;/titles&gt;&lt;dates&gt;&lt;year&gt;1995&lt;/year&gt;&lt;/dates&gt;&lt;pub-location&gt;Cambridge, Massachusetts&lt;/pub-location&gt;&lt;publisher&gt;Harvard University Press&lt;/publisher&gt;&lt;urls&gt;&lt;/urls&gt;&lt;/record&gt;&lt;/Cite&gt;&lt;/EndNote&gt;</w:instrText>
      </w:r>
      <w:r>
        <w:fldChar w:fldCharType="separate"/>
      </w:r>
      <w:r>
        <w:rPr>
          <w:noProof/>
        </w:rPr>
        <w:t xml:space="preserve">Richard R. John, </w:t>
      </w:r>
      <w:r w:rsidRPr="00AC7271">
        <w:rPr>
          <w:i/>
          <w:noProof/>
        </w:rPr>
        <w:t>Spreading the News: The American Postal System from Franklin to Morse</w:t>
      </w:r>
      <w:r>
        <w:rPr>
          <w:noProof/>
        </w:rPr>
        <w:t xml:space="preserve"> (Cambridge, Massachusetts: Harvard University Press, 1995).</w:t>
      </w:r>
      <w:r>
        <w:fldChar w:fldCharType="end"/>
      </w:r>
      <w:r>
        <w:t xml:space="preserve"> 29.</w:t>
      </w:r>
    </w:p>
  </w:footnote>
  <w:footnote w:id="8">
    <w:p w14:paraId="45C32B5A"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&lt;EndNote&gt;&lt;Cite&gt;&lt;Author&gt;Baldasty&lt;/Author&gt;&lt;Year&gt;1992&lt;/Year&gt;&lt;RecNum&gt;26&lt;/RecNum&gt;&lt;DisplayText&gt;Gerald J. Baldasty, &lt;style face="italic"&gt;The Commercialization of News in the Nineteenth Century&lt;/style&gt; (Madison, Wisconsin: University of Wisconsin Press, 1992).&lt;/DisplayText&gt;&lt;record&gt;&lt;rec-number&gt;26&lt;/rec-number&gt;&lt;foreign-keys&gt;&lt;key app="EN" db-id="zsrseat5ww9t5devdf1prxd7r0errx92pd5v" timestamp="1521999802"&gt;26&lt;/key&gt;&lt;/foreign-keys&gt;&lt;ref-type name="Book"&gt;6&lt;/ref-type&gt;&lt;contributors&gt;&lt;authors&gt;&lt;author&gt;Gerald J. Baldasty&lt;/author&gt;&lt;/authors&gt;&lt;/contributors&gt;&lt;titles&gt;&lt;title&gt;The Commercialization of News in the Nineteenth Century&lt;/title&gt;&lt;/titles&gt;&lt;dates&gt;&lt;year&gt;1992&lt;/year&gt;&lt;/dates&gt;&lt;pub-location&gt;Madison, Wisconsin&lt;/pub-location&gt;&lt;publisher&gt;University of Wisconsin Press&lt;/publisher&gt;&lt;urls&gt;&lt;/urls&gt;&lt;/record&gt;&lt;/Cite&gt;&lt;/EndNote&gt;</w:instrText>
      </w:r>
      <w:r>
        <w:fldChar w:fldCharType="separate"/>
      </w:r>
      <w:r>
        <w:rPr>
          <w:noProof/>
        </w:rPr>
        <w:t xml:space="preserve">Gerald J. Baldasty, </w:t>
      </w:r>
      <w:r w:rsidRPr="000C6CBE">
        <w:rPr>
          <w:i/>
          <w:noProof/>
        </w:rPr>
        <w:t>The Commercialization of News in the Nineteenth Century</w:t>
      </w:r>
      <w:r>
        <w:rPr>
          <w:noProof/>
        </w:rPr>
        <w:t xml:space="preserve"> (Madison, Wisconsin: University of Wisconsin Press, 1992).</w:t>
      </w:r>
      <w:r>
        <w:fldChar w:fldCharType="end"/>
      </w:r>
      <w:r>
        <w:t xml:space="preserve"> 14.</w:t>
      </w:r>
    </w:p>
  </w:footnote>
  <w:footnote w:id="9">
    <w:p w14:paraId="6B62FF7F"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&lt;EndNote&gt;&lt;Cite&gt;&lt;Author&gt;Remini&lt;/Author&gt;&lt;Year&gt;1963&lt;/Year&gt;&lt;RecNum&gt;27&lt;/RecNum&gt;&lt;DisplayText&gt;Robert V. Remini, &lt;style face="italic"&gt;The Election of Andrew Jackson&lt;/style&gt;, Critical Periods of History (Philadelphia and New York: J.B. Lippincott Company, 1963).&lt;/DisplayText&gt;&lt;record&gt;&lt;rec-number&gt;27&lt;/rec-number&gt;&lt;foreign-keys&gt;&lt;key app="EN" db-id="zsrseat5ww9t5devdf1prxd7r0errx92pd5v" timestamp="1522000351"&gt;27&lt;/key&gt;&lt;/foreign-keys&gt;&lt;ref-type name="Book"&gt;6&lt;/ref-type&gt;&lt;contributors&gt;&lt;authors&gt;&lt;author&gt;Robert V. Remini&lt;/author&gt;&lt;/authors&gt;&lt;/contributors&gt;&lt;titles&gt;&lt;title&gt;The Election of Andrew Jackson&lt;/title&gt;&lt;secondary-title&gt;Critical Periods of History&lt;/secondary-title&gt;&lt;/titles&gt;&lt;dates&gt;&lt;year&gt;1963&lt;/year&gt;&lt;/dates&gt;&lt;pub-location&gt;Philadelphia and New York&lt;/pub-location&gt;&lt;publisher&gt;J.B. Lippincott Company&lt;/publisher&gt;&lt;urls&gt;&lt;/urls&gt;&lt;/record&gt;&lt;/Cite&gt;&lt;/EndNote&gt;</w:instrText>
      </w:r>
      <w:r>
        <w:fldChar w:fldCharType="separate"/>
      </w:r>
      <w:r>
        <w:rPr>
          <w:noProof/>
        </w:rPr>
        <w:t xml:space="preserve">Robert V. Remini, </w:t>
      </w:r>
      <w:r w:rsidRPr="006B2524">
        <w:rPr>
          <w:i/>
          <w:noProof/>
        </w:rPr>
        <w:t>The Election of Andrew Jackson</w:t>
      </w:r>
      <w:r>
        <w:rPr>
          <w:noProof/>
        </w:rPr>
        <w:t>, Critical Periods of History (Philadelphia and New York: J.B. Lippincott Company, 1963).</w:t>
      </w:r>
      <w:r>
        <w:fldChar w:fldCharType="end"/>
      </w:r>
      <w:r>
        <w:t xml:space="preserve"> 51-52; </w:t>
      </w:r>
      <w:r>
        <w:fldChar w:fldCharType="begin"/>
      </w:r>
      <w:r>
        <w:instrText xml:space="preserve"> ADDIN EN.CITE &lt;EndNote&gt;&lt;Cite&gt;&lt;Author&gt;Starr&lt;/Author&gt;&lt;Year&gt;2004&lt;/Year&gt;&lt;RecNum&gt;28&lt;/RecNum&gt;&lt;DisplayText&gt;Paul Starr, &lt;style face="italic"&gt;The Creation of the Media: Political Origins of Modern Communications&lt;/style&gt; (New York: Basic Books, 2004).&lt;/DisplayText&gt;&lt;record&gt;&lt;rec-number&gt;28&lt;/rec-number&gt;&lt;foreign-keys&gt;&lt;key app="EN" db-id="zsrseat5ww9t5devdf1prxd7r0errx92pd5v" timestamp="1522001230"&gt;28&lt;/key&gt;&lt;/foreign-keys&gt;&lt;ref-type name="Book"&gt;6&lt;/ref-type&gt;&lt;contributors&gt;&lt;authors&gt;&lt;author&gt;Paul Starr&lt;/author&gt;&lt;/authors&gt;&lt;/contributors&gt;&lt;titles&gt;&lt;title&gt;The Creation of the Media: Political Origins of Modern Communications&lt;/title&gt;&lt;/titles&gt;&lt;dates&gt;&lt;year&gt;2004&lt;/year&gt;&lt;/dates&gt;&lt;pub-location&gt;New York&lt;/pub-location&gt;&lt;publisher&gt;Basic Books&lt;/publisher&gt;&lt;urls&gt;&lt;/urls&gt;&lt;/record&gt;&lt;/Cite&gt;&lt;/EndNote&gt;</w:instrText>
      </w:r>
      <w:r>
        <w:fldChar w:fldCharType="separate"/>
      </w:r>
      <w:r>
        <w:rPr>
          <w:noProof/>
        </w:rPr>
        <w:t xml:space="preserve">Paul Starr, </w:t>
      </w:r>
      <w:r w:rsidRPr="000A5D02">
        <w:rPr>
          <w:i/>
          <w:noProof/>
        </w:rPr>
        <w:t>The Creation of the Media: Political Origins of Modern Communications</w:t>
      </w:r>
      <w:r>
        <w:rPr>
          <w:noProof/>
        </w:rPr>
        <w:t xml:space="preserve"> (New York: Basic Books, 2004).</w:t>
      </w:r>
      <w:r>
        <w:fldChar w:fldCharType="end"/>
      </w:r>
      <w:r>
        <w:t xml:space="preserve"> 130.</w:t>
      </w:r>
    </w:p>
  </w:footnote>
  <w:footnote w:id="10">
    <w:p w14:paraId="4FF0A93E" w14:textId="77777777" w:rsidR="00A7670B" w:rsidRDefault="00A7670B">
      <w:pPr>
        <w:pStyle w:val="FootnoteText"/>
      </w:pPr>
      <w:r>
        <w:rPr>
          <w:rStyle w:val="FootnoteReference"/>
        </w:rPr>
        <w:footnoteRef/>
      </w:r>
      <w:r>
        <w:t xml:space="preserve"> Quoted in </w:t>
      </w:r>
      <w:r>
        <w:fldChar w:fldCharType="begin"/>
      </w:r>
      <w:r>
        <w:instrText xml:space="preserve"> ADDIN EN.CITE &lt;EndNote&gt;&lt;Cite&gt;&lt;Author&gt;Baldasty&lt;/Author&gt;&lt;Year&gt;1992&lt;/Year&gt;&lt;RecNum&gt;26&lt;/RecNum&gt;&lt;DisplayText&gt;Baldasty.&lt;/DisplayText&gt;&lt;record&gt;&lt;rec-number&gt;26&lt;/rec-number&gt;&lt;foreign-keys&gt;&lt;key app="EN" db-id="zsrseat5ww9t5devdf1prxd7r0errx92pd5v" timestamp="1521999802"&gt;26&lt;/key&gt;&lt;/foreign-keys&gt;&lt;ref-type name="Book"&gt;6&lt;/ref-type&gt;&lt;contributors&gt;&lt;authors&gt;&lt;author&gt;Gerald J. Baldasty&lt;/author&gt;&lt;/authors&gt;&lt;/contributors&gt;&lt;titles&gt;&lt;title&gt;The Commercialization of News in the Nineteenth Century&lt;/title&gt;&lt;/titles&gt;&lt;dates&gt;&lt;year&gt;1992&lt;/year&gt;&lt;/dates&gt;&lt;pub-location&gt;Madison, Wisconsin&lt;/pub-location&gt;&lt;publisher&gt;University of Wisconsin Press&lt;/publisher&gt;&lt;urls&gt;&lt;/urls&gt;&lt;/record&gt;&lt;/Cite&gt;&lt;/EndNote&gt;</w:instrText>
      </w:r>
      <w:r>
        <w:fldChar w:fldCharType="separate"/>
      </w:r>
      <w:r>
        <w:rPr>
          <w:noProof/>
        </w:rPr>
        <w:t>Baldasty.</w:t>
      </w:r>
      <w:r>
        <w:fldChar w:fldCharType="end"/>
      </w:r>
      <w:r>
        <w:t>, 11.</w:t>
      </w:r>
    </w:p>
  </w:footnote>
  <w:footnote w:id="11">
    <w:p w14:paraId="5E997DF9"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&lt;EndNote&gt;&lt;Cite&gt;&lt;Author&gt;Starr&lt;/Author&gt;&lt;Year&gt;2004&lt;/Year&gt;&lt;RecNum&gt;28&lt;/RecNum&gt;&lt;DisplayText&gt;Starr.&lt;/DisplayText&gt;&lt;record&gt;&lt;rec-number&gt;28&lt;/rec-number&gt;&lt;foreign-keys&gt;&lt;key app="EN" db-id="zsrseat5ww9t5devdf1prxd7r0errx92pd5v" timestamp="1522001230"&gt;28&lt;/key&gt;&lt;/foreign-keys&gt;&lt;ref-type name="Book"&gt;6&lt;/ref-type&gt;&lt;contributors&gt;&lt;authors&gt;&lt;author&gt;Paul Starr&lt;/author&gt;&lt;/authors&gt;&lt;/contributors&gt;&lt;titles&gt;&lt;title&gt;The Creation of the Media: Political Origins of Modern Communications&lt;/title&gt;&lt;/titles&gt;&lt;dates&gt;&lt;year&gt;2004&lt;/year&gt;&lt;/dates&gt;&lt;pub-location&gt;New York&lt;/pub-location&gt;&lt;publisher&gt;Basic Books&lt;/publisher&gt;&lt;urls&gt;&lt;/urls&gt;&lt;/record&gt;&lt;/Cite&gt;&lt;/EndNote&gt;</w:instrText>
      </w:r>
      <w:r>
        <w:fldChar w:fldCharType="separate"/>
      </w:r>
      <w:r>
        <w:rPr>
          <w:noProof/>
        </w:rPr>
        <w:t>Starr.</w:t>
      </w:r>
      <w:r>
        <w:fldChar w:fldCharType="end"/>
      </w:r>
      <w:r>
        <w:t xml:space="preserve"> 87-88, 130.</w:t>
      </w:r>
    </w:p>
  </w:footnote>
  <w:footnote w:id="12">
    <w:p w14:paraId="41829A1D"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&lt;EndNote&gt;&lt;Cite&gt;&lt;Author&gt;Richard&lt;/Author&gt;&lt;Year&gt;1995&lt;/Year&gt;&lt;RecNum&gt;25&lt;/RecNum&gt;&lt;DisplayText&gt;John.&lt;/DisplayText&gt;&lt;record&gt;&lt;rec-number&gt;25&lt;/rec-number&gt;&lt;foreign-keys&gt;&lt;key app="EN" db-id="zsrseat5ww9t5devdf1prxd7r0errx92pd5v" timestamp="1521999290"&gt;25&lt;/key&gt;&lt;/foreign-keys&gt;&lt;ref-type name="Book"&gt;6&lt;/ref-type&gt;&lt;contributors&gt;&lt;authors&gt;&lt;author&gt;Richard R. John&lt;/author&gt;&lt;/authors&gt;&lt;/contributors&gt;&lt;titles&gt;&lt;title&gt;Spreading the News: The American Postal System from Franklin to Morse&lt;/title&gt;&lt;/titles&gt;&lt;dates&gt;&lt;year&gt;1995&lt;/year&gt;&lt;/dates&gt;&lt;pub-location&gt;Cambridge, Massachusetts&lt;/pub-location&gt;&lt;publisher&gt;Harvard University Press&lt;/publisher&gt;&lt;urls&gt;&lt;/urls&gt;&lt;/record&gt;&lt;/Cite&gt;&lt;/EndNote&gt;</w:instrText>
      </w:r>
      <w:r>
        <w:fldChar w:fldCharType="separate"/>
      </w:r>
      <w:r>
        <w:rPr>
          <w:noProof/>
        </w:rPr>
        <w:t>John.</w:t>
      </w:r>
      <w:r>
        <w:fldChar w:fldCharType="end"/>
      </w:r>
      <w:r>
        <w:t>, 58.</w:t>
      </w:r>
    </w:p>
  </w:footnote>
  <w:footnote w:id="13">
    <w:p w14:paraId="4A5F3083"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&lt;EndNote&gt;&lt;Cite&gt;&lt;Author&gt;Baldasty&lt;/Author&gt;&lt;Year&gt;1992&lt;/Year&gt;&lt;RecNum&gt;26&lt;/RecNum&gt;&lt;DisplayText&gt;Baldasty.&lt;/DisplayText&gt;&lt;record&gt;&lt;rec-number&gt;26&lt;/rec-number&gt;&lt;foreign-keys&gt;&lt;key app="EN" db-id="zsrseat5ww9t5devdf1prxd7r0errx92pd5v" timestamp="1521999802"&gt;26&lt;/key&gt;&lt;/foreign-keys&gt;&lt;ref-type name="Book"&gt;6&lt;/ref-type&gt;&lt;contributors&gt;&lt;authors&gt;&lt;author&gt;Gerald J. Baldasty&lt;/author&gt;&lt;/authors&gt;&lt;/contributors&gt;&lt;titles&gt;&lt;title&gt;The Commercialization of News in the Nineteenth Century&lt;/title&gt;&lt;/titles&gt;&lt;dates&gt;&lt;year&gt;1992&lt;/year&gt;&lt;/dates&gt;&lt;pub-location&gt;Madison, Wisconsin&lt;/pub-location&gt;&lt;publisher&gt;University of Wisconsin Press&lt;/publisher&gt;&lt;urls&gt;&lt;/urls&gt;&lt;/record&gt;&lt;/Cite&gt;&lt;/EndNote&gt;</w:instrText>
      </w:r>
      <w:r>
        <w:fldChar w:fldCharType="separate"/>
      </w:r>
      <w:r>
        <w:rPr>
          <w:noProof/>
        </w:rPr>
        <w:t>Baldasty.</w:t>
      </w:r>
      <w:r>
        <w:fldChar w:fldCharType="end"/>
      </w:r>
      <w:r>
        <w:t>, 20.</w:t>
      </w:r>
    </w:p>
  </w:footnote>
  <w:footnote w:id="14">
    <w:p w14:paraId="40D4F399"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&lt;EndNote&gt;&lt;Cite&gt;&lt;Author&gt;Ames&lt;/Author&gt;&lt;Year&gt;1972&lt;/Year&gt;&lt;RecNum&gt;30&lt;/RecNum&gt;&lt;DisplayText&gt;William E. Ames, &lt;style face="italic"&gt;A History of the National Intelligencer&lt;/style&gt; (Chapel Hill: The University of North Carolina Press, 1972).&lt;/DisplayText&gt;&lt;record&gt;&lt;rec-number&gt;30&lt;/rec-number&gt;&lt;foreign-keys&gt;&lt;key app="EN" db-id="zsrseat5ww9t5devdf1prxd7r0errx92pd5v" timestamp="1522284128"&gt;30&lt;/key&gt;&lt;/foreign-keys&gt;&lt;ref-type name="Book"&gt;6&lt;/ref-type&gt;&lt;contributors&gt;&lt;authors&gt;&lt;author&gt;William E. Ames&lt;/author&gt;&lt;/authors&gt;&lt;/contributors&gt;&lt;titles&gt;&lt;title&gt;A History of the National Intelligencer&lt;/title&gt;&lt;/titles&gt;&lt;dates&gt;&lt;year&gt;1972&lt;/year&gt;&lt;/dates&gt;&lt;pub-location&gt;Chapel Hill&lt;/pub-location&gt;&lt;publisher&gt;The University of North Carolina Press&lt;/publisher&gt;&lt;urls&gt;&lt;/urls&gt;&lt;/record&gt;&lt;/Cite&gt;&lt;/EndNote&gt;</w:instrText>
      </w:r>
      <w:r>
        <w:fldChar w:fldCharType="separate"/>
      </w:r>
      <w:r>
        <w:rPr>
          <w:noProof/>
        </w:rPr>
        <w:t xml:space="preserve">William E. Ames, </w:t>
      </w:r>
      <w:r w:rsidRPr="00521465">
        <w:rPr>
          <w:i/>
          <w:noProof/>
        </w:rPr>
        <w:t>A History of the National Intelligencer</w:t>
      </w:r>
      <w:r>
        <w:rPr>
          <w:noProof/>
        </w:rPr>
        <w:t xml:space="preserve"> (Chapel Hill: The University of North Carolina Press, 1972).</w:t>
      </w:r>
      <w:r>
        <w:fldChar w:fldCharType="end"/>
      </w:r>
      <w:r>
        <w:t>, 128, 142.</w:t>
      </w:r>
    </w:p>
  </w:footnote>
  <w:footnote w:id="15">
    <w:p w14:paraId="4491FE89"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&lt;EndNote&gt;&lt;Cite&gt;&lt;Author&gt;Smith&lt;/Author&gt;&lt;Year&gt;1977&lt;/Year&gt;&lt;RecNum&gt;32&lt;/RecNum&gt;&lt;DisplayText&gt;Culver S. Smith, &lt;style face="italic"&gt;The Press, Politics, and Patronage: The American Government’s Use of Newspapers, 1789-1875&lt;/style&gt; (Athens: The University of Georgia Press, 1977).&lt;/DisplayText&gt;&lt;record&gt;&lt;rec-number&gt;32&lt;/rec-number&gt;&lt;foreign-keys&gt;&lt;key app="EN" db-id="zsrseat5ww9t5devdf1prxd7r0errx92pd5v" timestamp="1522285518"&gt;32&lt;/key&gt;&lt;/foreign-keys&gt;&lt;ref-type name="Book"&gt;6&lt;/ref-type&gt;&lt;contributors&gt;&lt;authors&gt;&lt;author&gt;Culver S. Smith&lt;/author&gt;&lt;/authors&gt;&lt;/contributors&gt;&lt;titles&gt;&lt;title&gt;The Press, Politics, and Patronage: The American Government’s Use of Newspapers, 1789-1875&lt;/title&gt;&lt;/titles&gt;&lt;dates&gt;&lt;year&gt;1977&lt;/year&gt;&lt;/dates&gt;&lt;pub-location&gt;Athens&lt;/pub-location&gt;&lt;publisher&gt;The University of Georgia Press&lt;/publisher&gt;&lt;urls&gt;&lt;/urls&gt;&lt;/record&gt;&lt;/Cite&gt;&lt;/EndNote&gt;</w:instrText>
      </w:r>
      <w:r>
        <w:fldChar w:fldCharType="separate"/>
      </w:r>
      <w:r>
        <w:rPr>
          <w:noProof/>
        </w:rPr>
        <w:t xml:space="preserve">Culver S. Smith, </w:t>
      </w:r>
      <w:r w:rsidRPr="00B12958">
        <w:rPr>
          <w:i/>
          <w:noProof/>
        </w:rPr>
        <w:t>The Press, Politics, and Patronage: The American Government’s Use of Newspapers, 1789-1875</w:t>
      </w:r>
      <w:r>
        <w:rPr>
          <w:noProof/>
        </w:rPr>
        <w:t xml:space="preserve"> (Athens: The University of Georgia Press, 1977).</w:t>
      </w:r>
      <w:r>
        <w:fldChar w:fldCharType="end"/>
      </w:r>
      <w:r>
        <w:t xml:space="preserve"> 73.</w:t>
      </w:r>
    </w:p>
  </w:footnote>
  <w:footnote w:id="16">
    <w:p w14:paraId="2FDEB253"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&lt;EndNote&gt;&lt;Cite&gt;&lt;Author&gt;Meehan&lt;/Author&gt;&lt;RecNum&gt;31&lt;/RecNum&gt;&lt;DisplayText&gt;John S. Meehan, &amp;quot;The Party of the Many and the Party of the Few,&amp;quot; &lt;style face="italic"&gt;United States’ Telegraph&lt;/style&gt;, February 9, 1826.&lt;/DisplayText&gt;&lt;record&gt;&lt;rec-number&gt;31&lt;/rec-number&gt;&lt;foreign-keys&gt;&lt;key app="EN" db-id="zsrseat5ww9t5devdf1prxd7r0errx92pd5v" timestamp="1522284901"&gt;31&lt;/key&gt;&lt;/foreign-keys&gt;&lt;ref-type name="Newspaper Article"&gt;23&lt;/ref-type&gt;&lt;contributors&gt;&lt;authors&gt;&lt;author&gt;John S. Meehan&lt;/author&gt;&lt;/authors&gt;&lt;/contributors&gt;&lt;titles&gt;&lt;title&gt;The Party of the Many and the Party of the Few&lt;/title&gt;&lt;secondary-title&gt;United States’ Telegraph&lt;/secondary-title&gt;&lt;/titles&gt;&lt;volume&gt;1&lt;/volume&gt;&lt;edition&gt;4&lt;/edition&gt;&lt;dates&gt;&lt;pub-dates&gt;&lt;date&gt;February 9, 1826&lt;/date&gt;&lt;/pub-dates&gt;&lt;/dates&gt;&lt;pub-location&gt;Washington D.C.&lt;/pub-location&gt;&lt;publisher&gt;John S. Meehan&lt;/publisher&gt;&lt;urls&gt;&lt;/urls&gt;&lt;/record&gt;&lt;/Cite&gt;&lt;/EndNote&gt;</w:instrText>
      </w:r>
      <w:r>
        <w:fldChar w:fldCharType="separate"/>
      </w:r>
      <w:r>
        <w:rPr>
          <w:noProof/>
        </w:rPr>
        <w:t xml:space="preserve">John S. Meehan, "The Party of the Many and the Party of the Few," </w:t>
      </w:r>
      <w:r w:rsidRPr="00150C2A">
        <w:rPr>
          <w:i/>
          <w:noProof/>
        </w:rPr>
        <w:t>United States’ Telegraph</w:t>
      </w:r>
      <w:r>
        <w:rPr>
          <w:noProof/>
        </w:rPr>
        <w:t>, February 9, 1826.</w:t>
      </w:r>
      <w:r>
        <w:fldChar w:fldCharType="end"/>
      </w:r>
    </w:p>
  </w:footnote>
  <w:footnote w:id="17">
    <w:p w14:paraId="0D6BEADB"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&lt;EndNote&gt;&lt;Cite&gt;&lt;Author&gt;Smith&lt;/Author&gt;&lt;Year&gt;1977&lt;/Year&gt;&lt;RecNum&gt;32&lt;/RecNum&gt;&lt;DisplayText&gt;Smith.&lt;/DisplayText&gt;&lt;record&gt;&lt;rec-number&gt;32&lt;/rec-number&gt;&lt;foreign-keys&gt;&lt;key app="EN" db-id="zsrseat5ww9t5devdf1prxd7r0errx92pd5v" timestamp="1522285518"&gt;32&lt;/key&gt;&lt;/foreign-keys&gt;&lt;ref-type name="Book"&gt;6&lt;/ref-type&gt;&lt;contributors&gt;&lt;authors&gt;&lt;author&gt;Culver S. Smith&lt;/author&gt;&lt;/authors&gt;&lt;/contributors&gt;&lt;titles&gt;&lt;title&gt;The Press, Politics, and Patronage: The American Government’s Use of Newspapers, 1789-1875&lt;/title&gt;&lt;/titles&gt;&lt;dates&gt;&lt;year&gt;1977&lt;/year&gt;&lt;/dates&gt;&lt;pub-location&gt;Athens&lt;/pub-location&gt;&lt;publisher&gt;The University of Georgia Press&lt;/publisher&gt;&lt;urls&gt;&lt;/urls&gt;&lt;/record&gt;&lt;/Cite&gt;&lt;/EndNote&gt;</w:instrText>
      </w:r>
      <w:r>
        <w:fldChar w:fldCharType="separate"/>
      </w:r>
      <w:r>
        <w:rPr>
          <w:noProof/>
        </w:rPr>
        <w:t>Smith.</w:t>
      </w:r>
      <w:r>
        <w:fldChar w:fldCharType="end"/>
      </w:r>
      <w:r>
        <w:t>, 80-81.</w:t>
      </w:r>
    </w:p>
  </w:footnote>
  <w:footnote w:id="18">
    <w:p w14:paraId="001D78BA"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&lt;EndNote&gt;&lt;Cite&gt;&lt;Author&gt;Baldasty&lt;/Author&gt;&lt;Year&gt;1992&lt;/Year&gt;&lt;RecNum&gt;26&lt;/RecNum&gt;&lt;DisplayText&gt;Baldasty.&lt;/DisplayText&gt;&lt;record&gt;&lt;rec-number&gt;26&lt;/rec-number&gt;&lt;foreign-keys&gt;&lt;key app="EN" db-id="zsrseat5ww9t5devdf1prxd7r0errx92pd5v" timestamp="1521999802"&gt;26&lt;/key&gt;&lt;/foreign-keys&gt;&lt;ref-type name="Book"&gt;6&lt;/ref-type&gt;&lt;contributors&gt;&lt;authors&gt;&lt;author&gt;Gerald J. Baldasty&lt;/author&gt;&lt;/authors&gt;&lt;/contributors&gt;&lt;titles&gt;&lt;title&gt;The Commercialization of News in the Nineteenth Century&lt;/title&gt;&lt;/titles&gt;&lt;dates&gt;&lt;year&gt;1992&lt;/year&gt;&lt;/dates&gt;&lt;pub-location&gt;Madison, Wisconsin&lt;/pub-location&gt;&lt;publisher&gt;University of Wisconsin Press&lt;/publisher&gt;&lt;urls&gt;&lt;/urls&gt;&lt;/record&gt;&lt;/Cite&gt;&lt;/EndNote&gt;</w:instrText>
      </w:r>
      <w:r>
        <w:fldChar w:fldCharType="separate"/>
      </w:r>
      <w:r>
        <w:rPr>
          <w:noProof/>
        </w:rPr>
        <w:t>Baldasty.</w:t>
      </w:r>
      <w:r>
        <w:fldChar w:fldCharType="end"/>
      </w:r>
      <w:r>
        <w:t>, 20.</w:t>
      </w:r>
    </w:p>
  </w:footnote>
  <w:footnote w:id="19">
    <w:p w14:paraId="05AD2EA6"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&lt;EndNote&gt;&lt;Cite&gt;&lt;Author&gt;Starr&lt;/Author&gt;&lt;Year&gt;2004&lt;/Year&gt;&lt;RecNum&gt;28&lt;/RecNum&gt;&lt;DisplayText&gt;Starr.&lt;/DisplayText&gt;&lt;record&gt;&lt;rec-number&gt;28&lt;/rec-number&gt;&lt;foreign-keys&gt;&lt;key app="EN" db-id="zsrseat5ww9t5devdf1prxd7r0errx92pd5v" timestamp="1522001230"&gt;28&lt;/key&gt;&lt;/foreign-keys&gt;&lt;ref-type name="Book"&gt;6&lt;/ref-type&gt;&lt;contributors&gt;&lt;authors&gt;&lt;author&gt;Paul Starr&lt;/author&gt;&lt;/authors&gt;&lt;/contributors&gt;&lt;titles&gt;&lt;title&gt;The Creation of the Media: Political Origins of Modern Communications&lt;/title&gt;&lt;/titles&gt;&lt;dates&gt;&lt;year&gt;2004&lt;/year&gt;&lt;/dates&gt;&lt;pub-location&gt;New York&lt;/pub-location&gt;&lt;publisher&gt;Basic Books&lt;/publisher&gt;&lt;urls&gt;&lt;/urls&gt;&lt;/record&gt;&lt;/Cite&gt;&lt;/EndNote&gt;</w:instrText>
      </w:r>
      <w:r>
        <w:fldChar w:fldCharType="separate"/>
      </w:r>
      <w:r>
        <w:rPr>
          <w:noProof/>
        </w:rPr>
        <w:t>Starr.</w:t>
      </w:r>
      <w:r>
        <w:fldChar w:fldCharType="end"/>
      </w:r>
      <w:r>
        <w:t>, 141.</w:t>
      </w:r>
    </w:p>
  </w:footnote>
  <w:footnote w:id="20">
    <w:p w14:paraId="5FE336D3"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&lt;EndNote&gt;&lt;Cite&gt;&lt;Author&gt;Young&lt;/Author&gt;&lt;Year&gt;1966&lt;/Year&gt;&lt;RecNum&gt;24&lt;/RecNum&gt;&lt;DisplayText&gt;Young.&lt;/DisplayText&gt;&lt;record&gt;&lt;rec-number&gt;24&lt;/rec-number&gt;&lt;foreign-keys&gt;&lt;key app="EN" db-id="zsrseat5ww9t5devdf1prxd7r0errx92pd5v" timestamp="1521998465"&gt;24&lt;/key&gt;&lt;/foreign-keys&gt;&lt;ref-type name="Book"&gt;6&lt;/ref-type&gt;&lt;contributors&gt;&lt;authors&gt;&lt;author&gt;John Sterling Young&lt;/author&gt;&lt;/authors&gt;&lt;/contributors&gt;&lt;titles&gt;&lt;title&gt;The Washington Community, 1800-1828&lt;/title&gt;&lt;/titles&gt;&lt;dates&gt;&lt;year&gt;1966&lt;/year&gt;&lt;/dates&gt;&lt;pub-location&gt;New York&lt;/pub-location&gt;&lt;publisher&gt;Columbia University Press&lt;/publisher&gt;&lt;urls&gt;&lt;/urls&gt;&lt;/record&gt;&lt;/Cite&gt;&lt;/EndNote&gt;</w:instrText>
      </w:r>
      <w:r>
        <w:fldChar w:fldCharType="separate"/>
      </w:r>
      <w:r>
        <w:rPr>
          <w:noProof/>
        </w:rPr>
        <w:t>Young.</w:t>
      </w:r>
      <w:r>
        <w:fldChar w:fldCharType="end"/>
      </w:r>
      <w:r>
        <w:t>, 250.</w:t>
      </w:r>
    </w:p>
  </w:footnote>
  <w:footnote w:id="21">
    <w:p w14:paraId="2ABB1E6C"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&lt;EndNote&gt;&lt;Cite&gt;&lt;Author&gt;Grimke&lt;/Author&gt;&lt;Year&gt;1968&lt;/Year&gt;&lt;RecNum&gt;33&lt;/RecNum&gt;&lt;DisplayText&gt;Frederick Grimke, &lt;style face="italic"&gt;The Nature and Tendency of Free Institutions&lt;/style&gt;, ed. John William Ward (Cambridge, Mass: Harvard University Press, 1968).&lt;/DisplayText&gt;&lt;record&gt;&lt;rec-number&gt;33&lt;/rec-number&gt;&lt;foreign-keys&gt;&lt;key app="EN" db-id="zsrseat5ww9t5devdf1prxd7r0errx92pd5v" timestamp="1522435397"&gt;33&lt;/key&gt;&lt;/foreign-keys&gt;&lt;ref-type name="Book"&gt;6&lt;/ref-type&gt;&lt;contributors&gt;&lt;authors&gt;&lt;author&gt;Frederick Grimke&lt;/author&gt;&lt;/authors&gt;&lt;secondary-authors&gt;&lt;author&gt;John William Ward&lt;/author&gt;&lt;/secondary-authors&gt;&lt;tertiary-authors&gt;&lt;author&gt;John William Ward&lt;/author&gt;&lt;/tertiary-authors&gt;&lt;/contributors&gt;&lt;titles&gt;&lt;title&gt;The Nature and Tendency of Free Institutions&lt;/title&gt;&lt;/titles&gt;&lt;dates&gt;&lt;year&gt;1968&lt;/year&gt;&lt;/dates&gt;&lt;pub-location&gt;Cambridge, Mass&lt;/pub-location&gt;&lt;publisher&gt;Harvard University Press&lt;/publisher&gt;&lt;urls&gt;&lt;/urls&gt;&lt;/record&gt;&lt;/Cite&gt;&lt;/EndNote&gt;</w:instrText>
      </w:r>
      <w:r>
        <w:fldChar w:fldCharType="separate"/>
      </w:r>
      <w:r>
        <w:rPr>
          <w:noProof/>
        </w:rPr>
        <w:t xml:space="preserve">Frederick Grimke, </w:t>
      </w:r>
      <w:r w:rsidRPr="00865F2A">
        <w:rPr>
          <w:i/>
          <w:noProof/>
        </w:rPr>
        <w:t>The Nature and Tendency of Free Institutions</w:t>
      </w:r>
      <w:r>
        <w:rPr>
          <w:noProof/>
        </w:rPr>
        <w:t>, ed. John William Ward (Cambridge, Mass: Harvard University Press, 1968).</w:t>
      </w:r>
      <w:r>
        <w:fldChar w:fldCharType="end"/>
      </w:r>
      <w:r>
        <w:t>, 400.</w:t>
      </w:r>
    </w:p>
  </w:footnote>
  <w:footnote w:id="22">
    <w:p w14:paraId="678AD9CB" w14:textId="77777777" w:rsidR="00A7670B" w:rsidRPr="00762013" w:rsidRDefault="00A7670B">
      <w:pPr>
        <w:pStyle w:val="FootnoteText"/>
      </w:pPr>
      <w:r>
        <w:rPr>
          <w:rStyle w:val="FootnoteReference"/>
        </w:rPr>
        <w:footnoteRef/>
      </w:r>
      <w:r>
        <w:t xml:space="preserve"> A few examples include Carol Humphrey’s </w:t>
      </w:r>
      <w:r>
        <w:rPr>
          <w:i/>
        </w:rPr>
        <w:t xml:space="preserve">The Press of the Young Republic, </w:t>
      </w:r>
      <w:r>
        <w:t xml:space="preserve">Si Sheppard’s </w:t>
      </w:r>
      <w:r>
        <w:rPr>
          <w:i/>
        </w:rPr>
        <w:t xml:space="preserve">The Partisan Press, </w:t>
      </w:r>
      <w:r>
        <w:t xml:space="preserve">and Paul Starr’s </w:t>
      </w:r>
      <w:r>
        <w:rPr>
          <w:i/>
        </w:rPr>
        <w:t xml:space="preserve">The Creation of the Media. </w:t>
      </w:r>
    </w:p>
  </w:footnote>
  <w:footnote w:id="23">
    <w:p w14:paraId="1C7AD0D9"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&lt;EndNote&gt;&lt;Cite&gt;&lt;Author&gt;Green&lt;/Author&gt;&lt;RecNum&gt;39&lt;/RecNum&gt;&lt;DisplayText&gt;Duff Green, &amp;quot;First Principles,&amp;quot; &lt;style face="italic"&gt;United States’ Telegraph&lt;/style&gt;, October 21, 1826.&lt;/DisplayText&gt;&lt;record&gt;&lt;rec-number&gt;39&lt;/rec-number&gt;&lt;foreign-keys&gt;&lt;key app="EN" db-id="zsrseat5ww9t5devdf1prxd7r0errx92pd5v" timestamp="1522521490"&gt;39&lt;/key&gt;&lt;/foreign-keys&gt;&lt;ref-type name="Newspaper Article"&gt;23&lt;/ref-type&gt;&lt;contributors&gt;&lt;authors&gt;&lt;author&gt;Duff Green&lt;/author&gt;&lt;/authors&gt;&lt;/contributors&gt;&lt;titles&gt;&lt;title&gt;First Principles&lt;/title&gt;&lt;secondary-title&gt;United States’ Telegraph&lt;/secondary-title&gt;&lt;/titles&gt;&lt;volume&gt;1&lt;/volume&gt;&lt;edition&gt;218&lt;/edition&gt;&lt;dates&gt;&lt;pub-dates&gt;&lt;date&gt;October 21, 1826&lt;/date&gt;&lt;/pub-dates&gt;&lt;/dates&gt;&lt;pub-location&gt;Washington, D.C.&lt;/pub-location&gt;&lt;publisher&gt;Duff Green&lt;/publisher&gt;&lt;urls&gt;&lt;/urls&gt;&lt;/record&gt;&lt;/Cite&gt;&lt;/EndNote&gt;</w:instrText>
      </w:r>
      <w:r>
        <w:fldChar w:fldCharType="separate"/>
      </w:r>
      <w:r>
        <w:rPr>
          <w:noProof/>
        </w:rPr>
        <w:t xml:space="preserve">Duff Green, "First Principles," </w:t>
      </w:r>
      <w:r w:rsidRPr="00AF63EC">
        <w:rPr>
          <w:i/>
          <w:noProof/>
        </w:rPr>
        <w:t>United States’ Telegraph</w:t>
      </w:r>
      <w:r>
        <w:rPr>
          <w:noProof/>
        </w:rPr>
        <w:t>, October 21, 1826.</w:t>
      </w:r>
      <w:r>
        <w:fldChar w:fldCharType="end"/>
      </w:r>
    </w:p>
  </w:footnote>
  <w:footnote w:id="24">
    <w:p w14:paraId="2EAAC563" w14:textId="77777777" w:rsidR="00A7670B" w:rsidRPr="006D4166" w:rsidRDefault="00A7670B">
      <w:pPr>
        <w:pStyle w:val="FootnoteText"/>
      </w:pPr>
      <w:r>
        <w:rPr>
          <w:rStyle w:val="FootnoteReference"/>
        </w:rPr>
        <w:footnoteRef/>
      </w:r>
      <w:r>
        <w:t xml:space="preserve"> For an in-depth look at the “corrupt bargain” of 1824, see Remini’s </w:t>
      </w:r>
      <w:r>
        <w:rPr>
          <w:i/>
        </w:rPr>
        <w:t xml:space="preserve">The Election of Andrew Jackson, </w:t>
      </w:r>
      <w:r>
        <w:t>12-29.</w:t>
      </w:r>
    </w:p>
  </w:footnote>
  <w:footnote w:id="25">
    <w:p w14:paraId="6863356A"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&lt;EndNote&gt;&lt;Cite&gt;&lt;Author&gt;Meehan&lt;/Author&gt;&lt;RecNum&gt;36&lt;/RecNum&gt;&lt;DisplayText&gt;John S. Meehan, &amp;quot;To the Public,&amp;quot; &lt;style face="italic"&gt;United States’ Telegraph&lt;/style&gt;, February 6, 1826.&lt;/DisplayText&gt;&lt;record&gt;&lt;rec-number&gt;36&lt;/rec-number&gt;&lt;foreign-keys&gt;&lt;key app="EN" db-id="zsrseat5ww9t5devdf1prxd7r0errx92pd5v" timestamp="1522517717"&gt;36&lt;/key&gt;&lt;/foreign-keys&gt;&lt;ref-type name="Newspaper Article"&gt;23&lt;/ref-type&gt;&lt;contributors&gt;&lt;authors&gt;&lt;author&gt;John S. Meehan&lt;/author&gt;&lt;/authors&gt;&lt;/contributors&gt;&lt;titles&gt;&lt;title&gt;To the Public&lt;/title&gt;&lt;secondary-title&gt;United States’ Telegraph&lt;/secondary-title&gt;&lt;/titles&gt;&lt;volume&gt;1&lt;/volume&gt;&lt;edition&gt;1&lt;/edition&gt;&lt;dates&gt;&lt;pub-dates&gt;&lt;date&gt;February 6, 1826&lt;/date&gt;&lt;/pub-dates&gt;&lt;/dates&gt;&lt;pub-location&gt;Washington, D.C.&lt;/pub-location&gt;&lt;publisher&gt;John S. Meehan&lt;/publisher&gt;&lt;urls&gt;&lt;/urls&gt;&lt;/record&gt;&lt;/Cite&gt;&lt;/EndNote&gt;</w:instrText>
      </w:r>
      <w:r>
        <w:fldChar w:fldCharType="separate"/>
      </w:r>
      <w:r>
        <w:rPr>
          <w:noProof/>
        </w:rPr>
        <w:t xml:space="preserve">John S. Meehan, "To the Public," </w:t>
      </w:r>
      <w:r w:rsidRPr="00CB272D">
        <w:rPr>
          <w:i/>
          <w:noProof/>
        </w:rPr>
        <w:t>United States’ Telegraph</w:t>
      </w:r>
      <w:r>
        <w:rPr>
          <w:noProof/>
        </w:rPr>
        <w:t>, February 6, 1826.</w:t>
      </w:r>
      <w:r>
        <w:fldChar w:fldCharType="end"/>
      </w:r>
    </w:p>
  </w:footnote>
  <w:footnote w:id="26">
    <w:p w14:paraId="4105042A"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&lt;EndNote&gt;&lt;Cite&gt;&lt;Author&gt;Remini&lt;/Author&gt;&lt;Year&gt;1963&lt;/Year&gt;&lt;RecNum&gt;27&lt;/RecNum&gt;&lt;DisplayText&gt;Remini.&lt;/DisplayText&gt;&lt;record&gt;&lt;rec-number&gt;27&lt;/rec-number&gt;&lt;foreign-keys&gt;&lt;key app="EN" db-id="zsrseat5ww9t5devdf1prxd7r0errx92pd5v" timestamp="1522000351"&gt;27&lt;/key&gt;&lt;/foreign-keys&gt;&lt;ref-type name="Book"&gt;6&lt;/ref-type&gt;&lt;contributors&gt;&lt;authors&gt;&lt;author&gt;Robert V. Remini&lt;/author&gt;&lt;/authors&gt;&lt;/contributors&gt;&lt;titles&gt;&lt;title&gt;The Election of Andrew Jackson&lt;/title&gt;&lt;secondary-title&gt;Critical Periods of History&lt;/secondary-title&gt;&lt;/titles&gt;&lt;dates&gt;&lt;year&gt;1963&lt;/year&gt;&lt;/dates&gt;&lt;pub-location&gt;Philadelphia and New York&lt;/pub-location&gt;&lt;publisher&gt;J.B. Lippincott Company&lt;/publisher&gt;&lt;urls&gt;&lt;/urls&gt;&lt;/record&gt;&lt;/Cite&gt;&lt;/EndNote&gt;</w:instrText>
      </w:r>
      <w:r>
        <w:fldChar w:fldCharType="separate"/>
      </w:r>
      <w:r>
        <w:rPr>
          <w:noProof/>
        </w:rPr>
        <w:t>Remini.</w:t>
      </w:r>
      <w:r>
        <w:fldChar w:fldCharType="end"/>
      </w:r>
      <w:r>
        <w:t>, 12.</w:t>
      </w:r>
    </w:p>
  </w:footnote>
  <w:footnote w:id="27">
    <w:p w14:paraId="787DA53B"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&lt;EndNote&gt;&lt;Cite&gt;&lt;Author&gt;Meehan&lt;/Author&gt;&lt;RecNum&gt;23&lt;/RecNum&gt;&lt;DisplayText&gt;Meehan, &amp;quot;Washington City.&amp;quot;&lt;/DisplayText&gt;&lt;record&gt;&lt;rec-number&gt;23&lt;/rec-number&gt;&lt;foreign-keys&gt;&lt;key app="EN" db-id="zsrseat5ww9t5devdf1prxd7r0errx92pd5v" timestamp="1521997663"&gt;23&lt;/key&gt;&lt;/foreign-keys&gt;&lt;ref-type name="Newspaper Article"&gt;23&lt;/ref-type&gt;&lt;contributors&gt;&lt;authors&gt;&lt;author&gt;John S. Meehan&lt;/author&gt;&lt;/authors&gt;&lt;/contributors&gt;&lt;titles&gt;&lt;title&gt;Washington City&lt;/title&gt;&lt;secondary-title&gt;United States’ Telegraph&lt;/secondary-title&gt;&lt;/titles&gt;&lt;volume&gt;1&lt;/volume&gt;&lt;edition&gt;No. 198&lt;/edition&gt;&lt;dates&gt;&lt;pub-dates&gt;&lt;date&gt;September 27, 1826&lt;/date&gt;&lt;/pub-dates&gt;&lt;/dates&gt;&lt;pub-location&gt;Washington D.C.&lt;/pub-location&gt;&lt;publisher&gt;John S. Meehan&lt;/publisher&gt;&lt;urls&gt;&lt;/urls&gt;&lt;/record&gt;&lt;/Cite&gt;&lt;/EndNote&gt;</w:instrText>
      </w:r>
      <w:r>
        <w:fldChar w:fldCharType="separate"/>
      </w:r>
      <w:r>
        <w:rPr>
          <w:noProof/>
        </w:rPr>
        <w:t>Meehan, "Washington City."</w:t>
      </w:r>
      <w:r>
        <w:fldChar w:fldCharType="end"/>
      </w:r>
    </w:p>
  </w:footnote>
  <w:footnote w:id="28">
    <w:p w14:paraId="0738D0CF"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&lt;EndNote&gt;&lt;Cite&gt;&lt;Author&gt;Green&lt;/Author&gt;&lt;RecNum&gt;40&lt;/RecNum&gt;&lt;DisplayText&gt;Duff Green, &amp;quot;Republic Ticket,&amp;quot; ibid., March 5, 1828.&lt;/DisplayText&gt;&lt;record&gt;&lt;rec-number&gt;40&lt;/rec-number&gt;&lt;foreign-keys&gt;&lt;key app="EN" db-id="zsrseat5ww9t5devdf1prxd7r0errx92pd5v" timestamp="1522522652"&gt;40&lt;/key&gt;&lt;/foreign-keys&gt;&lt;ref-type name="Newspaper Article"&gt;23&lt;/ref-type&gt;&lt;contributors&gt;&lt;authors&gt;&lt;author&gt;Duff Green&lt;/author&gt;&lt;/authors&gt;&lt;/contributors&gt;&lt;titles&gt;&lt;title&gt;Republic Ticket&lt;/title&gt;&lt;secondary-title&gt;United States’ Telegraph&lt;/secondary-title&gt;&lt;/titles&gt;&lt;volume&gt;3&lt;/volume&gt;&lt;edition&gt;55&lt;/edition&gt;&lt;dates&gt;&lt;pub-dates&gt;&lt;date&gt;March 5, 1828&lt;/date&gt;&lt;/pub-dates&gt;&lt;/dates&gt;&lt;pub-location&gt;Washington, D.C.&lt;/pub-location&gt;&lt;publisher&gt;Duff Green&lt;/publisher&gt;&lt;urls&gt;&lt;/urls&gt;&lt;/record&gt;&lt;/Cite&gt;&lt;/EndNote&gt;</w:instrText>
      </w:r>
      <w:r>
        <w:fldChar w:fldCharType="separate"/>
      </w:r>
      <w:r>
        <w:rPr>
          <w:noProof/>
        </w:rPr>
        <w:t>Duff Green, "Republic Ticket," ibid., March 5, 1828.</w:t>
      </w:r>
      <w:r>
        <w:fldChar w:fldCharType="end"/>
      </w:r>
    </w:p>
  </w:footnote>
  <w:footnote w:id="29">
    <w:p w14:paraId="29AF38CB"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&lt;EndNote&gt;&lt;Cite&gt;&lt;Author&gt;Force&lt;/Author&gt;&lt;RecNum&gt;42&lt;/RecNum&gt;&lt;DisplayText&gt;Peter Force, &amp;quot;Washington,&amp;quot; &lt;style face="italic"&gt;The Daily National Journal&lt;/style&gt;, March 3, 1828.&lt;/DisplayText&gt;&lt;record&gt;&lt;rec-number&gt;42&lt;/rec-number&gt;&lt;foreign-keys&gt;&lt;key app="EN" db-id="zsrseat5ww9t5devdf1prxd7r0errx92pd5v" timestamp="1522606263"&gt;42&lt;/key&gt;&lt;/foreign-keys&gt;&lt;ref-type name="Newspaper Article"&gt;23&lt;/ref-type&gt;&lt;contributors&gt;&lt;authors&gt;&lt;author&gt;Peter Force&lt;/author&gt;&lt;/authors&gt;&lt;/contributors&gt;&lt;titles&gt;&lt;title&gt;Washington&lt;/title&gt;&lt;secondary-title&gt;The Daily National Journal&lt;/secondary-title&gt;&lt;/titles&gt;&lt;volume&gt;4&lt;/volume&gt;&lt;edition&gt;1338&lt;/edition&gt;&lt;dates&gt;&lt;pub-dates&gt;&lt;date&gt;March 3, 1828&lt;/date&gt;&lt;/pub-dates&gt;&lt;/dates&gt;&lt;pub-location&gt;Washington, D.C.&lt;/pub-location&gt;&lt;publisher&gt;Peter Force&lt;/publisher&gt;&lt;urls&gt;&lt;/urls&gt;&lt;/record&gt;&lt;/Cite&gt;&lt;/EndNote&gt;</w:instrText>
      </w:r>
      <w:r>
        <w:fldChar w:fldCharType="separate"/>
      </w:r>
      <w:r>
        <w:rPr>
          <w:noProof/>
        </w:rPr>
        <w:t xml:space="preserve">Peter Force, "Washington," </w:t>
      </w:r>
      <w:r w:rsidRPr="001E27A6">
        <w:rPr>
          <w:i/>
          <w:noProof/>
        </w:rPr>
        <w:t>The Daily National Journal</w:t>
      </w:r>
      <w:r>
        <w:rPr>
          <w:noProof/>
        </w:rPr>
        <w:t>, March 3, 1828.</w:t>
      </w:r>
      <w:r>
        <w:fldChar w:fldCharType="end"/>
      </w:r>
    </w:p>
  </w:footnote>
  <w:footnote w:id="30">
    <w:p w14:paraId="422281F0"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&lt;EndNote&gt;&lt;Cite&gt;&lt;Author&gt;Green&lt;/Author&gt;&lt;RecNum&gt;40&lt;/RecNum&gt;&lt;DisplayText&gt;Green, &amp;quot;Republic Ticket.&amp;quot;&lt;/DisplayText&gt;&lt;record&gt;&lt;rec-number&gt;40&lt;/rec-number&gt;&lt;foreign-keys&gt;&lt;key app="EN" db-id="zsrseat5ww9t5devdf1prxd7r0errx92pd5v" timestamp="1522522652"&gt;40&lt;/key&gt;&lt;/foreign-keys&gt;&lt;ref-type name="Newspaper Article"&gt;23&lt;/ref-type&gt;&lt;contributors&gt;&lt;authors&gt;&lt;author&gt;Duff Green&lt;/author&gt;&lt;/authors&gt;&lt;/contributors&gt;&lt;titles&gt;&lt;title&gt;Republic Ticket&lt;/title&gt;&lt;secondary-title&gt;United States’ Telegraph&lt;/secondary-title&gt;&lt;/titles&gt;&lt;volume&gt;3&lt;/volume&gt;&lt;edition&gt;55&lt;/edition&gt;&lt;dates&gt;&lt;pub-dates&gt;&lt;date&gt;March 5, 1828&lt;/date&gt;&lt;/pub-dates&gt;&lt;/dates&gt;&lt;pub-location&gt;Washington, D.C.&lt;/pub-location&gt;&lt;publisher&gt;Duff Green&lt;/publisher&gt;&lt;urls&gt;&lt;/urls&gt;&lt;/record&gt;&lt;/Cite&gt;&lt;/EndNote&gt;</w:instrText>
      </w:r>
      <w:r>
        <w:fldChar w:fldCharType="separate"/>
      </w:r>
      <w:r>
        <w:rPr>
          <w:noProof/>
        </w:rPr>
        <w:t>Green, "Republic Ticket."</w:t>
      </w:r>
      <w:r>
        <w:fldChar w:fldCharType="end"/>
      </w:r>
    </w:p>
  </w:footnote>
  <w:footnote w:id="31">
    <w:p w14:paraId="40DFA4E3" w14:textId="77777777" w:rsidR="00A7670B" w:rsidRDefault="00A7670B">
      <w:pPr>
        <w:pStyle w:val="FootnoteText"/>
      </w:pPr>
      <w:r>
        <w:rPr>
          <w:rStyle w:val="FootnoteReference"/>
        </w:rPr>
        <w:footnoteRef/>
      </w:r>
      <w:r>
        <w:t xml:space="preserve"> See Remini, 17-19.</w:t>
      </w:r>
    </w:p>
  </w:footnote>
  <w:footnote w:id="32">
    <w:p w14:paraId="5EC563FE"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&lt;EndNote&gt;&lt;Cite&gt;&lt;Author&gt;Ames&lt;/Author&gt;&lt;Year&gt;1972&lt;/Year&gt;&lt;RecNum&gt;30&lt;/RecNum&gt;&lt;DisplayText&gt;Ames.&lt;/DisplayText&gt;&lt;record&gt;&lt;rec-number&gt;30&lt;/rec-number&gt;&lt;foreign-keys&gt;&lt;key app="EN" db-id="zsrseat5ww9t5devdf1prxd7r0errx92pd5v" timestamp="1522284128"&gt;30&lt;/key&gt;&lt;/foreign-keys&gt;&lt;ref-type name="Book"&gt;6&lt;/ref-type&gt;&lt;contributors&gt;&lt;authors&gt;&lt;author&gt;William E. Ames&lt;/author&gt;&lt;/authors&gt;&lt;/contributors&gt;&lt;titles&gt;&lt;title&gt;A History of the National Intelligencer&lt;/title&gt;&lt;/titles&gt;&lt;dates&gt;&lt;year&gt;1972&lt;/year&gt;&lt;/dates&gt;&lt;pub-location&gt;Chapel Hill&lt;/pub-location&gt;&lt;publisher&gt;The University of North Carolina Press&lt;/publisher&gt;&lt;urls&gt;&lt;/urls&gt;&lt;/record&gt;&lt;/Cite&gt;&lt;/EndNote&gt;</w:instrText>
      </w:r>
      <w:r>
        <w:fldChar w:fldCharType="separate"/>
      </w:r>
      <w:r>
        <w:rPr>
          <w:noProof/>
        </w:rPr>
        <w:t>Ames.</w:t>
      </w:r>
      <w:r>
        <w:fldChar w:fldCharType="end"/>
      </w:r>
      <w:r>
        <w:t>, 151-152.</w:t>
      </w:r>
    </w:p>
  </w:footnote>
  <w:footnote w:id="33">
    <w:p w14:paraId="5599E4B5"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&lt;EndNote&gt;&lt;Cite&gt;&lt;Author&gt;Seaton&lt;/Author&gt;&lt;RecNum&gt;47&lt;/RecNum&gt;&lt;DisplayText&gt;Joseph Gales Jr. and William W. Seaton, &amp;quot;The Next Presidency,&amp;quot; &lt;style face="italic"&gt;The National Intelligencer&lt;/style&gt;, August 18, 1827.&lt;/DisplayText&gt;&lt;record&gt;&lt;rec-number&gt;47&lt;/rec-number&gt;&lt;foreign-keys&gt;&lt;key app="EN" db-id="zsrseat5ww9t5devdf1prxd7r0errx92pd5v" timestamp="1523033159"&gt;47&lt;/key&gt;&lt;/foreign-keys&gt;&lt;ref-type name="Newspaper Article"&gt;23&lt;/ref-type&gt;&lt;contributors&gt;&lt;authors&gt;&lt;author&gt;Joseph Gales Jr. and William W. Seaton&lt;/author&gt;&lt;/authors&gt;&lt;/contributors&gt;&lt;titles&gt;&lt;title&gt;The Next Presidency&lt;/title&gt;&lt;secondary-title&gt;The National Intelligencer&lt;/secondary-title&gt;&lt;/titles&gt;&lt;volume&gt;15&lt;/volume&gt;&lt;edition&gt;4548&lt;/edition&gt;&lt;dates&gt;&lt;pub-dates&gt;&lt;date&gt;August 18, 1827&lt;/date&gt;&lt;/pub-dates&gt;&lt;/dates&gt;&lt;pub-location&gt;Washington, D.C.&lt;/pub-location&gt;&lt;publisher&gt;Joseph Gales Jr. and William W. Seaton&lt;/publisher&gt;&lt;urls&gt;&lt;/urls&gt;&lt;/record&gt;&lt;/Cite&gt;&lt;/EndNote&gt;</w:instrText>
      </w:r>
      <w:r>
        <w:fldChar w:fldCharType="separate"/>
      </w:r>
      <w:r>
        <w:rPr>
          <w:noProof/>
        </w:rPr>
        <w:t xml:space="preserve">Joseph Gales Jr. and William W. Seaton, "The Next Presidency," </w:t>
      </w:r>
      <w:r w:rsidRPr="0060382D">
        <w:rPr>
          <w:i/>
          <w:noProof/>
        </w:rPr>
        <w:t>The National Intelligencer</w:t>
      </w:r>
      <w:r>
        <w:rPr>
          <w:noProof/>
        </w:rPr>
        <w:t>, August 18, 1827.</w:t>
      </w:r>
      <w:r>
        <w:fldChar w:fldCharType="end"/>
      </w:r>
    </w:p>
  </w:footnote>
  <w:footnote w:id="34">
    <w:p w14:paraId="0BE7E101"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&lt;EndNote&gt;&lt;Cite&gt;&lt;Author&gt;Seaton&lt;/Author&gt;&lt;RecNum&gt;46&lt;/RecNum&gt;&lt;DisplayText&gt;&amp;quot;Communication,&amp;quot; &lt;style face="italic"&gt;The National Intelligencer&lt;/style&gt;, August 18, 1827.&lt;/DisplayText&gt;&lt;record&gt;&lt;rec-number&gt;46&lt;/rec-number&gt;&lt;foreign-keys&gt;&lt;key app="EN" db-id="zsrseat5ww9t5devdf1prxd7r0errx92pd5v" timestamp="1523032077"&gt;46&lt;/key&gt;&lt;/foreign-keys&gt;&lt;ref-type name="Newspaper Article"&gt;23&lt;/ref-type&gt;&lt;contributors&gt;&lt;authors&gt;&lt;author&gt;Joseph Gales Jr. and William W. Seaton&lt;/author&gt;&lt;/authors&gt;&lt;/contributors&gt;&lt;titles&gt;&lt;title&gt;Communication&lt;/title&gt;&lt;secondary-title&gt;The National Intelligencer&lt;/secondary-title&gt;&lt;/titles&gt;&lt;volume&gt;15&lt;/volume&gt;&lt;edition&gt;4548&lt;/edition&gt;&lt;dates&gt;&lt;pub-dates&gt;&lt;date&gt;August 18, 1827&lt;/date&gt;&lt;/pub-dates&gt;&lt;/dates&gt;&lt;pub-location&gt;Washington D.C.&lt;/pub-location&gt;&lt;publisher&gt;Joseph Gales Jr. and William W. Seaton&lt;/publisher&gt;&lt;urls&gt;&lt;/urls&gt;&lt;/record&gt;&lt;/Cite&gt;&lt;/EndNote&gt;</w:instrText>
      </w:r>
      <w:r>
        <w:fldChar w:fldCharType="separate"/>
      </w:r>
      <w:r>
        <w:rPr>
          <w:noProof/>
        </w:rPr>
        <w:t xml:space="preserve">"Communication," </w:t>
      </w:r>
      <w:r w:rsidRPr="0060382D">
        <w:rPr>
          <w:i/>
          <w:noProof/>
        </w:rPr>
        <w:t>The National Intelligencer</w:t>
      </w:r>
      <w:r>
        <w:rPr>
          <w:noProof/>
        </w:rPr>
        <w:t>, August 18, 1827.</w:t>
      </w:r>
      <w:r>
        <w:fldChar w:fldCharType="end"/>
      </w:r>
    </w:p>
  </w:footnote>
  <w:footnote w:id="35">
    <w:p w14:paraId="59AF9065"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&lt;EndNote&gt;&lt;Cite&gt;&lt;Author&gt;Seaton&lt;/Author&gt;&lt;RecNum&gt;46&lt;/RecNum&gt;&lt;DisplayText&gt;Ibid.&lt;/DisplayText&gt;&lt;record&gt;&lt;rec-number&gt;46&lt;/rec-number&gt;&lt;foreign-keys&gt;&lt;key app="EN" db-id="zsrseat5ww9t5devdf1prxd7r0errx92pd5v" timestamp="1523032077"&gt;46&lt;/key&gt;&lt;/foreign-keys&gt;&lt;ref-type name="Newspaper Article"&gt;23&lt;/ref-type&gt;&lt;contributors&gt;&lt;authors&gt;&lt;author&gt;Joseph Gales Jr. and William W. Seaton&lt;/author&gt;&lt;/authors&gt;&lt;/contributors&gt;&lt;titles&gt;&lt;title&gt;Communication&lt;/title&gt;&lt;secondary-title&gt;The National Intelligencer&lt;/secondary-title&gt;&lt;/titles&gt;&lt;volume&gt;15&lt;/volume&gt;&lt;edition&gt;4548&lt;/edition&gt;&lt;dates&gt;&lt;pub-dates&gt;&lt;date&gt;August 18, 1827&lt;/date&gt;&lt;/pub-dates&gt;&lt;/dates&gt;&lt;pub-location&gt;Washington D.C.&lt;/pub-location&gt;&lt;publisher&gt;Joseph Gales Jr. and William W. Seaton&lt;/publisher&gt;&lt;urls&gt;&lt;/urls&gt;&lt;/record&gt;&lt;/Cite&gt;&lt;/EndNote&gt;</w:instrText>
      </w:r>
      <w:r>
        <w:fldChar w:fldCharType="separate"/>
      </w:r>
      <w:r>
        <w:rPr>
          <w:noProof/>
        </w:rPr>
        <w:t>Ibid.</w:t>
      </w:r>
      <w:r>
        <w:fldChar w:fldCharType="end"/>
      </w:r>
    </w:p>
  </w:footnote>
  <w:footnote w:id="36">
    <w:p w14:paraId="3F4352E6" w14:textId="77777777" w:rsidR="00A7670B" w:rsidRDefault="00A7670B">
      <w:pPr>
        <w:pStyle w:val="FootnoteText"/>
      </w:pPr>
      <w:r>
        <w:rPr>
          <w:rStyle w:val="FootnoteReference"/>
        </w:rPr>
        <w:footnoteRef/>
      </w:r>
      <w:r>
        <w:t xml:space="preserve"> </w:t>
      </w:r>
      <w:r>
        <w:fldChar w:fldCharType="begin"/>
      </w:r>
      <w:r>
        <w:instrText xml:space="preserve"> ADDIN EN.CITE &lt;EndNote&gt;&lt;Cite&gt;&lt;Author&gt;Seaton&lt;/Author&gt;&lt;RecNum&gt;47&lt;/RecNum&gt;&lt;DisplayText&gt;&amp;quot;The Next Presidency.&amp;quot;&lt;/DisplayText&gt;&lt;record&gt;&lt;rec-number&gt;47&lt;/rec-number&gt;&lt;foreign-keys&gt;&lt;key app="EN" db-id="zsrseat5ww9t5devdf1prxd7r0errx92pd5v" timestamp="1523033159"&gt;47&lt;/key&gt;&lt;/foreign-keys&gt;&lt;ref-type name="Newspaper Article"&gt;23&lt;/ref-type&gt;&lt;contributors&gt;&lt;authors&gt;&lt;author&gt;Joseph Gales Jr. and William W. Seaton&lt;/author&gt;&lt;/authors&gt;&lt;/contributors&gt;&lt;titles&gt;&lt;title&gt;The Next Presidency&lt;/title&gt;&lt;secondary-title&gt;The National Intelligencer&lt;/secondary-title&gt;&lt;/titles&gt;&lt;volume&gt;15&lt;/volume&gt;&lt;edition&gt;4548&lt;/edition&gt;&lt;dates&gt;&lt;pub-dates&gt;&lt;date&gt;August 18, 1827&lt;/date&gt;&lt;/pub-dates&gt;&lt;/dates&gt;&lt;pub-location&gt;Washington, D.C.&lt;/pub-location&gt;&lt;publisher&gt;Joseph Gales Jr. and William W. Seaton&lt;/publisher&gt;&lt;urls&gt;&lt;/urls&gt;&lt;/record&gt;&lt;/Cite&gt;&lt;/EndNote&gt;</w:instrText>
      </w:r>
      <w:r>
        <w:fldChar w:fldCharType="separate"/>
      </w:r>
      <w:r>
        <w:rPr>
          <w:noProof/>
        </w:rPr>
        <w:t>"The Next Presidency."</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44217598"/>
      <w:docPartObj>
        <w:docPartGallery w:val="Page Numbers (Top of Page)"/>
        <w:docPartUnique/>
      </w:docPartObj>
    </w:sdtPr>
    <w:sdtEndPr>
      <w:rPr>
        <w:rStyle w:val="PageNumber"/>
      </w:rPr>
    </w:sdtEndPr>
    <w:sdtContent>
      <w:p w14:paraId="7AF1A1AF" w14:textId="566ED6DD" w:rsidR="004C03D4" w:rsidRDefault="004C03D4" w:rsidP="00A55C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4F0EA5" w14:textId="77777777" w:rsidR="004C03D4" w:rsidRDefault="004C03D4" w:rsidP="004C03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4850838"/>
      <w:docPartObj>
        <w:docPartGallery w:val="Page Numbers (Top of Page)"/>
        <w:docPartUnique/>
      </w:docPartObj>
    </w:sdtPr>
    <w:sdtEndPr>
      <w:rPr>
        <w:rStyle w:val="PageNumber"/>
      </w:rPr>
    </w:sdtEndPr>
    <w:sdtContent>
      <w:p w14:paraId="0C1CD387" w14:textId="0DB2EF42" w:rsidR="004C03D4" w:rsidRDefault="004C03D4" w:rsidP="00A55C8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53136C" w14:textId="77777777" w:rsidR="004C03D4" w:rsidRDefault="004C03D4" w:rsidP="004C03D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6th Footno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zsrseat5ww9t5devdf1prxd7r0errx92pd5v&quot;&gt;My EndNote Library&lt;record-ids&gt;&lt;item&gt;23&lt;/item&gt;&lt;item&gt;24&lt;/item&gt;&lt;item&gt;25&lt;/item&gt;&lt;item&gt;26&lt;/item&gt;&lt;item&gt;27&lt;/item&gt;&lt;item&gt;28&lt;/item&gt;&lt;item&gt;30&lt;/item&gt;&lt;item&gt;31&lt;/item&gt;&lt;item&gt;32&lt;/item&gt;&lt;item&gt;33&lt;/item&gt;&lt;item&gt;34&lt;/item&gt;&lt;item&gt;36&lt;/item&gt;&lt;item&gt;39&lt;/item&gt;&lt;item&gt;40&lt;/item&gt;&lt;item&gt;42&lt;/item&gt;&lt;item&gt;46&lt;/item&gt;&lt;item&gt;47&lt;/item&gt;&lt;item&gt;48&lt;/item&gt;&lt;item&gt;49&lt;/item&gt;&lt;/record-ids&gt;&lt;/item&gt;&lt;/Libraries&gt;"/>
  </w:docVars>
  <w:rsids>
    <w:rsidRoot w:val="00504EA0"/>
    <w:rsid w:val="00020FCC"/>
    <w:rsid w:val="00027F84"/>
    <w:rsid w:val="000425D4"/>
    <w:rsid w:val="000542DF"/>
    <w:rsid w:val="00062BD9"/>
    <w:rsid w:val="000720EF"/>
    <w:rsid w:val="00076B38"/>
    <w:rsid w:val="0008241F"/>
    <w:rsid w:val="0008452A"/>
    <w:rsid w:val="000853CE"/>
    <w:rsid w:val="00097CEB"/>
    <w:rsid w:val="000A5D02"/>
    <w:rsid w:val="000B20C9"/>
    <w:rsid w:val="000C6CBE"/>
    <w:rsid w:val="000C79CB"/>
    <w:rsid w:val="000E19F5"/>
    <w:rsid w:val="000F5330"/>
    <w:rsid w:val="001016E6"/>
    <w:rsid w:val="001059A8"/>
    <w:rsid w:val="00106D1B"/>
    <w:rsid w:val="0012284E"/>
    <w:rsid w:val="00135ADB"/>
    <w:rsid w:val="00137791"/>
    <w:rsid w:val="00146E7F"/>
    <w:rsid w:val="001473EB"/>
    <w:rsid w:val="00150C2A"/>
    <w:rsid w:val="00150E44"/>
    <w:rsid w:val="001611DF"/>
    <w:rsid w:val="001644E5"/>
    <w:rsid w:val="001660D2"/>
    <w:rsid w:val="0019335A"/>
    <w:rsid w:val="001A2A95"/>
    <w:rsid w:val="001B1E42"/>
    <w:rsid w:val="001C1E06"/>
    <w:rsid w:val="001C6D0B"/>
    <w:rsid w:val="001D33A4"/>
    <w:rsid w:val="001D5144"/>
    <w:rsid w:val="001E27A6"/>
    <w:rsid w:val="001F611F"/>
    <w:rsid w:val="00206F47"/>
    <w:rsid w:val="00215B35"/>
    <w:rsid w:val="00223E8F"/>
    <w:rsid w:val="002314B8"/>
    <w:rsid w:val="00246B50"/>
    <w:rsid w:val="00261D58"/>
    <w:rsid w:val="00262EAF"/>
    <w:rsid w:val="002651AC"/>
    <w:rsid w:val="00271522"/>
    <w:rsid w:val="00284699"/>
    <w:rsid w:val="00296509"/>
    <w:rsid w:val="002B3789"/>
    <w:rsid w:val="002B633E"/>
    <w:rsid w:val="002C126D"/>
    <w:rsid w:val="002D4998"/>
    <w:rsid w:val="002E10A2"/>
    <w:rsid w:val="002F4EE3"/>
    <w:rsid w:val="002F5339"/>
    <w:rsid w:val="003069EA"/>
    <w:rsid w:val="003077BE"/>
    <w:rsid w:val="00307805"/>
    <w:rsid w:val="00313D3F"/>
    <w:rsid w:val="00323D29"/>
    <w:rsid w:val="00342DD8"/>
    <w:rsid w:val="003527DE"/>
    <w:rsid w:val="00353C28"/>
    <w:rsid w:val="00365B3F"/>
    <w:rsid w:val="00366638"/>
    <w:rsid w:val="00377DE2"/>
    <w:rsid w:val="00383692"/>
    <w:rsid w:val="003A41BE"/>
    <w:rsid w:val="003A4B2E"/>
    <w:rsid w:val="003C5A29"/>
    <w:rsid w:val="003C7F60"/>
    <w:rsid w:val="003D4910"/>
    <w:rsid w:val="003D6C0E"/>
    <w:rsid w:val="003D7902"/>
    <w:rsid w:val="003E7620"/>
    <w:rsid w:val="003F0D03"/>
    <w:rsid w:val="003F7038"/>
    <w:rsid w:val="00402E68"/>
    <w:rsid w:val="004031F5"/>
    <w:rsid w:val="004223FA"/>
    <w:rsid w:val="004261C4"/>
    <w:rsid w:val="00434796"/>
    <w:rsid w:val="00436EA0"/>
    <w:rsid w:val="00444266"/>
    <w:rsid w:val="00453ABD"/>
    <w:rsid w:val="00455EF6"/>
    <w:rsid w:val="0048019F"/>
    <w:rsid w:val="00480F09"/>
    <w:rsid w:val="00490E1C"/>
    <w:rsid w:val="0049321B"/>
    <w:rsid w:val="00496CE6"/>
    <w:rsid w:val="004A0F30"/>
    <w:rsid w:val="004A327C"/>
    <w:rsid w:val="004A64AB"/>
    <w:rsid w:val="004B32D8"/>
    <w:rsid w:val="004C03D4"/>
    <w:rsid w:val="004D22CB"/>
    <w:rsid w:val="004F314D"/>
    <w:rsid w:val="004F6643"/>
    <w:rsid w:val="00504EA0"/>
    <w:rsid w:val="005070BD"/>
    <w:rsid w:val="00510F1A"/>
    <w:rsid w:val="00512169"/>
    <w:rsid w:val="005128A7"/>
    <w:rsid w:val="0051522F"/>
    <w:rsid w:val="005179CD"/>
    <w:rsid w:val="00521465"/>
    <w:rsid w:val="005340F8"/>
    <w:rsid w:val="00552027"/>
    <w:rsid w:val="00556A5E"/>
    <w:rsid w:val="005657C4"/>
    <w:rsid w:val="00567C0A"/>
    <w:rsid w:val="00584194"/>
    <w:rsid w:val="005902F1"/>
    <w:rsid w:val="005A5883"/>
    <w:rsid w:val="005C6532"/>
    <w:rsid w:val="005E6DA7"/>
    <w:rsid w:val="005E7C88"/>
    <w:rsid w:val="005F052B"/>
    <w:rsid w:val="0060382D"/>
    <w:rsid w:val="0060761B"/>
    <w:rsid w:val="00613B24"/>
    <w:rsid w:val="00614957"/>
    <w:rsid w:val="00626D90"/>
    <w:rsid w:val="0065147C"/>
    <w:rsid w:val="006532E5"/>
    <w:rsid w:val="006532F1"/>
    <w:rsid w:val="00665C80"/>
    <w:rsid w:val="00685816"/>
    <w:rsid w:val="00690E37"/>
    <w:rsid w:val="00695ABE"/>
    <w:rsid w:val="006B0453"/>
    <w:rsid w:val="006B0703"/>
    <w:rsid w:val="006B2524"/>
    <w:rsid w:val="006B3AFC"/>
    <w:rsid w:val="006B658E"/>
    <w:rsid w:val="006C160C"/>
    <w:rsid w:val="006C2350"/>
    <w:rsid w:val="006C4E55"/>
    <w:rsid w:val="006C5768"/>
    <w:rsid w:val="006D1C08"/>
    <w:rsid w:val="006D4166"/>
    <w:rsid w:val="006D717F"/>
    <w:rsid w:val="006D7E90"/>
    <w:rsid w:val="006E09B5"/>
    <w:rsid w:val="006E1B5A"/>
    <w:rsid w:val="006F1D92"/>
    <w:rsid w:val="007031FC"/>
    <w:rsid w:val="00712C80"/>
    <w:rsid w:val="00714011"/>
    <w:rsid w:val="00720DAB"/>
    <w:rsid w:val="0072780D"/>
    <w:rsid w:val="0073342F"/>
    <w:rsid w:val="0074073E"/>
    <w:rsid w:val="00750778"/>
    <w:rsid w:val="007507D1"/>
    <w:rsid w:val="00762013"/>
    <w:rsid w:val="007638CB"/>
    <w:rsid w:val="00764512"/>
    <w:rsid w:val="007726D0"/>
    <w:rsid w:val="00775647"/>
    <w:rsid w:val="00782334"/>
    <w:rsid w:val="00791E75"/>
    <w:rsid w:val="0079590D"/>
    <w:rsid w:val="00796BDC"/>
    <w:rsid w:val="00797857"/>
    <w:rsid w:val="007A4087"/>
    <w:rsid w:val="007A494A"/>
    <w:rsid w:val="007B2F8F"/>
    <w:rsid w:val="007C252D"/>
    <w:rsid w:val="007D7105"/>
    <w:rsid w:val="007E1B31"/>
    <w:rsid w:val="007E3354"/>
    <w:rsid w:val="007E5536"/>
    <w:rsid w:val="007E7E41"/>
    <w:rsid w:val="008051FB"/>
    <w:rsid w:val="008104D6"/>
    <w:rsid w:val="00814630"/>
    <w:rsid w:val="00815B6E"/>
    <w:rsid w:val="00822719"/>
    <w:rsid w:val="00824024"/>
    <w:rsid w:val="008240C2"/>
    <w:rsid w:val="0085224A"/>
    <w:rsid w:val="00853EF5"/>
    <w:rsid w:val="00860ED6"/>
    <w:rsid w:val="00863E82"/>
    <w:rsid w:val="00865F2A"/>
    <w:rsid w:val="008712B9"/>
    <w:rsid w:val="008738C1"/>
    <w:rsid w:val="00874336"/>
    <w:rsid w:val="00875DF2"/>
    <w:rsid w:val="00876A7C"/>
    <w:rsid w:val="00883410"/>
    <w:rsid w:val="008901D6"/>
    <w:rsid w:val="008949CA"/>
    <w:rsid w:val="0089705E"/>
    <w:rsid w:val="008A1AB7"/>
    <w:rsid w:val="008B14DB"/>
    <w:rsid w:val="008B3B44"/>
    <w:rsid w:val="008C0AA4"/>
    <w:rsid w:val="008D0860"/>
    <w:rsid w:val="008D5A15"/>
    <w:rsid w:val="009075D4"/>
    <w:rsid w:val="00925DB1"/>
    <w:rsid w:val="00934D61"/>
    <w:rsid w:val="00934E5D"/>
    <w:rsid w:val="0094371F"/>
    <w:rsid w:val="00945112"/>
    <w:rsid w:val="00946E69"/>
    <w:rsid w:val="00960061"/>
    <w:rsid w:val="009652B5"/>
    <w:rsid w:val="009677B0"/>
    <w:rsid w:val="0098406D"/>
    <w:rsid w:val="00984F4C"/>
    <w:rsid w:val="00985685"/>
    <w:rsid w:val="009871A2"/>
    <w:rsid w:val="0099039F"/>
    <w:rsid w:val="009B05F8"/>
    <w:rsid w:val="009B427A"/>
    <w:rsid w:val="009B4335"/>
    <w:rsid w:val="009B5396"/>
    <w:rsid w:val="009B5474"/>
    <w:rsid w:val="009C4987"/>
    <w:rsid w:val="009D2270"/>
    <w:rsid w:val="009E1890"/>
    <w:rsid w:val="009E35C2"/>
    <w:rsid w:val="00A012AA"/>
    <w:rsid w:val="00A01EA9"/>
    <w:rsid w:val="00A07EDE"/>
    <w:rsid w:val="00A10717"/>
    <w:rsid w:val="00A16A69"/>
    <w:rsid w:val="00A21649"/>
    <w:rsid w:val="00A31654"/>
    <w:rsid w:val="00A316BE"/>
    <w:rsid w:val="00A37692"/>
    <w:rsid w:val="00A40172"/>
    <w:rsid w:val="00A41DB6"/>
    <w:rsid w:val="00A57159"/>
    <w:rsid w:val="00A6312E"/>
    <w:rsid w:val="00A71C9F"/>
    <w:rsid w:val="00A76370"/>
    <w:rsid w:val="00A7670B"/>
    <w:rsid w:val="00A81035"/>
    <w:rsid w:val="00A81360"/>
    <w:rsid w:val="00A87D23"/>
    <w:rsid w:val="00A91BD8"/>
    <w:rsid w:val="00AB01C7"/>
    <w:rsid w:val="00AB32A7"/>
    <w:rsid w:val="00AB4DB5"/>
    <w:rsid w:val="00AC7271"/>
    <w:rsid w:val="00AE399D"/>
    <w:rsid w:val="00AE4701"/>
    <w:rsid w:val="00AF00F5"/>
    <w:rsid w:val="00AF63EC"/>
    <w:rsid w:val="00B05FD2"/>
    <w:rsid w:val="00B12958"/>
    <w:rsid w:val="00B14DEF"/>
    <w:rsid w:val="00B17B69"/>
    <w:rsid w:val="00B206A9"/>
    <w:rsid w:val="00B2254D"/>
    <w:rsid w:val="00B35AF9"/>
    <w:rsid w:val="00B406F8"/>
    <w:rsid w:val="00B508AC"/>
    <w:rsid w:val="00B52EB4"/>
    <w:rsid w:val="00B56E85"/>
    <w:rsid w:val="00B63A89"/>
    <w:rsid w:val="00B66C55"/>
    <w:rsid w:val="00B7061A"/>
    <w:rsid w:val="00B87BE8"/>
    <w:rsid w:val="00B93C36"/>
    <w:rsid w:val="00B94078"/>
    <w:rsid w:val="00BA49A5"/>
    <w:rsid w:val="00BB2ED8"/>
    <w:rsid w:val="00BB5C66"/>
    <w:rsid w:val="00BB6670"/>
    <w:rsid w:val="00BC34E2"/>
    <w:rsid w:val="00BC41F0"/>
    <w:rsid w:val="00BC774A"/>
    <w:rsid w:val="00BD385E"/>
    <w:rsid w:val="00BE73F6"/>
    <w:rsid w:val="00BF7227"/>
    <w:rsid w:val="00C02028"/>
    <w:rsid w:val="00C0512D"/>
    <w:rsid w:val="00C16E2B"/>
    <w:rsid w:val="00C207D0"/>
    <w:rsid w:val="00C2633C"/>
    <w:rsid w:val="00C30EAD"/>
    <w:rsid w:val="00C311F3"/>
    <w:rsid w:val="00C36153"/>
    <w:rsid w:val="00C40304"/>
    <w:rsid w:val="00C46592"/>
    <w:rsid w:val="00C47C2B"/>
    <w:rsid w:val="00C547DB"/>
    <w:rsid w:val="00C65A37"/>
    <w:rsid w:val="00C7053B"/>
    <w:rsid w:val="00C7384E"/>
    <w:rsid w:val="00C77340"/>
    <w:rsid w:val="00C77958"/>
    <w:rsid w:val="00C8322E"/>
    <w:rsid w:val="00C83BF7"/>
    <w:rsid w:val="00C87EE6"/>
    <w:rsid w:val="00C90B07"/>
    <w:rsid w:val="00C976AF"/>
    <w:rsid w:val="00C97B95"/>
    <w:rsid w:val="00CA144D"/>
    <w:rsid w:val="00CA4C1C"/>
    <w:rsid w:val="00CB087B"/>
    <w:rsid w:val="00CB1E1D"/>
    <w:rsid w:val="00CB272D"/>
    <w:rsid w:val="00CC1AD6"/>
    <w:rsid w:val="00CD582C"/>
    <w:rsid w:val="00CE6B5F"/>
    <w:rsid w:val="00CE7318"/>
    <w:rsid w:val="00CF30A1"/>
    <w:rsid w:val="00CF6E25"/>
    <w:rsid w:val="00D07A48"/>
    <w:rsid w:val="00D07E0D"/>
    <w:rsid w:val="00D15F14"/>
    <w:rsid w:val="00D24BAE"/>
    <w:rsid w:val="00D256E8"/>
    <w:rsid w:val="00D3215C"/>
    <w:rsid w:val="00D328B2"/>
    <w:rsid w:val="00D33F1C"/>
    <w:rsid w:val="00D36DCB"/>
    <w:rsid w:val="00D41795"/>
    <w:rsid w:val="00D535C4"/>
    <w:rsid w:val="00D574FA"/>
    <w:rsid w:val="00D63375"/>
    <w:rsid w:val="00D6472F"/>
    <w:rsid w:val="00D66045"/>
    <w:rsid w:val="00D84494"/>
    <w:rsid w:val="00D90B53"/>
    <w:rsid w:val="00D9104A"/>
    <w:rsid w:val="00D9637F"/>
    <w:rsid w:val="00DA3A83"/>
    <w:rsid w:val="00DA556D"/>
    <w:rsid w:val="00DB1643"/>
    <w:rsid w:val="00DB6DA9"/>
    <w:rsid w:val="00DC3C72"/>
    <w:rsid w:val="00DD7A17"/>
    <w:rsid w:val="00DE14C1"/>
    <w:rsid w:val="00DE6DE3"/>
    <w:rsid w:val="00DF06FA"/>
    <w:rsid w:val="00DF39EB"/>
    <w:rsid w:val="00E01559"/>
    <w:rsid w:val="00E049DB"/>
    <w:rsid w:val="00E101A2"/>
    <w:rsid w:val="00E116EF"/>
    <w:rsid w:val="00E31313"/>
    <w:rsid w:val="00E47DF8"/>
    <w:rsid w:val="00E57AAC"/>
    <w:rsid w:val="00E608E1"/>
    <w:rsid w:val="00E6192C"/>
    <w:rsid w:val="00E752B3"/>
    <w:rsid w:val="00E8406D"/>
    <w:rsid w:val="00E94D5B"/>
    <w:rsid w:val="00E9526F"/>
    <w:rsid w:val="00E97258"/>
    <w:rsid w:val="00EB0EFB"/>
    <w:rsid w:val="00EB77C6"/>
    <w:rsid w:val="00EC4676"/>
    <w:rsid w:val="00EE3A22"/>
    <w:rsid w:val="00EF5E09"/>
    <w:rsid w:val="00EF6B73"/>
    <w:rsid w:val="00F048F3"/>
    <w:rsid w:val="00F05CFC"/>
    <w:rsid w:val="00F129C7"/>
    <w:rsid w:val="00F12CA9"/>
    <w:rsid w:val="00F25308"/>
    <w:rsid w:val="00F30D58"/>
    <w:rsid w:val="00F45CC5"/>
    <w:rsid w:val="00F50BAC"/>
    <w:rsid w:val="00F519C1"/>
    <w:rsid w:val="00F51B31"/>
    <w:rsid w:val="00F526A4"/>
    <w:rsid w:val="00F70DF7"/>
    <w:rsid w:val="00F72275"/>
    <w:rsid w:val="00F75DEB"/>
    <w:rsid w:val="00F764E2"/>
    <w:rsid w:val="00F92534"/>
    <w:rsid w:val="00F94AC0"/>
    <w:rsid w:val="00F951A0"/>
    <w:rsid w:val="00FA6A5A"/>
    <w:rsid w:val="00FB78AD"/>
    <w:rsid w:val="00FC2956"/>
    <w:rsid w:val="00FD015B"/>
    <w:rsid w:val="00FD3EB4"/>
    <w:rsid w:val="00FE59DD"/>
    <w:rsid w:val="00FE6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69B7E"/>
  <w15:chartTrackingRefBased/>
  <w15:docId w15:val="{5DDC829B-23EB-4345-851F-CE7AAB24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0512D"/>
    <w:rPr>
      <w:sz w:val="20"/>
      <w:szCs w:val="20"/>
    </w:rPr>
  </w:style>
  <w:style w:type="character" w:customStyle="1" w:styleId="FootnoteTextChar">
    <w:name w:val="Footnote Text Char"/>
    <w:basedOn w:val="DefaultParagraphFont"/>
    <w:link w:val="FootnoteText"/>
    <w:uiPriority w:val="99"/>
    <w:semiHidden/>
    <w:rsid w:val="00C0512D"/>
    <w:rPr>
      <w:sz w:val="20"/>
      <w:szCs w:val="20"/>
    </w:rPr>
  </w:style>
  <w:style w:type="character" w:styleId="FootnoteReference">
    <w:name w:val="footnote reference"/>
    <w:basedOn w:val="DefaultParagraphFont"/>
    <w:uiPriority w:val="99"/>
    <w:semiHidden/>
    <w:unhideWhenUsed/>
    <w:rsid w:val="00C0512D"/>
    <w:rPr>
      <w:vertAlign w:val="superscript"/>
    </w:rPr>
  </w:style>
  <w:style w:type="paragraph" w:customStyle="1" w:styleId="EndNoteBibliographyTitle">
    <w:name w:val="EndNote Bibliography Title"/>
    <w:basedOn w:val="Normal"/>
    <w:link w:val="EndNoteBibliographyTitleChar"/>
    <w:rsid w:val="00C0512D"/>
    <w:pPr>
      <w:jc w:val="center"/>
    </w:pPr>
    <w:rPr>
      <w:rFonts w:cs="Times New Roman"/>
    </w:rPr>
  </w:style>
  <w:style w:type="character" w:customStyle="1" w:styleId="EndNoteBibliographyTitleChar">
    <w:name w:val="EndNote Bibliography Title Char"/>
    <w:basedOn w:val="FootnoteTextChar"/>
    <w:link w:val="EndNoteBibliographyTitle"/>
    <w:rsid w:val="00C0512D"/>
    <w:rPr>
      <w:rFonts w:cs="Times New Roman"/>
      <w:sz w:val="20"/>
      <w:szCs w:val="20"/>
    </w:rPr>
  </w:style>
  <w:style w:type="paragraph" w:customStyle="1" w:styleId="EndNoteBibliography">
    <w:name w:val="EndNote Bibliography"/>
    <w:basedOn w:val="Normal"/>
    <w:link w:val="EndNoteBibliographyChar"/>
    <w:rsid w:val="00C0512D"/>
    <w:pPr>
      <w:spacing w:line="480" w:lineRule="auto"/>
    </w:pPr>
    <w:rPr>
      <w:rFonts w:cs="Times New Roman"/>
    </w:rPr>
  </w:style>
  <w:style w:type="character" w:customStyle="1" w:styleId="EndNoteBibliographyChar">
    <w:name w:val="EndNote Bibliography Char"/>
    <w:basedOn w:val="FootnoteTextChar"/>
    <w:link w:val="EndNoteBibliography"/>
    <w:rsid w:val="00C0512D"/>
    <w:rPr>
      <w:rFonts w:cs="Times New Roman"/>
      <w:sz w:val="20"/>
      <w:szCs w:val="20"/>
    </w:rPr>
  </w:style>
  <w:style w:type="character" w:styleId="CommentReference">
    <w:name w:val="annotation reference"/>
    <w:basedOn w:val="DefaultParagraphFont"/>
    <w:uiPriority w:val="99"/>
    <w:semiHidden/>
    <w:unhideWhenUsed/>
    <w:rsid w:val="00B56E85"/>
    <w:rPr>
      <w:sz w:val="16"/>
      <w:szCs w:val="16"/>
    </w:rPr>
  </w:style>
  <w:style w:type="paragraph" w:styleId="CommentText">
    <w:name w:val="annotation text"/>
    <w:basedOn w:val="Normal"/>
    <w:link w:val="CommentTextChar"/>
    <w:uiPriority w:val="99"/>
    <w:semiHidden/>
    <w:unhideWhenUsed/>
    <w:rsid w:val="00B56E85"/>
    <w:rPr>
      <w:sz w:val="20"/>
      <w:szCs w:val="20"/>
    </w:rPr>
  </w:style>
  <w:style w:type="character" w:customStyle="1" w:styleId="CommentTextChar">
    <w:name w:val="Comment Text Char"/>
    <w:basedOn w:val="DefaultParagraphFont"/>
    <w:link w:val="CommentText"/>
    <w:uiPriority w:val="99"/>
    <w:semiHidden/>
    <w:rsid w:val="00B56E85"/>
    <w:rPr>
      <w:sz w:val="20"/>
      <w:szCs w:val="20"/>
    </w:rPr>
  </w:style>
  <w:style w:type="paragraph" w:styleId="CommentSubject">
    <w:name w:val="annotation subject"/>
    <w:basedOn w:val="CommentText"/>
    <w:next w:val="CommentText"/>
    <w:link w:val="CommentSubjectChar"/>
    <w:uiPriority w:val="99"/>
    <w:semiHidden/>
    <w:unhideWhenUsed/>
    <w:rsid w:val="00B56E85"/>
    <w:rPr>
      <w:b/>
      <w:bCs/>
    </w:rPr>
  </w:style>
  <w:style w:type="character" w:customStyle="1" w:styleId="CommentSubjectChar">
    <w:name w:val="Comment Subject Char"/>
    <w:basedOn w:val="CommentTextChar"/>
    <w:link w:val="CommentSubject"/>
    <w:uiPriority w:val="99"/>
    <w:semiHidden/>
    <w:rsid w:val="00B56E85"/>
    <w:rPr>
      <w:b/>
      <w:bCs/>
      <w:sz w:val="20"/>
      <w:szCs w:val="20"/>
    </w:rPr>
  </w:style>
  <w:style w:type="paragraph" w:styleId="BalloonText">
    <w:name w:val="Balloon Text"/>
    <w:basedOn w:val="Normal"/>
    <w:link w:val="BalloonTextChar"/>
    <w:uiPriority w:val="99"/>
    <w:semiHidden/>
    <w:unhideWhenUsed/>
    <w:rsid w:val="00B56E85"/>
    <w:rPr>
      <w:rFonts w:cs="Times New Roman"/>
      <w:sz w:val="18"/>
      <w:szCs w:val="18"/>
    </w:rPr>
  </w:style>
  <w:style w:type="character" w:customStyle="1" w:styleId="BalloonTextChar">
    <w:name w:val="Balloon Text Char"/>
    <w:basedOn w:val="DefaultParagraphFont"/>
    <w:link w:val="BalloonText"/>
    <w:uiPriority w:val="99"/>
    <w:semiHidden/>
    <w:rsid w:val="00B56E85"/>
    <w:rPr>
      <w:rFonts w:cs="Times New Roman"/>
      <w:sz w:val="18"/>
      <w:szCs w:val="18"/>
    </w:rPr>
  </w:style>
  <w:style w:type="paragraph" w:styleId="Header">
    <w:name w:val="header"/>
    <w:basedOn w:val="Normal"/>
    <w:link w:val="HeaderChar"/>
    <w:uiPriority w:val="99"/>
    <w:unhideWhenUsed/>
    <w:rsid w:val="004C03D4"/>
    <w:pPr>
      <w:tabs>
        <w:tab w:val="center" w:pos="4680"/>
        <w:tab w:val="right" w:pos="9360"/>
      </w:tabs>
    </w:pPr>
  </w:style>
  <w:style w:type="character" w:customStyle="1" w:styleId="HeaderChar">
    <w:name w:val="Header Char"/>
    <w:basedOn w:val="DefaultParagraphFont"/>
    <w:link w:val="Header"/>
    <w:uiPriority w:val="99"/>
    <w:rsid w:val="004C03D4"/>
  </w:style>
  <w:style w:type="character" w:styleId="PageNumber">
    <w:name w:val="page number"/>
    <w:basedOn w:val="DefaultParagraphFont"/>
    <w:uiPriority w:val="99"/>
    <w:semiHidden/>
    <w:unhideWhenUsed/>
    <w:rsid w:val="004C03D4"/>
  </w:style>
  <w:style w:type="paragraph" w:styleId="Footer">
    <w:name w:val="footer"/>
    <w:basedOn w:val="Normal"/>
    <w:link w:val="FooterChar"/>
    <w:uiPriority w:val="99"/>
    <w:unhideWhenUsed/>
    <w:rsid w:val="00C547DB"/>
    <w:pPr>
      <w:tabs>
        <w:tab w:val="center" w:pos="4680"/>
        <w:tab w:val="right" w:pos="9360"/>
      </w:tabs>
    </w:pPr>
  </w:style>
  <w:style w:type="character" w:customStyle="1" w:styleId="FooterChar">
    <w:name w:val="Footer Char"/>
    <w:basedOn w:val="DefaultParagraphFont"/>
    <w:link w:val="Footer"/>
    <w:uiPriority w:val="99"/>
    <w:rsid w:val="00C54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22</Pages>
  <Words>5555</Words>
  <Characters>31665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Atkins</dc:creator>
  <cp:keywords/>
  <dc:description/>
  <cp:lastModifiedBy>Holly Atkins</cp:lastModifiedBy>
  <cp:revision>7</cp:revision>
  <dcterms:created xsi:type="dcterms:W3CDTF">2018-05-13T17:27:00Z</dcterms:created>
  <dcterms:modified xsi:type="dcterms:W3CDTF">2018-05-13T17:56:00Z</dcterms:modified>
</cp:coreProperties>
</file>