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297175" w14:textId="77777777" w:rsidR="00D36DCB" w:rsidRDefault="00D36DCB" w:rsidP="00756FD4">
      <w:pPr>
        <w:jc w:val="center"/>
      </w:pPr>
    </w:p>
    <w:p w14:paraId="65F25D82" w14:textId="77777777" w:rsidR="00756FD4" w:rsidRDefault="00756FD4" w:rsidP="00756FD4">
      <w:pPr>
        <w:jc w:val="center"/>
      </w:pPr>
    </w:p>
    <w:p w14:paraId="1DFA336C" w14:textId="77777777" w:rsidR="00756FD4" w:rsidRDefault="00756FD4" w:rsidP="00756FD4">
      <w:pPr>
        <w:jc w:val="center"/>
      </w:pPr>
    </w:p>
    <w:p w14:paraId="5A4F6591" w14:textId="77777777" w:rsidR="00756FD4" w:rsidRDefault="00756FD4" w:rsidP="00756FD4">
      <w:pPr>
        <w:spacing w:line="480" w:lineRule="auto"/>
      </w:pPr>
    </w:p>
    <w:p w14:paraId="32F8612A" w14:textId="77777777" w:rsidR="00756FD4" w:rsidRDefault="00756FD4" w:rsidP="00756FD4">
      <w:pPr>
        <w:spacing w:line="480" w:lineRule="auto"/>
        <w:jc w:val="center"/>
      </w:pPr>
    </w:p>
    <w:p w14:paraId="7DB45AE6" w14:textId="5F4ECD48" w:rsidR="00756FD4" w:rsidRDefault="00082937" w:rsidP="00756FD4">
      <w:pPr>
        <w:spacing w:line="480" w:lineRule="auto"/>
        <w:jc w:val="center"/>
      </w:pPr>
      <w:r>
        <w:t xml:space="preserve">“Upon the Ruins of </w:t>
      </w:r>
      <w:r w:rsidR="00893723">
        <w:t xml:space="preserve">the </w:t>
      </w:r>
      <w:r>
        <w:t>Free Press”</w:t>
      </w:r>
      <w:r w:rsidR="00756FD4">
        <w:t>: Anti-Abolitionism</w:t>
      </w:r>
      <w:r w:rsidR="00540600">
        <w:t>, Incendiarism,</w:t>
      </w:r>
      <w:r w:rsidR="00756FD4">
        <w:t xml:space="preserve"> and Freedom of the Press during the Abolitionist Pamphlet Campaign</w:t>
      </w:r>
    </w:p>
    <w:p w14:paraId="4E2569DD" w14:textId="6FC6B231" w:rsidR="00756FD4" w:rsidRDefault="00756FD4" w:rsidP="00756FD4">
      <w:pPr>
        <w:spacing w:line="480" w:lineRule="auto"/>
        <w:jc w:val="center"/>
      </w:pPr>
    </w:p>
    <w:p w14:paraId="34AEE262" w14:textId="342FA8B0" w:rsidR="00756FD4" w:rsidRDefault="00756FD4" w:rsidP="00756FD4">
      <w:pPr>
        <w:spacing w:line="480" w:lineRule="auto"/>
        <w:jc w:val="center"/>
      </w:pPr>
    </w:p>
    <w:p w14:paraId="23672EAC" w14:textId="487641F1" w:rsidR="00756FD4" w:rsidRDefault="00756FD4" w:rsidP="00756FD4">
      <w:pPr>
        <w:spacing w:line="480" w:lineRule="auto"/>
        <w:jc w:val="center"/>
      </w:pPr>
    </w:p>
    <w:p w14:paraId="7BCCA2FF" w14:textId="749618C7" w:rsidR="00756FD4" w:rsidRDefault="00756FD4" w:rsidP="00756FD4">
      <w:pPr>
        <w:spacing w:line="480" w:lineRule="auto"/>
        <w:jc w:val="center"/>
      </w:pPr>
    </w:p>
    <w:p w14:paraId="3D418C25" w14:textId="16AA390B" w:rsidR="00756FD4" w:rsidRDefault="00756FD4" w:rsidP="00756FD4">
      <w:pPr>
        <w:spacing w:line="480" w:lineRule="auto"/>
        <w:jc w:val="center"/>
      </w:pPr>
    </w:p>
    <w:p w14:paraId="1B5B070E" w14:textId="0E2A766F" w:rsidR="00756FD4" w:rsidRDefault="00756FD4" w:rsidP="00756FD4">
      <w:pPr>
        <w:spacing w:line="480" w:lineRule="auto"/>
        <w:jc w:val="center"/>
      </w:pPr>
    </w:p>
    <w:p w14:paraId="0E0E4BB5" w14:textId="557B07E3" w:rsidR="00756FD4" w:rsidRDefault="00756FD4" w:rsidP="00756FD4">
      <w:pPr>
        <w:spacing w:line="480" w:lineRule="auto"/>
        <w:jc w:val="center"/>
      </w:pPr>
    </w:p>
    <w:p w14:paraId="6BEA84F3" w14:textId="1EFB574A" w:rsidR="00756FD4" w:rsidRDefault="00756FD4" w:rsidP="00756FD4">
      <w:pPr>
        <w:spacing w:line="480" w:lineRule="auto"/>
        <w:jc w:val="center"/>
      </w:pPr>
    </w:p>
    <w:p w14:paraId="2B5072D9" w14:textId="4852B4D1" w:rsidR="00756FD4" w:rsidRDefault="00756FD4" w:rsidP="00756FD4">
      <w:pPr>
        <w:spacing w:line="480" w:lineRule="auto"/>
        <w:jc w:val="center"/>
      </w:pPr>
    </w:p>
    <w:p w14:paraId="27EF826E" w14:textId="2A6B7AE6" w:rsidR="00756FD4" w:rsidRDefault="00756FD4" w:rsidP="00756FD4">
      <w:pPr>
        <w:spacing w:line="480" w:lineRule="auto"/>
        <w:jc w:val="center"/>
      </w:pPr>
    </w:p>
    <w:p w14:paraId="78568139" w14:textId="29A86656" w:rsidR="00756FD4" w:rsidRDefault="00756FD4" w:rsidP="00756FD4">
      <w:pPr>
        <w:spacing w:line="480" w:lineRule="auto"/>
        <w:jc w:val="center"/>
      </w:pPr>
    </w:p>
    <w:p w14:paraId="67DDA095" w14:textId="07DAFFB2" w:rsidR="00756FD4" w:rsidRDefault="00756FD4" w:rsidP="00756FD4">
      <w:pPr>
        <w:spacing w:line="480" w:lineRule="auto"/>
        <w:jc w:val="center"/>
      </w:pPr>
    </w:p>
    <w:p w14:paraId="779008C2" w14:textId="6BACE40C" w:rsidR="00E4072B" w:rsidRDefault="00E4072B" w:rsidP="00756FD4">
      <w:pPr>
        <w:spacing w:line="480" w:lineRule="auto"/>
        <w:jc w:val="center"/>
      </w:pPr>
    </w:p>
    <w:p w14:paraId="62B59E03" w14:textId="6C7BCA74" w:rsidR="00E4072B" w:rsidRDefault="00E4072B" w:rsidP="00756FD4">
      <w:pPr>
        <w:spacing w:line="480" w:lineRule="auto"/>
        <w:jc w:val="center"/>
      </w:pPr>
    </w:p>
    <w:p w14:paraId="6412BD86" w14:textId="77777777" w:rsidR="00E4072B" w:rsidRDefault="00E4072B" w:rsidP="00756FD4">
      <w:pPr>
        <w:spacing w:line="480" w:lineRule="auto"/>
        <w:jc w:val="center"/>
      </w:pPr>
    </w:p>
    <w:p w14:paraId="3E1FD9DE" w14:textId="1C42770F" w:rsidR="00756FD4" w:rsidRDefault="004B421D" w:rsidP="00756FD4">
      <w:pPr>
        <w:spacing w:line="480" w:lineRule="auto"/>
        <w:jc w:val="center"/>
      </w:pPr>
      <w:r>
        <w:t>By</w:t>
      </w:r>
    </w:p>
    <w:p w14:paraId="027FABA0" w14:textId="5043D465" w:rsidR="00756FD4" w:rsidRDefault="004B421D" w:rsidP="00756FD4">
      <w:pPr>
        <w:spacing w:line="480" w:lineRule="auto"/>
        <w:jc w:val="center"/>
      </w:pPr>
      <w:r>
        <w:t>Holly Atkins</w:t>
      </w:r>
    </w:p>
    <w:p w14:paraId="32FAA024" w14:textId="408D18FC" w:rsidR="00756FD4" w:rsidRDefault="00FB7701" w:rsidP="00756FD4">
      <w:pPr>
        <w:spacing w:line="480" w:lineRule="auto"/>
        <w:jc w:val="center"/>
      </w:pPr>
      <w:r>
        <w:t xml:space="preserve">May </w:t>
      </w:r>
      <w:r w:rsidR="00E07898">
        <w:t>10</w:t>
      </w:r>
      <w:r w:rsidR="004B421D">
        <w:t>, 2019</w:t>
      </w:r>
    </w:p>
    <w:p w14:paraId="51F5CD7C" w14:textId="77777777" w:rsidR="005C435B" w:rsidRDefault="00756FD4" w:rsidP="005C435B">
      <w:pPr>
        <w:spacing w:line="480" w:lineRule="auto"/>
        <w:jc w:val="center"/>
        <w:rPr>
          <w:b/>
        </w:rPr>
      </w:pPr>
      <w:r w:rsidRPr="00FF57AF">
        <w:rPr>
          <w:b/>
        </w:rPr>
        <w:lastRenderedPageBreak/>
        <w:t>Contents</w:t>
      </w:r>
    </w:p>
    <w:p w14:paraId="50B08258" w14:textId="665B9497" w:rsidR="00FF57AF" w:rsidRPr="005C435B" w:rsidRDefault="00756FD4" w:rsidP="005C435B">
      <w:pPr>
        <w:spacing w:line="480" w:lineRule="auto"/>
        <w:jc w:val="center"/>
        <w:rPr>
          <w:b/>
        </w:rPr>
      </w:pPr>
      <w:r>
        <w:t>Introduction</w:t>
      </w:r>
      <w:r w:rsidR="0013315C">
        <w:tab/>
      </w:r>
      <w:r w:rsidR="0013315C">
        <w:tab/>
      </w:r>
      <w:r w:rsidR="0013315C">
        <w:tab/>
      </w:r>
      <w:r w:rsidR="0013315C">
        <w:tab/>
      </w:r>
      <w:r w:rsidR="0013315C">
        <w:tab/>
      </w:r>
      <w:r w:rsidR="0013315C">
        <w:tab/>
      </w:r>
      <w:r w:rsidR="0013315C">
        <w:tab/>
      </w:r>
      <w:r w:rsidR="0013315C">
        <w:tab/>
      </w:r>
      <w:r w:rsidR="0013315C">
        <w:tab/>
      </w:r>
      <w:r w:rsidR="0013315C">
        <w:tab/>
      </w:r>
      <w:r w:rsidR="0013315C">
        <w:tab/>
        <w:t xml:space="preserve">          </w:t>
      </w:r>
      <w:r w:rsidR="005C435B">
        <w:t>3</w:t>
      </w:r>
    </w:p>
    <w:p w14:paraId="56E48C9A" w14:textId="77777777" w:rsidR="00284045" w:rsidRDefault="00284045" w:rsidP="00756FD4">
      <w:pPr>
        <w:spacing w:line="480" w:lineRule="auto"/>
      </w:pPr>
    </w:p>
    <w:p w14:paraId="7AA3C111" w14:textId="50CB88C2" w:rsidR="00FF57AF" w:rsidRDefault="00B92093" w:rsidP="00756FD4">
      <w:pPr>
        <w:spacing w:line="480" w:lineRule="auto"/>
      </w:pPr>
      <w:r>
        <w:t xml:space="preserve">The Historical </w:t>
      </w:r>
      <w:r w:rsidR="00305CB3">
        <w:t>Background</w:t>
      </w:r>
      <w:r w:rsidR="00EE4539">
        <w:tab/>
      </w:r>
      <w:r w:rsidR="00EE4539">
        <w:tab/>
      </w:r>
      <w:r w:rsidR="000641A6">
        <w:t xml:space="preserve"> </w:t>
      </w:r>
      <w:r w:rsidR="00EE4539">
        <w:tab/>
      </w:r>
      <w:r w:rsidR="00EE4539">
        <w:tab/>
      </w:r>
      <w:r w:rsidR="00EE4539">
        <w:tab/>
      </w:r>
      <w:r w:rsidR="00EE4539">
        <w:tab/>
      </w:r>
      <w:r w:rsidR="00EE4539">
        <w:tab/>
      </w:r>
      <w:r w:rsidR="00EE4539">
        <w:tab/>
        <w:t xml:space="preserve">       </w:t>
      </w:r>
      <w:r w:rsidR="00EE4539">
        <w:tab/>
        <w:t xml:space="preserve">         </w:t>
      </w:r>
      <w:r w:rsidR="000641A6">
        <w:t xml:space="preserve"> </w:t>
      </w:r>
      <w:r>
        <w:t>8</w:t>
      </w:r>
    </w:p>
    <w:p w14:paraId="69E14AB7" w14:textId="3C574EDE" w:rsidR="00FF57AF" w:rsidRDefault="00B92093" w:rsidP="00756FD4">
      <w:pPr>
        <w:spacing w:line="480" w:lineRule="auto"/>
      </w:pPr>
      <w:r>
        <w:t xml:space="preserve">The </w:t>
      </w:r>
      <w:r w:rsidR="00305CB3">
        <w:t>Historiography</w:t>
      </w:r>
      <w:r w:rsidR="00EE4539">
        <w:tab/>
      </w:r>
      <w:r w:rsidR="000641A6">
        <w:tab/>
        <w:t xml:space="preserve"> </w:t>
      </w:r>
      <w:r w:rsidR="00EE4539">
        <w:tab/>
      </w:r>
      <w:r w:rsidR="00EE4539">
        <w:tab/>
      </w:r>
      <w:r w:rsidR="00EE4539">
        <w:tab/>
      </w:r>
      <w:r w:rsidR="00EE4539">
        <w:tab/>
      </w:r>
      <w:r w:rsidR="00EE4539">
        <w:tab/>
      </w:r>
      <w:r w:rsidR="00EE4539">
        <w:tab/>
      </w:r>
      <w:r w:rsidR="00EE4539">
        <w:tab/>
      </w:r>
      <w:r w:rsidR="00EE4539">
        <w:tab/>
        <w:t xml:space="preserve">        1</w:t>
      </w:r>
      <w:r w:rsidR="00E4072B">
        <w:t>5</w:t>
      </w:r>
    </w:p>
    <w:p w14:paraId="21C87F40" w14:textId="5A6291FC" w:rsidR="00FF57AF" w:rsidRDefault="000641A6" w:rsidP="00756FD4">
      <w:pPr>
        <w:spacing w:line="480" w:lineRule="auto"/>
      </w:pPr>
      <w:r>
        <w:t>The Pamphlet Campaign</w:t>
      </w:r>
      <w:r w:rsidR="00EE4539">
        <w:tab/>
      </w:r>
      <w:r w:rsidR="00EE4539">
        <w:tab/>
      </w:r>
      <w:r w:rsidR="00EE4539">
        <w:tab/>
      </w:r>
      <w:r w:rsidR="00EE4539">
        <w:tab/>
      </w:r>
      <w:r w:rsidR="00EE4539">
        <w:tab/>
      </w:r>
      <w:r w:rsidR="00EE4539">
        <w:tab/>
      </w:r>
      <w:r w:rsidR="00EE4539">
        <w:tab/>
      </w:r>
      <w:r w:rsidR="00EE4539">
        <w:tab/>
      </w:r>
      <w:r w:rsidR="00EE4539">
        <w:tab/>
      </w:r>
      <w:r>
        <w:t xml:space="preserve">        </w:t>
      </w:r>
      <w:r w:rsidR="00A63628">
        <w:t>2</w:t>
      </w:r>
      <w:r w:rsidR="00E4072B">
        <w:t>2</w:t>
      </w:r>
    </w:p>
    <w:p w14:paraId="037932AB" w14:textId="49916187" w:rsidR="00284045" w:rsidRDefault="00284045" w:rsidP="00756FD4">
      <w:pPr>
        <w:spacing w:line="480" w:lineRule="auto"/>
      </w:pPr>
      <w:r>
        <w:tab/>
        <w:t>“The Work of an Incendiary”</w:t>
      </w:r>
    </w:p>
    <w:p w14:paraId="3FECFCF6" w14:textId="1752EC27" w:rsidR="00284045" w:rsidRDefault="00284045" w:rsidP="00756FD4">
      <w:pPr>
        <w:spacing w:line="480" w:lineRule="auto"/>
      </w:pPr>
      <w:r>
        <w:tab/>
        <w:t>A Duty to their Country</w:t>
      </w:r>
    </w:p>
    <w:p w14:paraId="633A55BA" w14:textId="56D17ADB" w:rsidR="00284045" w:rsidRDefault="00284045" w:rsidP="00756FD4">
      <w:pPr>
        <w:spacing w:line="480" w:lineRule="auto"/>
      </w:pPr>
      <w:r>
        <w:tab/>
        <w:t>“Congress Shall Make No Law…”</w:t>
      </w:r>
    </w:p>
    <w:p w14:paraId="71A6227A" w14:textId="135EA48C" w:rsidR="00284045" w:rsidRDefault="00284045" w:rsidP="00756FD4">
      <w:pPr>
        <w:spacing w:line="480" w:lineRule="auto"/>
      </w:pPr>
      <w:r>
        <w:tab/>
        <w:t>“Peaceably If We Can, Forcibly If We Must”</w:t>
      </w:r>
    </w:p>
    <w:p w14:paraId="30DB4ED9" w14:textId="4E7A6766" w:rsidR="00284045" w:rsidRDefault="00284045" w:rsidP="00756FD4">
      <w:pPr>
        <w:spacing w:line="480" w:lineRule="auto"/>
      </w:pPr>
      <w:r>
        <w:tab/>
      </w:r>
      <w:r w:rsidR="00820EC6">
        <w:t>The Licentiousness of the Press</w:t>
      </w:r>
    </w:p>
    <w:p w14:paraId="6F75E37C" w14:textId="77777777" w:rsidR="00284045" w:rsidRDefault="00284045" w:rsidP="00756FD4">
      <w:pPr>
        <w:spacing w:line="480" w:lineRule="auto"/>
      </w:pPr>
    </w:p>
    <w:p w14:paraId="66D0C196" w14:textId="6F81D87E" w:rsidR="00305CB3" w:rsidRDefault="00305CB3" w:rsidP="00756FD4">
      <w:pPr>
        <w:spacing w:line="480" w:lineRule="auto"/>
      </w:pPr>
      <w:r>
        <w:t>Conclusion</w:t>
      </w:r>
      <w:r w:rsidR="00EE4539">
        <w:tab/>
      </w:r>
      <w:r w:rsidR="00EE4539">
        <w:tab/>
      </w:r>
      <w:r w:rsidR="00EE4539">
        <w:tab/>
      </w:r>
      <w:r w:rsidR="00EE4539">
        <w:tab/>
      </w:r>
      <w:r w:rsidR="00EE4539">
        <w:tab/>
      </w:r>
      <w:r w:rsidR="00EE4539">
        <w:tab/>
      </w:r>
      <w:r w:rsidR="00EE4539">
        <w:tab/>
      </w:r>
      <w:r w:rsidR="00EE4539">
        <w:tab/>
      </w:r>
      <w:r w:rsidR="00EE4539">
        <w:tab/>
      </w:r>
      <w:r w:rsidR="00EE4539">
        <w:tab/>
      </w:r>
      <w:r w:rsidR="00EE4539">
        <w:tab/>
        <w:t xml:space="preserve">        </w:t>
      </w:r>
      <w:r w:rsidR="00A63628">
        <w:t>4</w:t>
      </w:r>
      <w:r w:rsidR="00E4072B">
        <w:t>1</w:t>
      </w:r>
    </w:p>
    <w:p w14:paraId="13A7E4FB" w14:textId="77777777" w:rsidR="00FF57AF" w:rsidRDefault="00FF57AF" w:rsidP="00756FD4">
      <w:pPr>
        <w:spacing w:line="480" w:lineRule="auto"/>
      </w:pPr>
    </w:p>
    <w:p w14:paraId="75F784FF" w14:textId="02C43CE6" w:rsidR="00305CB3" w:rsidRPr="005C435B" w:rsidRDefault="00284045" w:rsidP="005C435B">
      <w:pPr>
        <w:spacing w:line="480" w:lineRule="auto"/>
      </w:pPr>
      <w:r>
        <w:t>Works Cited</w:t>
      </w:r>
      <w:r w:rsidR="00D64191">
        <w:tab/>
      </w:r>
      <w:r w:rsidR="00D64191">
        <w:tab/>
      </w:r>
      <w:r w:rsidR="00D64191">
        <w:tab/>
      </w:r>
      <w:r w:rsidR="00D64191">
        <w:tab/>
      </w:r>
      <w:r w:rsidR="00D64191">
        <w:tab/>
      </w:r>
      <w:r w:rsidR="00D64191">
        <w:tab/>
      </w:r>
      <w:r w:rsidR="00D64191">
        <w:tab/>
      </w:r>
      <w:r w:rsidR="00D64191">
        <w:tab/>
      </w:r>
      <w:r w:rsidR="00D64191">
        <w:tab/>
      </w:r>
      <w:r w:rsidR="00D64191">
        <w:tab/>
      </w:r>
      <w:r w:rsidR="00D64191">
        <w:tab/>
        <w:t xml:space="preserve">        4</w:t>
      </w:r>
      <w:r w:rsidR="00B522A4">
        <w:t>3</w:t>
      </w:r>
      <w:bookmarkStart w:id="0" w:name="_GoBack"/>
      <w:bookmarkEnd w:id="0"/>
    </w:p>
    <w:p w14:paraId="6C15489D" w14:textId="078FAD11" w:rsidR="00305CB3" w:rsidRDefault="00305CB3" w:rsidP="00305CB3">
      <w:pPr>
        <w:spacing w:line="480" w:lineRule="auto"/>
        <w:jc w:val="center"/>
        <w:rPr>
          <w:u w:val="single"/>
        </w:rPr>
      </w:pPr>
    </w:p>
    <w:p w14:paraId="2DEF2CBC" w14:textId="4B93EDAE" w:rsidR="00305CB3" w:rsidRDefault="00305CB3" w:rsidP="00305CB3">
      <w:pPr>
        <w:spacing w:line="480" w:lineRule="auto"/>
        <w:jc w:val="center"/>
        <w:rPr>
          <w:u w:val="single"/>
        </w:rPr>
      </w:pPr>
    </w:p>
    <w:p w14:paraId="05120DB2" w14:textId="20A42535" w:rsidR="00305CB3" w:rsidRDefault="00305CB3" w:rsidP="00305CB3">
      <w:pPr>
        <w:spacing w:line="480" w:lineRule="auto"/>
        <w:jc w:val="center"/>
        <w:rPr>
          <w:u w:val="single"/>
        </w:rPr>
      </w:pPr>
    </w:p>
    <w:p w14:paraId="543416ED" w14:textId="6D607689" w:rsidR="00305CB3" w:rsidRDefault="00305CB3" w:rsidP="00305CB3">
      <w:pPr>
        <w:spacing w:line="480" w:lineRule="auto"/>
        <w:jc w:val="center"/>
        <w:rPr>
          <w:u w:val="single"/>
        </w:rPr>
      </w:pPr>
    </w:p>
    <w:p w14:paraId="28B049F3" w14:textId="0E11C393" w:rsidR="00305CB3" w:rsidRDefault="00305CB3" w:rsidP="00305CB3">
      <w:pPr>
        <w:spacing w:line="480" w:lineRule="auto"/>
        <w:jc w:val="center"/>
        <w:rPr>
          <w:u w:val="single"/>
        </w:rPr>
      </w:pPr>
    </w:p>
    <w:p w14:paraId="5A889F24" w14:textId="464DFF85" w:rsidR="00305CB3" w:rsidRDefault="00305CB3" w:rsidP="00305CB3">
      <w:pPr>
        <w:spacing w:line="480" w:lineRule="auto"/>
        <w:jc w:val="center"/>
        <w:rPr>
          <w:u w:val="single"/>
        </w:rPr>
      </w:pPr>
    </w:p>
    <w:p w14:paraId="39506A2F" w14:textId="5D0650E2" w:rsidR="00305CB3" w:rsidRDefault="00305CB3" w:rsidP="00305CB3">
      <w:pPr>
        <w:spacing w:line="480" w:lineRule="auto"/>
        <w:jc w:val="center"/>
        <w:rPr>
          <w:u w:val="single"/>
        </w:rPr>
      </w:pPr>
    </w:p>
    <w:p w14:paraId="318D44A6" w14:textId="138F5DE3" w:rsidR="00305CB3" w:rsidRDefault="00305CB3" w:rsidP="005C435B">
      <w:pPr>
        <w:spacing w:line="480" w:lineRule="auto"/>
        <w:rPr>
          <w:u w:val="single"/>
        </w:rPr>
      </w:pPr>
    </w:p>
    <w:p w14:paraId="7E118F2C" w14:textId="0E748A1D" w:rsidR="00305CB3" w:rsidRDefault="00305CB3" w:rsidP="00305CB3">
      <w:pPr>
        <w:spacing w:line="480" w:lineRule="auto"/>
        <w:jc w:val="center"/>
        <w:rPr>
          <w:u w:val="single"/>
        </w:rPr>
      </w:pPr>
      <w:r>
        <w:rPr>
          <w:u w:val="single"/>
        </w:rPr>
        <w:lastRenderedPageBreak/>
        <w:t>Introduction</w:t>
      </w:r>
    </w:p>
    <w:p w14:paraId="76DB36A6" w14:textId="45C8C6F0" w:rsidR="005C39D9" w:rsidRDefault="00284045" w:rsidP="00305CB3">
      <w:pPr>
        <w:spacing w:line="480" w:lineRule="auto"/>
      </w:pPr>
      <w:r>
        <w:tab/>
      </w:r>
      <w:r w:rsidR="00A250A0">
        <w:t xml:space="preserve">Achilles Pugh awoke to the sound of intruders. It was midnight on July 12, 1836, and the </w:t>
      </w:r>
      <w:r w:rsidR="00C44443">
        <w:t>sleep</w:t>
      </w:r>
      <w:r w:rsidR="00077FDA">
        <w:t>y</w:t>
      </w:r>
      <w:r w:rsidR="00A250A0">
        <w:t xml:space="preserve"> city of Cincinnati, Ohio was all but quiet. </w:t>
      </w:r>
      <w:r w:rsidR="00077FDA">
        <w:t xml:space="preserve">The printing office of the abolitionist paper the </w:t>
      </w:r>
      <w:r w:rsidR="00077FDA" w:rsidRPr="00077FDA">
        <w:rPr>
          <w:i/>
        </w:rPr>
        <w:t>Philanthropist</w:t>
      </w:r>
      <w:r w:rsidR="00077FDA">
        <w:rPr>
          <w:i/>
        </w:rPr>
        <w:t>—</w:t>
      </w:r>
      <w:r w:rsidR="00077FDA">
        <w:t xml:space="preserve">of which Pugh was the printer—was being attacked. </w:t>
      </w:r>
      <w:r w:rsidR="00FB7701">
        <w:t xml:space="preserve">As </w:t>
      </w:r>
      <w:r w:rsidR="00A250A0">
        <w:t xml:space="preserve">Pugh </w:t>
      </w:r>
      <w:r w:rsidR="00BA5AB5">
        <w:t>tried</w:t>
      </w:r>
      <w:r w:rsidR="00A250A0">
        <w:t xml:space="preserve"> to </w:t>
      </w:r>
      <w:r w:rsidR="00FB7701">
        <w:t xml:space="preserve">leave his house to </w:t>
      </w:r>
      <w:r w:rsidR="00A250A0">
        <w:t xml:space="preserve">raise an alarm, he was stopped by a group of armed men </w:t>
      </w:r>
      <w:r w:rsidR="00FB7701">
        <w:t xml:space="preserve">waiting </w:t>
      </w:r>
      <w:r w:rsidR="00A250A0">
        <w:t>outside.</w:t>
      </w:r>
      <w:r w:rsidR="00BA5AB5">
        <w:t xml:space="preserve"> </w:t>
      </w:r>
      <w:r w:rsidR="00FB7701">
        <w:t>At the same time</w:t>
      </w:r>
      <w:r w:rsidR="00A250A0">
        <w:t xml:space="preserve">, </w:t>
      </w:r>
      <w:r w:rsidR="005C39D9">
        <w:t>another group scaled the walls of the printing office, breaking open a window and sliding inside</w:t>
      </w:r>
      <w:r w:rsidR="005864FC">
        <w:t xml:space="preserve"> where a</w:t>
      </w:r>
      <w:r w:rsidR="005C39D9">
        <w:t xml:space="preserve"> young boy was </w:t>
      </w:r>
      <w:r w:rsidR="005864FC">
        <w:t>sleeping. T</w:t>
      </w:r>
      <w:r w:rsidR="005C39D9">
        <w:t xml:space="preserve">hey </w:t>
      </w:r>
      <w:r w:rsidR="005864FC">
        <w:t xml:space="preserve">tied </w:t>
      </w:r>
      <w:r w:rsidR="00077FDA">
        <w:t>the boy</w:t>
      </w:r>
      <w:r w:rsidR="005864FC">
        <w:t xml:space="preserve"> up, </w:t>
      </w:r>
      <w:r w:rsidR="005C39D9">
        <w:t>covered his head with a sheet</w:t>
      </w:r>
      <w:r w:rsidR="005864FC">
        <w:t>, and then</w:t>
      </w:r>
      <w:r w:rsidR="005C39D9">
        <w:t xml:space="preserve"> made their way through the office, dismantling the </w:t>
      </w:r>
      <w:r w:rsidR="005864FC">
        <w:t xml:space="preserve">printing </w:t>
      </w:r>
      <w:r w:rsidR="005C39D9">
        <w:t>press</w:t>
      </w:r>
      <w:r w:rsidR="00077FDA">
        <w:t xml:space="preserve"> and tearing up copies of the paper</w:t>
      </w:r>
      <w:r w:rsidR="00A250A0">
        <w:t xml:space="preserve"> as they went</w:t>
      </w:r>
      <w:r w:rsidR="005C39D9">
        <w:t xml:space="preserve">. After about two hours, the men </w:t>
      </w:r>
      <w:r w:rsidR="00A250A0">
        <w:t xml:space="preserve">finally </w:t>
      </w:r>
      <w:r w:rsidR="005C39D9">
        <w:t>left, carrying the main parts of the press with them</w:t>
      </w:r>
      <w:r w:rsidR="005864FC">
        <w:t>, either to destroy them, or to keep them as souvenirs.</w:t>
      </w:r>
    </w:p>
    <w:p w14:paraId="2F9BC167" w14:textId="6D2E4757" w:rsidR="00305CB3" w:rsidRDefault="005C39D9" w:rsidP="00305CB3">
      <w:pPr>
        <w:spacing w:line="480" w:lineRule="auto"/>
      </w:pPr>
      <w:r>
        <w:tab/>
      </w:r>
      <w:r w:rsidR="00821C8D">
        <w:t>When morning came</w:t>
      </w:r>
      <w:r w:rsidR="005864FC">
        <w:t xml:space="preserve">, </w:t>
      </w:r>
      <w:r w:rsidR="00821C8D">
        <w:t xml:space="preserve">Pugh and his workers cleaned up the mess, put together what they could, and started printing once again. </w:t>
      </w:r>
      <w:r>
        <w:t xml:space="preserve">But this </w:t>
      </w:r>
      <w:r w:rsidR="00821C8D">
        <w:t>was not the end of trouble for the abolitionist paper.</w:t>
      </w:r>
      <w:r>
        <w:t xml:space="preserve"> </w:t>
      </w:r>
      <w:r w:rsidR="00821C8D">
        <w:t>That week, a</w:t>
      </w:r>
      <w:r>
        <w:t xml:space="preserve"> public meeting was held at the Lower Market House in Cincinnati where a series of resolutions </w:t>
      </w:r>
      <w:r w:rsidR="00821C8D">
        <w:t>was</w:t>
      </w:r>
      <w:r>
        <w:t xml:space="preserve"> adopted</w:t>
      </w:r>
      <w:r w:rsidR="00821C8D">
        <w:t>. The</w:t>
      </w:r>
      <w:r w:rsidR="006934B8">
        <w:t xml:space="preserve"> meeting goers</w:t>
      </w:r>
      <w:r>
        <w:t xml:space="preserve"> denounc</w:t>
      </w:r>
      <w:r w:rsidR="00821C8D">
        <w:t>ed</w:t>
      </w:r>
      <w:r>
        <w:t xml:space="preserve"> </w:t>
      </w:r>
      <w:r w:rsidR="00821C8D">
        <w:t>the abolitionists</w:t>
      </w:r>
      <w:r w:rsidR="006934B8">
        <w:t xml:space="preserve">, </w:t>
      </w:r>
      <w:r w:rsidR="00821C8D">
        <w:t>their movement,</w:t>
      </w:r>
      <w:r>
        <w:t xml:space="preserve"> and </w:t>
      </w:r>
      <w:r w:rsidR="00821C8D">
        <w:t>warned</w:t>
      </w:r>
      <w:r>
        <w:t xml:space="preserve"> the publishers of the </w:t>
      </w:r>
      <w:r>
        <w:rPr>
          <w:i/>
        </w:rPr>
        <w:t xml:space="preserve">Philanthropist </w:t>
      </w:r>
      <w:r>
        <w:t xml:space="preserve">to stop </w:t>
      </w:r>
      <w:r w:rsidR="00821C8D">
        <w:t>printing</w:t>
      </w:r>
      <w:r>
        <w:t>, or else.  The resolution was sent to the Ohio Anti-Slavery Society, which promptly answered</w:t>
      </w:r>
      <w:r w:rsidR="00827F78">
        <w:t xml:space="preserve"> by insisting on their First Amendment Rights, and refusing </w:t>
      </w:r>
      <w:r w:rsidR="005864FC">
        <w:t xml:space="preserve">the </w:t>
      </w:r>
      <w:r w:rsidR="00821C8D">
        <w:t>resolution’s</w:t>
      </w:r>
      <w:r w:rsidR="005864FC">
        <w:t xml:space="preserve"> demands</w:t>
      </w:r>
      <w:r w:rsidR="00827F78">
        <w:t>.</w:t>
      </w:r>
    </w:p>
    <w:p w14:paraId="50742C26" w14:textId="0E966144" w:rsidR="00827F78" w:rsidRDefault="00827F78" w:rsidP="00305CB3">
      <w:pPr>
        <w:spacing w:line="480" w:lineRule="auto"/>
      </w:pPr>
      <w:r>
        <w:tab/>
      </w:r>
      <w:r w:rsidR="00821C8D">
        <w:t>Eighteen</w:t>
      </w:r>
      <w:r>
        <w:t xml:space="preserve"> days later</w:t>
      </w:r>
      <w:r w:rsidR="00821C8D">
        <w:t xml:space="preserve">, </w:t>
      </w:r>
      <w:r>
        <w:t>another group</w:t>
      </w:r>
      <w:r w:rsidR="005864FC">
        <w:t xml:space="preserve"> (or, perhaps, the same group)</w:t>
      </w:r>
      <w:r>
        <w:t xml:space="preserve"> came to the printing office. Breaking into the building</w:t>
      </w:r>
      <w:r w:rsidR="001A44CF">
        <w:t xml:space="preserve"> once again</w:t>
      </w:r>
      <w:r>
        <w:t xml:space="preserve">, the attackers destroyed copies of the paper, scattered the type into the streets, and tore down the presses, tossing them into the </w:t>
      </w:r>
      <w:r w:rsidR="005864FC">
        <w:t>Ohio R</w:t>
      </w:r>
      <w:r>
        <w:t xml:space="preserve">iver. They then went to the house of James G. Birney, the owner of the </w:t>
      </w:r>
      <w:r>
        <w:rPr>
          <w:i/>
        </w:rPr>
        <w:t xml:space="preserve">Philanthropist, </w:t>
      </w:r>
      <w:r>
        <w:t xml:space="preserve">but left after realizing no one was home. </w:t>
      </w:r>
      <w:r w:rsidR="008410FB">
        <w:t>Dissatisfied, the mob continued on</w:t>
      </w:r>
      <w:r w:rsidR="005864FC">
        <w:t>. They turned their attention to Church Alley, a community in Cincinnati, where they</w:t>
      </w:r>
      <w:r w:rsidR="008410FB">
        <w:t xml:space="preserve"> </w:t>
      </w:r>
      <w:r w:rsidR="005864FC">
        <w:t>attacked</w:t>
      </w:r>
      <w:r w:rsidR="008410FB">
        <w:t xml:space="preserve"> and </w:t>
      </w:r>
      <w:r w:rsidR="005864FC">
        <w:t>destroyed</w:t>
      </w:r>
      <w:r w:rsidR="008410FB">
        <w:t xml:space="preserve"> the homes</w:t>
      </w:r>
      <w:r w:rsidR="005864FC">
        <w:t xml:space="preserve"> and </w:t>
      </w:r>
      <w:r w:rsidR="005864FC">
        <w:lastRenderedPageBreak/>
        <w:t>belongings o</w:t>
      </w:r>
      <w:r w:rsidR="008410FB">
        <w:t>f</w:t>
      </w:r>
      <w:r w:rsidR="005864FC">
        <w:t xml:space="preserve"> Church Alley’s</w:t>
      </w:r>
      <w:r w:rsidR="008410FB">
        <w:t xml:space="preserve"> African American</w:t>
      </w:r>
      <w:r w:rsidR="005864FC">
        <w:t xml:space="preserve"> residents</w:t>
      </w:r>
      <w:r w:rsidR="008410FB">
        <w:t xml:space="preserve">. </w:t>
      </w:r>
      <w:r w:rsidR="00CF46FB">
        <w:t xml:space="preserve">By morning, the attackers </w:t>
      </w:r>
      <w:r w:rsidR="00C91070">
        <w:t xml:space="preserve">had </w:t>
      </w:r>
      <w:r w:rsidR="00CF46FB">
        <w:t xml:space="preserve">disappeared once again. </w:t>
      </w:r>
      <w:r w:rsidR="008410FB">
        <w:t xml:space="preserve">Throughout all of this, </w:t>
      </w:r>
      <w:r w:rsidR="000641A6">
        <w:t xml:space="preserve">on both </w:t>
      </w:r>
      <w:r w:rsidR="008410FB">
        <w:t>July 12 and July 30, there was not a</w:t>
      </w:r>
      <w:r w:rsidR="00C91070">
        <w:t xml:space="preserve"> single</w:t>
      </w:r>
      <w:r w:rsidR="008410FB">
        <w:t xml:space="preserve"> policeman in sight</w:t>
      </w:r>
      <w:r w:rsidR="00CF46FB">
        <w:t>, and no one was charged</w:t>
      </w:r>
      <w:r w:rsidR="008410FB">
        <w:t>.</w:t>
      </w:r>
      <w:r w:rsidR="00102DB7">
        <w:rPr>
          <w:rStyle w:val="FootnoteReference"/>
        </w:rPr>
        <w:footnoteReference w:id="1"/>
      </w:r>
    </w:p>
    <w:p w14:paraId="29D57C51" w14:textId="66A8AE75" w:rsidR="00EF5ED6" w:rsidRDefault="000D2C61" w:rsidP="00305CB3">
      <w:pPr>
        <w:spacing w:line="480" w:lineRule="auto"/>
      </w:pPr>
      <w:r>
        <w:tab/>
        <w:t>Abolitionists across the country were mortified by these attacks. It was</w:t>
      </w:r>
      <w:r w:rsidR="00BB26DC">
        <w:t>, in their eyes,</w:t>
      </w:r>
      <w:r>
        <w:t xml:space="preserve"> just another example of slavery’s</w:t>
      </w:r>
      <w:r w:rsidR="00E3100D">
        <w:t xml:space="preserve"> encroaching</w:t>
      </w:r>
      <w:r>
        <w:t xml:space="preserve"> despotism. But they knew well enough that the attacks in Cincinnati were not unusual. </w:t>
      </w:r>
      <w:r w:rsidR="001E104B">
        <w:t>As</w:t>
      </w:r>
      <w:r w:rsidR="00E3100D">
        <w:t xml:space="preserve"> attackers were destroying printing presses and homes in Cincinnati, t</w:t>
      </w:r>
      <w:r>
        <w:t xml:space="preserve">he South was </w:t>
      </w:r>
      <w:r w:rsidR="0043220D">
        <w:t xml:space="preserve">banning abolitionist tracts from entering their states, </w:t>
      </w:r>
      <w:r w:rsidR="00E3100D">
        <w:t>putting bounties on the heads of prominent abolitionists, and demanding their extradition for trial. In the North,</w:t>
      </w:r>
      <w:r w:rsidR="0043220D">
        <w:t xml:space="preserve"> s</w:t>
      </w:r>
      <w:r>
        <w:t xml:space="preserve">everal other abolitionist printers, from Cincinnati to </w:t>
      </w:r>
      <w:r w:rsidR="00E3100D">
        <w:t>New York</w:t>
      </w:r>
      <w:r>
        <w:t xml:space="preserve">, </w:t>
      </w:r>
      <w:r w:rsidR="00E3100D">
        <w:t>were</w:t>
      </w:r>
      <w:r>
        <w:t xml:space="preserve"> be</w:t>
      </w:r>
      <w:r w:rsidR="00E3100D">
        <w:t>ing</w:t>
      </w:r>
      <w:r>
        <w:t xml:space="preserve"> </w:t>
      </w:r>
      <w:r w:rsidR="00E3100D">
        <w:t xml:space="preserve">targeted </w:t>
      </w:r>
      <w:r>
        <w:t xml:space="preserve">by </w:t>
      </w:r>
      <w:r w:rsidR="00E3100D">
        <w:t xml:space="preserve">anti-abolitionist </w:t>
      </w:r>
      <w:r>
        <w:t>mobs</w:t>
      </w:r>
      <w:r w:rsidR="00E3100D">
        <w:t>, and northern legislatures debated the possibility of banning abolitionist publications in their own states</w:t>
      </w:r>
      <w:r>
        <w:t xml:space="preserve">. </w:t>
      </w:r>
      <w:r w:rsidR="00E3100D">
        <w:t xml:space="preserve">Indeed, the events in Cincinnati, and across the North, prove that the American North was not isolated from the anti-abolitionist activities of the 1830s. </w:t>
      </w:r>
      <w:r w:rsidR="00DB398C">
        <w:t xml:space="preserve">It’s a misconception which even some antebellum Americans held. </w:t>
      </w:r>
      <w:r w:rsidR="00BB26DC">
        <w:t xml:space="preserve">After all, when </w:t>
      </w:r>
      <w:r>
        <w:t xml:space="preserve">James Birney </w:t>
      </w:r>
      <w:r w:rsidR="00BB26DC">
        <w:t>brought his printing press to</w:t>
      </w:r>
      <w:r>
        <w:t xml:space="preserve"> Cincinnati</w:t>
      </w:r>
      <w:r w:rsidR="00BB26DC">
        <w:t>, it was done so</w:t>
      </w:r>
      <w:r>
        <w:t xml:space="preserve"> in the hopes that a free state would be friendlier than the slave state (Kentucky) he had left behind</w:t>
      </w:r>
      <w:r w:rsidR="00E3100D">
        <w:t xml:space="preserve">. </w:t>
      </w:r>
      <w:r w:rsidR="00BB26DC">
        <w:t xml:space="preserve">The events on July 12 and July 30, however, disprove this. It would also be disproved when, in a few more </w:t>
      </w:r>
      <w:r>
        <w:t>years</w:t>
      </w:r>
      <w:r w:rsidR="00BB26DC">
        <w:t xml:space="preserve">, </w:t>
      </w:r>
      <w:r>
        <w:t>an abolitionist editor</w:t>
      </w:r>
      <w:r w:rsidR="0056308D">
        <w:t xml:space="preserve"> named Elijah Lovejoy</w:t>
      </w:r>
      <w:r>
        <w:t xml:space="preserve"> would be murdered on free soil</w:t>
      </w:r>
      <w:r w:rsidR="00E3100D">
        <w:t xml:space="preserve"> for setting up his printing press</w:t>
      </w:r>
      <w:r w:rsidR="000641A6">
        <w:t xml:space="preserve"> in Alton, Illinois.</w:t>
      </w:r>
    </w:p>
    <w:p w14:paraId="65760F2F" w14:textId="2AC60C01" w:rsidR="00912E5B" w:rsidRDefault="00113FCC" w:rsidP="00305CB3">
      <w:pPr>
        <w:spacing w:line="480" w:lineRule="auto"/>
      </w:pPr>
      <w:r>
        <w:tab/>
      </w:r>
      <w:r w:rsidR="0056308D">
        <w:t>Such instances</w:t>
      </w:r>
      <w:r w:rsidR="00E3100D">
        <w:t xml:space="preserve"> of repression and violence</w:t>
      </w:r>
      <w:r w:rsidR="0056308D">
        <w:t xml:space="preserve"> would not last in the anti-slavery North, b</w:t>
      </w:r>
      <w:r>
        <w:t xml:space="preserve">ut this change did not happen overnight. Up until Lovejoy’s death in 1838, </w:t>
      </w:r>
      <w:r w:rsidR="000641A6">
        <w:t xml:space="preserve">and just after, </w:t>
      </w:r>
      <w:r>
        <w:t>most northerners were staunchly anti-abolitionist—that is, while they were anti-slavery, they did not promote the immediat</w:t>
      </w:r>
      <w:r w:rsidR="00F91C8B">
        <w:t>e emancipation</w:t>
      </w:r>
      <w:r>
        <w:t xml:space="preserve"> doctrine of the abolitionists. </w:t>
      </w:r>
      <w:r w:rsidR="00F91C8B">
        <w:t xml:space="preserve">Gradual emancipation, even </w:t>
      </w:r>
      <w:r w:rsidR="00893723">
        <w:lastRenderedPageBreak/>
        <w:t>colonizationism (</w:t>
      </w:r>
      <w:r w:rsidR="00F91C8B">
        <w:t>sending freed slaves to Africa</w:t>
      </w:r>
      <w:r w:rsidR="00893723">
        <w:t>)</w:t>
      </w:r>
      <w:r w:rsidR="00F91C8B">
        <w:t xml:space="preserve">, was the best solution to most </w:t>
      </w:r>
      <w:r w:rsidR="000641A6">
        <w:t xml:space="preserve">anti-slavery </w:t>
      </w:r>
      <w:r w:rsidR="00F91C8B">
        <w:t xml:space="preserve">northerners. </w:t>
      </w:r>
    </w:p>
    <w:p w14:paraId="56ACC0DE" w14:textId="4D41ADCE" w:rsidR="00437D85" w:rsidRDefault="00F91C8B" w:rsidP="00912E5B">
      <w:pPr>
        <w:spacing w:line="480" w:lineRule="auto"/>
        <w:ind w:firstLine="720"/>
      </w:pPr>
      <w:r>
        <w:t>However, th</w:t>
      </w:r>
      <w:r w:rsidR="00893723">
        <w:t>e</w:t>
      </w:r>
      <w:r>
        <w:t xml:space="preserve"> </w:t>
      </w:r>
      <w:r w:rsidR="000641A6">
        <w:t xml:space="preserve">question of gradual versus immediate emancipation </w:t>
      </w:r>
      <w:r>
        <w:t>was more than</w:t>
      </w:r>
      <w:r w:rsidR="002614DE">
        <w:t xml:space="preserve"> just</w:t>
      </w:r>
      <w:r>
        <w:t xml:space="preserve"> a difference of opinion. </w:t>
      </w:r>
      <w:r w:rsidR="00912E5B">
        <w:t xml:space="preserve">The abolitionists were rancorous in their denunciation of slavery and slaveholders, but they were </w:t>
      </w:r>
      <w:r w:rsidR="00893723">
        <w:t>also u</w:t>
      </w:r>
      <w:r w:rsidR="00E3100D">
        <w:t>biquitous</w:t>
      </w:r>
      <w:r w:rsidR="00912E5B">
        <w:t>. In 1835, the American Anti-Slavery Society</w:t>
      </w:r>
      <w:r w:rsidR="004B6D24">
        <w:t>’s</w:t>
      </w:r>
      <w:r w:rsidR="00912E5B">
        <w:t xml:space="preserve"> Pamphlet Campaign began—a mass mailing campaign where thousands of abolitionist publications were sent into the American South to change the hearts and minds of </w:t>
      </w:r>
      <w:r w:rsidR="00583FC6">
        <w:t xml:space="preserve">southern </w:t>
      </w:r>
      <w:r w:rsidR="00912E5B">
        <w:t xml:space="preserve">slaveholders. The pamphlets, however, had the opposite of their intended effect. Fearing a repeat of the Nat Turner Rebellion, and feeling like their own rights were being assailed by meddling northerners, southerners viewed such documents as </w:t>
      </w:r>
      <w:r w:rsidR="00893723">
        <w:t>products of an incendiary movement</w:t>
      </w:r>
      <w:r w:rsidR="00912E5B">
        <w:t xml:space="preserve">. They passed laws banning these “incendiary publications,” mobs attacked post offices </w:t>
      </w:r>
      <w:r w:rsidR="00E3100D">
        <w:t>receiving</w:t>
      </w:r>
      <w:r w:rsidR="00912E5B">
        <w:t xml:space="preserve"> </w:t>
      </w:r>
      <w:r w:rsidR="00893723">
        <w:t>them</w:t>
      </w:r>
      <w:r w:rsidR="00912E5B">
        <w:t xml:space="preserve">, and southern legislators encouraged their “northern brethren” to stop </w:t>
      </w:r>
      <w:r w:rsidR="00E3100D">
        <w:t>the “incendiary activities” of the abolitionists</w:t>
      </w:r>
      <w:r w:rsidR="00893723">
        <w:t xml:space="preserve"> by passing legislation of their own</w:t>
      </w:r>
      <w:r w:rsidR="00912E5B">
        <w:t xml:space="preserve">. As a result, a debate a kicked off in the North about what exactly to do with these so-called “incendiaries” and their publications. </w:t>
      </w:r>
    </w:p>
    <w:p w14:paraId="21BB0930" w14:textId="11E84347" w:rsidR="00EF5ED6" w:rsidRDefault="00912E5B" w:rsidP="0056308D">
      <w:pPr>
        <w:spacing w:line="480" w:lineRule="auto"/>
        <w:ind w:firstLine="720"/>
      </w:pPr>
      <w:r>
        <w:t xml:space="preserve">The </w:t>
      </w:r>
      <w:r w:rsidR="0056308D">
        <w:t>mob</w:t>
      </w:r>
      <w:r>
        <w:t xml:space="preserve"> in Cincinnati </w:t>
      </w:r>
      <w:r w:rsidR="0056308D">
        <w:t>is just one</w:t>
      </w:r>
      <w:r>
        <w:t xml:space="preserve"> example of how some northerners sought to fix the problem. </w:t>
      </w:r>
      <w:r w:rsidR="0056308D">
        <w:t xml:space="preserve">It was an event, sadly, that repeated itself throughout the North. Moreover, some northern legislatures sought to pass their own anti-abolitionist legislation. None succeeded, but the fact that they were debated, even introduced, is evidence of northerners’ willingness to restrict the First Amendment Rights of a </w:t>
      </w:r>
      <w:r w:rsidR="00CD098E">
        <w:t>minority group</w:t>
      </w:r>
      <w:r w:rsidR="0056308D">
        <w:t xml:space="preserve">. So bad was the situation, that many abolitionists believed the very rights laid out in the Bill of Rights were under attack. After the attacks in Cincinnati, the New York Anti-Slavery Society wrote to their allies in Ohio. Lamenting recent events, they concluded that slavery could only continue by enslaving the rest </w:t>
      </w:r>
      <w:r w:rsidR="0056308D">
        <w:lastRenderedPageBreak/>
        <w:t>of America. “Slavery cannot stand,” they declared, “except it be upon the ruins of the free press.”</w:t>
      </w:r>
      <w:r w:rsidR="0056308D">
        <w:rPr>
          <w:rStyle w:val="FootnoteReference"/>
        </w:rPr>
        <w:footnoteReference w:id="2"/>
      </w:r>
    </w:p>
    <w:p w14:paraId="20821153" w14:textId="4E657330" w:rsidR="007C1DD9" w:rsidRDefault="0056308D" w:rsidP="0056308D">
      <w:pPr>
        <w:spacing w:line="480" w:lineRule="auto"/>
      </w:pPr>
      <w:r>
        <w:tab/>
        <w:t>Why, then, in a country that to this day professes a love of First Amendment Rights, did this happen? And why, in states that had abolished slavery,</w:t>
      </w:r>
      <w:r w:rsidR="002E795B">
        <w:t xml:space="preserve"> </w:t>
      </w:r>
      <w:r>
        <w:t>were abolitionists threatened, attacked, and even killed?</w:t>
      </w:r>
      <w:r w:rsidR="00C301B6">
        <w:t xml:space="preserve"> </w:t>
      </w:r>
      <w:r w:rsidR="007C1DD9">
        <w:t xml:space="preserve">Much of it has to do with </w:t>
      </w:r>
      <w:r w:rsidR="00776BC0">
        <w:t>one</w:t>
      </w:r>
      <w:r w:rsidR="007C1DD9">
        <w:t xml:space="preserve"> word</w:t>
      </w:r>
      <w:r w:rsidR="00776BC0">
        <w:t>:</w:t>
      </w:r>
      <w:r w:rsidR="007C1DD9">
        <w:t xml:space="preserve"> “incendiary.”</w:t>
      </w:r>
      <w:r w:rsidR="006352C7">
        <w:t xml:space="preserve"> Because abolitionism emerged around the same time as the Nat Turner Rebellion and the 1830</w:t>
      </w:r>
      <w:r w:rsidR="00AD38C4">
        <w:t>’</w:t>
      </w:r>
      <w:r w:rsidR="006352C7">
        <w:t>s riots, anti-abolitionists believed they were all connected. Abolitionism was thus labeled as an incendiary</w:t>
      </w:r>
      <w:r w:rsidR="007C1DD9">
        <w:t xml:space="preserve"> movement that could</w:t>
      </w:r>
      <w:r w:rsidR="00F7365C">
        <w:t>, if left to its own devices,</w:t>
      </w:r>
      <w:r w:rsidR="007C1DD9">
        <w:t xml:space="preserve"> destroy the Union</w:t>
      </w:r>
      <w:r w:rsidR="006352C7">
        <w:t>.</w:t>
      </w:r>
      <w:r w:rsidR="007C1DD9">
        <w:t xml:space="preserve"> </w:t>
      </w:r>
      <w:r w:rsidR="006352C7">
        <w:t>As such, b</w:t>
      </w:r>
      <w:r w:rsidR="007C1DD9">
        <w:t>y</w:t>
      </w:r>
      <w:r w:rsidR="006352C7">
        <w:t xml:space="preserve"> </w:t>
      </w:r>
      <w:r w:rsidR="007C1DD9">
        <w:t xml:space="preserve">using the term </w:t>
      </w:r>
      <w:r w:rsidR="00776BC0">
        <w:t>“</w:t>
      </w:r>
      <w:r w:rsidR="007C1DD9">
        <w:t>incendiary,</w:t>
      </w:r>
      <w:r w:rsidR="00776BC0">
        <w:t>”</w:t>
      </w:r>
      <w:r w:rsidR="007C1DD9">
        <w:t xml:space="preserve"> anti-abolitionists were provided legal and emotional justifications for their actions, whether it be in the form of legislation, or mob violence.</w:t>
      </w:r>
    </w:p>
    <w:p w14:paraId="29F69B0B" w14:textId="3A5BC530" w:rsidR="00C301B6" w:rsidRDefault="00C301B6" w:rsidP="007C1DD9">
      <w:pPr>
        <w:spacing w:line="480" w:lineRule="auto"/>
        <w:ind w:firstLine="720"/>
      </w:pPr>
      <w:r>
        <w:t xml:space="preserve">While many historians have dismissed these occurrences as deviants from the norm, I argue that the willingness to restrict First Amendment Rights was instead a part of a far deeper ideology which </w:t>
      </w:r>
      <w:r w:rsidR="006352C7">
        <w:t xml:space="preserve">legal </w:t>
      </w:r>
      <w:r>
        <w:t xml:space="preserve">historian William Novak calls </w:t>
      </w:r>
      <w:r>
        <w:rPr>
          <w:i/>
        </w:rPr>
        <w:t>salus populi</w:t>
      </w:r>
      <w:r w:rsidR="00B77C44">
        <w:rPr>
          <w:i/>
        </w:rPr>
        <w:t xml:space="preserve"> </w:t>
      </w:r>
      <w:r w:rsidR="00B77C44">
        <w:t>(“the people’s welfare”)</w:t>
      </w:r>
      <w:r>
        <w:rPr>
          <w:i/>
        </w:rPr>
        <w:t xml:space="preserve">. </w:t>
      </w:r>
      <w:r w:rsidR="002E795B">
        <w:t>That</w:t>
      </w:r>
      <w:r>
        <w:t xml:space="preserve"> is, the desire to protect the community’s rights over the rights of the individual was </w:t>
      </w:r>
      <w:r w:rsidR="002E795B">
        <w:t>one of the factors t</w:t>
      </w:r>
      <w:r>
        <w:t>hat drove the anti-abolitionists in their crusade</w:t>
      </w:r>
      <w:r w:rsidR="006352C7">
        <w:t xml:space="preserve">, and it was one of the main </w:t>
      </w:r>
      <w:r w:rsidR="00A70398">
        <w:t xml:space="preserve">legal </w:t>
      </w:r>
      <w:r w:rsidR="006352C7">
        <w:t>arguments</w:t>
      </w:r>
      <w:r w:rsidR="00A70398">
        <w:t xml:space="preserve">—along with libel and international law—that </w:t>
      </w:r>
      <w:r w:rsidR="006352C7">
        <w:t>they used in their support of free speech restrictions.</w:t>
      </w:r>
    </w:p>
    <w:p w14:paraId="66A2136E" w14:textId="16A814BD" w:rsidR="002E795B" w:rsidRDefault="00C301B6" w:rsidP="007C1DD9">
      <w:pPr>
        <w:spacing w:line="480" w:lineRule="auto"/>
        <w:ind w:firstLine="720"/>
      </w:pPr>
      <w:r>
        <w:t xml:space="preserve">However, </w:t>
      </w:r>
      <w:r w:rsidR="006352C7">
        <w:t xml:space="preserve">that is </w:t>
      </w:r>
      <w:r>
        <w:t>just one piece of the puzzle.</w:t>
      </w:r>
      <w:r w:rsidR="0056308D">
        <w:t xml:space="preserve"> </w:t>
      </w:r>
      <w:r>
        <w:t xml:space="preserve">While it would be </w:t>
      </w:r>
      <w:r w:rsidR="00776BC0">
        <w:t>convenient</w:t>
      </w:r>
      <w:r w:rsidR="00A8439C">
        <w:t xml:space="preserve"> </w:t>
      </w:r>
      <w:r>
        <w:t xml:space="preserve">to argue that the anti-abolitionists were driven solely by logic and reason, human beings are hardly ever logical, and hardly ever reasonable. Emotions drive us as much as logic, and it </w:t>
      </w:r>
      <w:r w:rsidR="00E728EF">
        <w:t>is the emotions of the anti-abolitionist which are the other half—perhaps the most influential half—of this puzzle.</w:t>
      </w:r>
      <w:r w:rsidR="00A8439C">
        <w:t xml:space="preserve"> </w:t>
      </w:r>
      <w:r w:rsidR="00E728EF">
        <w:t>Put simply, w</w:t>
      </w:r>
      <w:r>
        <w:t xml:space="preserve">hat truly drove the anti-abolitionists </w:t>
      </w:r>
      <w:r w:rsidR="0056308D">
        <w:t xml:space="preserve">was fear. People feared the abolitionists; they </w:t>
      </w:r>
      <w:r w:rsidR="0056308D">
        <w:lastRenderedPageBreak/>
        <w:t>viewed them as incendiaries who provoked slave insurrections and threatened the sanctity of the Union. Yet, that fear also went deeper</w:t>
      </w:r>
      <w:r w:rsidR="00483306">
        <w:t xml:space="preserve">, to a very rooted sense </w:t>
      </w:r>
      <w:r w:rsidR="0056308D">
        <w:t>of self-interest. Northerners were not heavily invested in the success of slavery, but they were invested in their country. If the abolitionists succeeded in tearing the Union apart, their entire way of life would be destroyed.</w:t>
      </w:r>
      <w:r w:rsidR="002E795B">
        <w:t xml:space="preserve"> What would happen to their families? Their friends? Their jobs? Even their own </w:t>
      </w:r>
      <w:r w:rsidR="00A27E20">
        <w:t>lives</w:t>
      </w:r>
      <w:r w:rsidR="002E795B">
        <w:t>? The uncertain and dangerous situations that</w:t>
      </w:r>
      <w:r w:rsidR="00D12A37">
        <w:t xml:space="preserve"> slave insurrections, civil unrest, and even</w:t>
      </w:r>
      <w:r w:rsidR="002E795B">
        <w:t xml:space="preserve"> </w:t>
      </w:r>
      <w:r w:rsidR="00FE4226">
        <w:t xml:space="preserve">civil </w:t>
      </w:r>
      <w:r w:rsidR="002E795B">
        <w:t>war could bring was enough for people to do what was necessary to protect the status-quo, even if that meant attacking other Americans.</w:t>
      </w:r>
    </w:p>
    <w:p w14:paraId="6DBC2816" w14:textId="12AAC3CA" w:rsidR="0056308D" w:rsidRDefault="002E795B" w:rsidP="00E728EF">
      <w:pPr>
        <w:spacing w:line="480" w:lineRule="auto"/>
        <w:ind w:firstLine="720"/>
      </w:pPr>
      <w:r>
        <w:t>And yet, i</w:t>
      </w:r>
      <w:r w:rsidR="0056308D">
        <w:t xml:space="preserve">t was this very same sense of self-interest that would later make them stop. After the death of Elijah Lovejoy, northerners would come to realize that the real threat to their rights and to their everyday lives was not the abolitionists, but the slave system. It was only until their own civil </w:t>
      </w:r>
      <w:r w:rsidR="00E728EF">
        <w:t>liberties</w:t>
      </w:r>
      <w:r w:rsidR="0056308D">
        <w:t xml:space="preserve"> were threatened, in other words, that northerners backed off.</w:t>
      </w:r>
      <w:r>
        <w:t xml:space="preserve"> </w:t>
      </w:r>
      <w:r w:rsidR="0010576A">
        <w:t xml:space="preserve">Most historians point to the Fugitive Slave Act as the catalyst, but in reality, it was Lovejoy’s death that first made white northerners realize the danger slavery posed to their freedoms. </w:t>
      </w:r>
      <w:r>
        <w:t xml:space="preserve">Slavery might only </w:t>
      </w:r>
      <w:r w:rsidR="005D360C">
        <w:t xml:space="preserve">survive </w:t>
      </w:r>
      <w:r w:rsidR="00A331A5">
        <w:t>up</w:t>
      </w:r>
      <w:r>
        <w:t xml:space="preserve">on the ruins of the free press, but northerners were no longer willing </w:t>
      </w:r>
      <w:r w:rsidR="00821EDE">
        <w:t xml:space="preserve">to be the ones </w:t>
      </w:r>
      <w:r w:rsidR="005D360C">
        <w:t>to destroy it.</w:t>
      </w:r>
    </w:p>
    <w:p w14:paraId="36392C16" w14:textId="4A5D1252" w:rsidR="0056308D" w:rsidRDefault="0056308D" w:rsidP="0056308D">
      <w:pPr>
        <w:spacing w:line="480" w:lineRule="auto"/>
      </w:pPr>
    </w:p>
    <w:p w14:paraId="6F94B4D2" w14:textId="36E9BEBF" w:rsidR="0056308D" w:rsidRDefault="0056308D" w:rsidP="0056308D">
      <w:pPr>
        <w:spacing w:line="480" w:lineRule="auto"/>
      </w:pPr>
    </w:p>
    <w:p w14:paraId="404772F0" w14:textId="10113AF4" w:rsidR="0056308D" w:rsidRDefault="0056308D" w:rsidP="0056308D">
      <w:pPr>
        <w:spacing w:line="480" w:lineRule="auto"/>
      </w:pPr>
    </w:p>
    <w:p w14:paraId="000F6D59" w14:textId="6AE2A67A" w:rsidR="0056308D" w:rsidRDefault="0056308D" w:rsidP="0056308D">
      <w:pPr>
        <w:spacing w:line="480" w:lineRule="auto"/>
      </w:pPr>
    </w:p>
    <w:p w14:paraId="25C83685" w14:textId="5DB7BCA0" w:rsidR="0013315C" w:rsidRDefault="0013315C" w:rsidP="00305CB3">
      <w:pPr>
        <w:spacing w:line="480" w:lineRule="auto"/>
      </w:pPr>
    </w:p>
    <w:p w14:paraId="4C3DF51A" w14:textId="00666CB9" w:rsidR="00571720" w:rsidRDefault="00571720" w:rsidP="00305CB3">
      <w:pPr>
        <w:spacing w:line="480" w:lineRule="auto"/>
      </w:pPr>
    </w:p>
    <w:p w14:paraId="375D33A8" w14:textId="77777777" w:rsidR="00907335" w:rsidRDefault="00907335" w:rsidP="00305CB3">
      <w:pPr>
        <w:spacing w:line="480" w:lineRule="auto"/>
      </w:pPr>
    </w:p>
    <w:p w14:paraId="729955AA" w14:textId="474EDCC8" w:rsidR="00EF5ED6" w:rsidRDefault="00B92093" w:rsidP="000D2C61">
      <w:pPr>
        <w:jc w:val="center"/>
        <w:rPr>
          <w:u w:val="single"/>
        </w:rPr>
      </w:pPr>
      <w:r>
        <w:rPr>
          <w:u w:val="single"/>
        </w:rPr>
        <w:lastRenderedPageBreak/>
        <w:t>The Historical</w:t>
      </w:r>
      <w:r w:rsidR="00284045">
        <w:rPr>
          <w:u w:val="single"/>
        </w:rPr>
        <w:t xml:space="preserve"> </w:t>
      </w:r>
      <w:r w:rsidR="00EF5ED6">
        <w:rPr>
          <w:u w:val="single"/>
        </w:rPr>
        <w:t>Background</w:t>
      </w:r>
    </w:p>
    <w:p w14:paraId="7F784959" w14:textId="77777777" w:rsidR="00EF5ED6" w:rsidRDefault="00EF5ED6" w:rsidP="000D2C61">
      <w:pPr>
        <w:jc w:val="center"/>
        <w:rPr>
          <w:u w:val="single"/>
        </w:rPr>
      </w:pPr>
    </w:p>
    <w:p w14:paraId="44A2DF6E" w14:textId="1E2634CD" w:rsidR="00EF5ED6" w:rsidRDefault="00EF5ED6" w:rsidP="000D2C61">
      <w:pPr>
        <w:spacing w:line="480" w:lineRule="auto"/>
      </w:pPr>
      <w:r>
        <w:tab/>
        <w:t>When</w:t>
      </w:r>
      <w:r w:rsidR="0056308D">
        <w:t xml:space="preserve"> </w:t>
      </w:r>
      <w:r w:rsidR="00687C47">
        <w:t xml:space="preserve">James </w:t>
      </w:r>
      <w:r w:rsidR="0056308D">
        <w:t>Birney’s newspaper was attacked in 1836</w:t>
      </w:r>
      <w:r>
        <w:t>,</w:t>
      </w:r>
      <w:r w:rsidR="0056308D">
        <w:t xml:space="preserve"> abolitionism was infamous. But</w:t>
      </w:r>
      <w:r>
        <w:t xml:space="preserve"> in 1831,</w:t>
      </w:r>
      <w:r w:rsidR="0056308D">
        <w:t xml:space="preserve"> when</w:t>
      </w:r>
      <w:r>
        <w:t xml:space="preserve"> a</w:t>
      </w:r>
      <w:r w:rsidR="00687C47">
        <w:t>nother</w:t>
      </w:r>
      <w:r>
        <w:t xml:space="preserve"> </w:t>
      </w:r>
      <w:r w:rsidR="00687C47">
        <w:t xml:space="preserve">white </w:t>
      </w:r>
      <w:r>
        <w:t xml:space="preserve">abolitionist </w:t>
      </w:r>
      <w:r w:rsidR="00DB0774">
        <w:t>named William Lloyd Garrison</w:t>
      </w:r>
      <w:r>
        <w:t xml:space="preserve"> set out to publish </w:t>
      </w:r>
      <w:r w:rsidR="00687C47">
        <w:t>his own</w:t>
      </w:r>
      <w:r>
        <w:t xml:space="preserve"> newspaper, abolitionism was seen</w:t>
      </w:r>
      <w:r w:rsidR="00B92093">
        <w:t xml:space="preserve"> by</w:t>
      </w:r>
      <w:r w:rsidR="001B7593">
        <w:t xml:space="preserve"> most</w:t>
      </w:r>
      <w:r w:rsidR="00B92093">
        <w:t xml:space="preserve"> white Americans</w:t>
      </w:r>
      <w:r>
        <w:t xml:space="preserve"> as a small, eccentric, and inconsequential movement. </w:t>
      </w:r>
      <w:r w:rsidR="00DB0774">
        <w:t>In a few</w:t>
      </w:r>
      <w:r>
        <w:t>, short years,</w:t>
      </w:r>
      <w:r w:rsidR="00687C47">
        <w:t xml:space="preserve"> however,</w:t>
      </w:r>
      <w:r>
        <w:t xml:space="preserve"> white Americans</w:t>
      </w:r>
      <w:r w:rsidR="00DB0774">
        <w:t>’</w:t>
      </w:r>
      <w:r>
        <w:t xml:space="preserve"> view</w:t>
      </w:r>
      <w:r w:rsidR="00DB0774">
        <w:t>s</w:t>
      </w:r>
      <w:r>
        <w:t xml:space="preserve"> of the abolitionist movement </w:t>
      </w:r>
      <w:r w:rsidR="00687C47">
        <w:t>would</w:t>
      </w:r>
      <w:r>
        <w:t xml:space="preserve"> </w:t>
      </w:r>
      <w:r w:rsidR="00687C47">
        <w:t xml:space="preserve">change </w:t>
      </w:r>
      <w:r>
        <w:t xml:space="preserve">from a ragtag group of individuals to a radical movement that would not, and could not, be tolerated. In the American South and North, citizens and politicians alike discussed and debated what to do with these “incendiaries.” Southern states passed laws prohibiting any abolitionist activity, including the passage of abolitionist tracts inside their borders, and </w:t>
      </w:r>
      <w:r w:rsidR="00687C47">
        <w:t>n</w:t>
      </w:r>
      <w:r>
        <w:t xml:space="preserve">orthern states dealt with anti-abolitionist mobs who had decided to take matters into their own hands. </w:t>
      </w:r>
    </w:p>
    <w:p w14:paraId="376261CB" w14:textId="1FE9D903" w:rsidR="00EF5ED6" w:rsidRDefault="00EF5ED6" w:rsidP="000D2C61">
      <w:pPr>
        <w:spacing w:line="480" w:lineRule="auto"/>
      </w:pPr>
      <w:r>
        <w:tab/>
        <w:t xml:space="preserve">How did such a major shift occur in </w:t>
      </w:r>
      <w:r w:rsidR="00DB0774">
        <w:t xml:space="preserve">such a small </w:t>
      </w:r>
      <w:r w:rsidR="00687C47">
        <w:t>period of time</w:t>
      </w:r>
      <w:r>
        <w:t>? The minds of white Americans did not change on abolitionism—indeed, many had been against immediate abolition decades prior</w:t>
      </w:r>
      <w:r>
        <w:fldChar w:fldCharType="begin"/>
      </w:r>
      <w:r>
        <w:instrText xml:space="preserve"> ADDIN EN.CITE &lt;EndNote&gt;&lt;Cite&gt;&lt;Author&gt;Risley&lt;/Author&gt;&lt;Year&gt;2008&lt;/Year&gt;&lt;RecNum&gt;91&lt;/RecNum&gt;&lt;record&gt;&lt;rec-number&gt;91&lt;/rec-number&gt;&lt;foreign-keys&gt;&lt;key app="EN" db-id="zsrseat5ww9t5devdf1prxd7r0errx92pd5v" timestamp="1549916247"&gt;91&lt;/key&gt;&lt;/foreign-keys&gt;&lt;ref-type name="Book"&gt;6&lt;/ref-type&gt;&lt;contributors&gt;&lt;authors&gt;&lt;author&gt;Ford Risley&lt;/author&gt;&lt;/authors&gt;&lt;/contributors&gt;&lt;titles&gt;&lt;title&gt;Abolition and the Press: The Moral Struggle Against Slavery&lt;/title&gt;&lt;/titles&gt;&lt;dates&gt;&lt;year&gt;2008&lt;/year&gt;&lt;/dates&gt;&lt;pub-location&gt;Evanston, Ill&lt;/pub-location&gt;&lt;publisher&gt;Northwestern University Press&lt;/publisher&gt;&lt;urls&gt;&lt;/urls&gt;&lt;/record&gt;&lt;/Cite&gt;&lt;/EndNote&gt;</w:instrText>
      </w:r>
      <w:r>
        <w:fldChar w:fldCharType="end"/>
      </w:r>
      <w:r>
        <w:t xml:space="preserve">. However, before 1831, abolitionism was nearly nonexistent, and thus non-threatening. While many </w:t>
      </w:r>
      <w:r w:rsidR="00B92093">
        <w:t xml:space="preserve">whites </w:t>
      </w:r>
      <w:r>
        <w:t xml:space="preserve">in the North were opposed to slavery, they looked to solutions like colonizationism or gradualism to solve the “slavery problem.” Yet, a few individuals began to see the failings of </w:t>
      </w:r>
      <w:r w:rsidR="00687C47">
        <w:t>those plans</w:t>
      </w:r>
      <w:r>
        <w:t xml:space="preserve">. Inspired by the evangelical movements of the 1820s, abolitionists </w:t>
      </w:r>
      <w:r w:rsidR="00251017">
        <w:t>saw</w:t>
      </w:r>
      <w:r>
        <w:t xml:space="preserve"> slavery as a sin that must be immediately eradicated. Abolitionism thus became a moral crusade where abolitionists took, in the words of James Brewer Stewart, “God’s side in the struggle against all the worldliness, licentious</w:t>
      </w:r>
      <w:r w:rsidR="00251017">
        <w:t>ness</w:t>
      </w:r>
      <w:r>
        <w:t>, cruelty, and selfishness that slaveowning had come to embody.”</w:t>
      </w:r>
      <w:r>
        <w:rPr>
          <w:rStyle w:val="FootnoteReference"/>
        </w:rPr>
        <w:footnoteReference w:id="3"/>
      </w:r>
    </w:p>
    <w:p w14:paraId="544E72A0" w14:textId="2FB4110E" w:rsidR="00EF5ED6" w:rsidRDefault="00EF5ED6" w:rsidP="000D2C61">
      <w:pPr>
        <w:spacing w:line="480" w:lineRule="auto"/>
      </w:pPr>
      <w:r>
        <w:lastRenderedPageBreak/>
        <w:tab/>
        <w:t xml:space="preserve">The early 1830s </w:t>
      </w:r>
      <w:r w:rsidR="0005286A">
        <w:t xml:space="preserve">thus </w:t>
      </w:r>
      <w:r>
        <w:t xml:space="preserve">became a major turning point. The publication of Garrison’s </w:t>
      </w:r>
      <w:r>
        <w:rPr>
          <w:i/>
        </w:rPr>
        <w:t xml:space="preserve">Liberator </w:t>
      </w:r>
      <w:r>
        <w:t xml:space="preserve">and David Walker’s </w:t>
      </w:r>
      <w:r>
        <w:rPr>
          <w:i/>
        </w:rPr>
        <w:t>Appeal</w:t>
      </w:r>
      <w:r>
        <w:t xml:space="preserve"> coincided with the Nat Turner Rebellion. These events not only thrust slavery into the spotlight, but they also linked, in the minds of many Americans, abolitionism with slave insurrection. By 1833, the American Anti-Slavery Society (AASS) was founded, and they set </w:t>
      </w:r>
      <w:r w:rsidR="003C6090">
        <w:t>forth</w:t>
      </w:r>
      <w:r>
        <w:t xml:space="preserve"> an aggressive anti-slavery campaign</w:t>
      </w:r>
      <w:r w:rsidR="00BD79D2">
        <w:t xml:space="preserve"> by </w:t>
      </w:r>
      <w:r>
        <w:t>taking advantage of the print, transportation, and communication revolutions of years prior. It brought about, in the following years, a massive mailing campaign that triggered debates about</w:t>
      </w:r>
      <w:r w:rsidR="003C6090">
        <w:t xml:space="preserve"> slavery,</w:t>
      </w:r>
      <w:r>
        <w:t xml:space="preserve"> press freedom</w:t>
      </w:r>
      <w:r w:rsidR="003C6090">
        <w:t>s,</w:t>
      </w:r>
      <w:r>
        <w:t xml:space="preserve"> and free speech across the country.</w:t>
      </w:r>
      <w:r>
        <w:rPr>
          <w:rStyle w:val="FootnoteReference"/>
        </w:rPr>
        <w:footnoteReference w:id="4"/>
      </w:r>
    </w:p>
    <w:p w14:paraId="609041B5" w14:textId="77777777" w:rsidR="00EF5ED6" w:rsidRDefault="00EF5ED6" w:rsidP="000D2C61">
      <w:pPr>
        <w:spacing w:line="480" w:lineRule="auto"/>
      </w:pPr>
      <w:r>
        <w:tab/>
        <w:t>The American Republic was founded on the belief in popular sovereignty, but popular sovereignty was only possible if the public was informed. As such, newspapers and other forms of print became increasingly important in the political and social climate of the Early Republic. Through a combination of technological advancements, federal laws, and government subsidies, the number of newspapers skyrocketed from 106 in 1790 to 1,258 in 1835. News and information were spreading like never before, creating a sense of interconnectedness. Yet these newspapers represented more of a hodgepodge of different localities rather than a cohesive, nationalized reading public. This resulted in an enhanced sectionalism—the equivalent of “living in a bubble” in today’s world—within America’s public sphere. As Trish Loughran put it:</w:t>
      </w:r>
    </w:p>
    <w:p w14:paraId="1935B7F0" w14:textId="77777777" w:rsidR="00EF5ED6" w:rsidRDefault="00EF5ED6" w:rsidP="000D2C61">
      <w:pPr>
        <w:ind w:left="1440" w:right="1440"/>
        <w:jc w:val="both"/>
      </w:pPr>
      <w:r>
        <w:t>…the more connected regions appeared to be (in print), the more regionalized (rather than nationalized) their identities became…the print campaigns of the 1830s cultivated a sense of material simultaneity across national space that, paradoxically, produced an enhanced sense of regional difference.</w:t>
      </w:r>
      <w:r>
        <w:rPr>
          <w:rStyle w:val="FootnoteReference"/>
        </w:rPr>
        <w:footnoteReference w:id="5"/>
      </w:r>
    </w:p>
    <w:p w14:paraId="3CDE3D57" w14:textId="77777777" w:rsidR="00EF5ED6" w:rsidRDefault="00EF5ED6" w:rsidP="000D2C61">
      <w:pPr>
        <w:ind w:right="1440"/>
        <w:jc w:val="both"/>
      </w:pPr>
    </w:p>
    <w:p w14:paraId="34E41390" w14:textId="71B5EF9B" w:rsidR="00EF5ED6" w:rsidRPr="00D27F20" w:rsidRDefault="00EF5ED6" w:rsidP="000D2C61">
      <w:pPr>
        <w:spacing w:line="480" w:lineRule="auto"/>
      </w:pPr>
      <w:r>
        <w:lastRenderedPageBreak/>
        <w:tab/>
        <w:t xml:space="preserve">In other words, after being confronted with differences in culture, ideas, etc. from other parts of the country, people retreated further into their own geographical and ideological “bubbles” rather than homogenizing those regional differences. Nonetheless, these changes within America’s public sphere gave the abolitionists a powerful avenue in spreading their message. Throughout the 1820s and 1830s, many of the new antislavery societies like the AASS began a “moral suasion” campaign. They sponsored traveling agents, pamphlet campaigns, petition campaigns, </w:t>
      </w:r>
      <w:r w:rsidR="00DE3416">
        <w:t xml:space="preserve">and abolitionist newspapers like Garrison’s </w:t>
      </w:r>
      <w:r w:rsidR="00DE3416">
        <w:rPr>
          <w:i/>
        </w:rPr>
        <w:t xml:space="preserve">Liberator, </w:t>
      </w:r>
      <w:r>
        <w:t xml:space="preserve">all in an attempt to convince Americans of </w:t>
      </w:r>
      <w:r w:rsidR="00DE3416">
        <w:t xml:space="preserve">the evils of </w:t>
      </w:r>
      <w:r>
        <w:t>slavery. The AASS in particular emphasized its print campaigns, using the greater sense of interconnectedness to make local populations “feel personally responsible for the actions of more remotes ones.”</w:t>
      </w:r>
      <w:r>
        <w:rPr>
          <w:rStyle w:val="FootnoteReference"/>
        </w:rPr>
        <w:footnoteReference w:id="6"/>
      </w:r>
    </w:p>
    <w:p w14:paraId="2CCF56CD" w14:textId="61F80160" w:rsidR="00EF5ED6" w:rsidRDefault="00EF5ED6" w:rsidP="000D2C61">
      <w:pPr>
        <w:spacing w:line="480" w:lineRule="auto"/>
      </w:pPr>
      <w:r>
        <w:tab/>
        <w:t>All of this culminated in</w:t>
      </w:r>
      <w:r w:rsidR="001177E4">
        <w:t>to</w:t>
      </w:r>
      <w:r>
        <w:t xml:space="preserve"> one of the largest mailing campaigns </w:t>
      </w:r>
      <w:r w:rsidR="001177E4">
        <w:t>the United States</w:t>
      </w:r>
      <w:r>
        <w:t xml:space="preserve"> had ever seen. The AASS pamphlet campaign began in 1835 in an attempt to “sow the good seed of abolition thoroughly over the whole country.”</w:t>
      </w:r>
      <w:r>
        <w:rPr>
          <w:rStyle w:val="FootnoteReference"/>
        </w:rPr>
        <w:footnoteReference w:id="7"/>
      </w:r>
      <w:r>
        <w:t xml:space="preserve"> They targeted ministers, politicians, newspaper editors, and other influential </w:t>
      </w:r>
      <w:r w:rsidR="00D5765C">
        <w:t xml:space="preserve">southern </w:t>
      </w:r>
      <w:r>
        <w:t>citizens, and by 1836 more than a million pieces of antislavery literature had been printed and circulated.</w:t>
      </w:r>
      <w:r>
        <w:rPr>
          <w:rStyle w:val="FootnoteReference"/>
        </w:rPr>
        <w:footnoteReference w:id="8"/>
      </w:r>
      <w:r>
        <w:t xml:space="preserve"> </w:t>
      </w:r>
    </w:p>
    <w:p w14:paraId="0DF65D1E" w14:textId="52F6E3D5" w:rsidR="00D30ADD" w:rsidRDefault="00EF5ED6" w:rsidP="000D2C61">
      <w:pPr>
        <w:spacing w:line="480" w:lineRule="auto"/>
      </w:pPr>
      <w:r>
        <w:tab/>
      </w:r>
      <w:r w:rsidR="00DE3416">
        <w:t xml:space="preserve">The pamphlet campaign got a reaction, but not the kind the abolitionists were hoping. </w:t>
      </w:r>
      <w:r>
        <w:t xml:space="preserve">Already sensitive to abolitionism, white </w:t>
      </w:r>
      <w:r w:rsidR="001177E4">
        <w:t>s</w:t>
      </w:r>
      <w:r>
        <w:t xml:space="preserve">outherners and their </w:t>
      </w:r>
      <w:r w:rsidR="001177E4">
        <w:t>n</w:t>
      </w:r>
      <w:r>
        <w:t>orthern allies reacted vehemently to the flood of anti-slavery literature coming into the South. Southern legislatures passed legislation prohibiting any antislavery paper from crossing into its borders</w:t>
      </w:r>
      <w:r w:rsidR="00D30ADD">
        <w:t>, and these laws would stay in effect until the end of the Civil War.</w:t>
      </w:r>
      <w:r>
        <w:t xml:space="preserve"> </w:t>
      </w:r>
      <w:r w:rsidR="00DE3416">
        <w:t>Additionally, s</w:t>
      </w:r>
      <w:r>
        <w:t>tate councils placed bounties on abolitionists’ heads</w:t>
      </w:r>
      <w:r w:rsidR="00D30ADD">
        <w:t>,</w:t>
      </w:r>
      <w:r>
        <w:t xml:space="preserve"> and declared any person who received antislavery literature an “enemy of </w:t>
      </w:r>
      <w:r>
        <w:lastRenderedPageBreak/>
        <w:t>the state</w:t>
      </w:r>
      <w:r w:rsidR="00D30ADD">
        <w:t xml:space="preserve">.” And when laws or bounties were not enough, </w:t>
      </w:r>
      <w:r>
        <w:t>mobs in Charleston and other cities burned shipments of abolitionist mail.</w:t>
      </w:r>
      <w:r>
        <w:rPr>
          <w:rStyle w:val="FootnoteReference"/>
        </w:rPr>
        <w:footnoteReference w:id="9"/>
      </w:r>
    </w:p>
    <w:p w14:paraId="690B1A8D" w14:textId="462DC7BE" w:rsidR="00690977" w:rsidRDefault="00D30ADD" w:rsidP="000D2C61">
      <w:pPr>
        <w:spacing w:line="480" w:lineRule="auto"/>
      </w:pPr>
      <w:r>
        <w:tab/>
        <w:t xml:space="preserve">Indeed, the Charleston mob was one of the most famous incidents of anti-abolitionist activity in response to the pamphlet campaign. It occurred on the nights of July 29 and July 30, 1835 when a steamer named the “Columbia” sailed into the Charleston harbor. Inside were mail sacks full of abolitionist tracts from New York. Their arrival provided a conundrum for Alfred Huger, the Charleston postmaster, who was federally-mandated to deliver the mail, but also loyal to the southern cause. He set the mail aside for the night, </w:t>
      </w:r>
      <w:r w:rsidR="005A6D60">
        <w:t>but it was soon</w:t>
      </w:r>
      <w:r>
        <w:t xml:space="preserve"> stolen by a group called the “Lynch Men</w:t>
      </w:r>
      <w:r w:rsidR="005A6D60">
        <w:t>,</w:t>
      </w:r>
      <w:r>
        <w:t xml:space="preserve">” </w:t>
      </w:r>
      <w:r w:rsidR="005A6D60">
        <w:t>who then</w:t>
      </w:r>
      <w:r>
        <w:t xml:space="preserve"> led a group of nearly </w:t>
      </w:r>
      <w:r w:rsidR="00EE7D49">
        <w:t>two thousand</w:t>
      </w:r>
      <w:r>
        <w:t xml:space="preserve"> people in the burning of the mail, </w:t>
      </w:r>
      <w:r w:rsidR="005A6D60">
        <w:t xml:space="preserve">and of the </w:t>
      </w:r>
      <w:r>
        <w:t>effigies of northern abolitionists</w:t>
      </w:r>
      <w:r w:rsidR="00690977">
        <w:t xml:space="preserve"> (see fig. 1)</w:t>
      </w:r>
      <w:r>
        <w:t>.</w:t>
      </w:r>
    </w:p>
    <w:p w14:paraId="5A043111" w14:textId="56C4B6A6" w:rsidR="00047AE2" w:rsidRPr="00047AE2" w:rsidRDefault="00047AE2" w:rsidP="00047AE2">
      <w:r w:rsidRPr="00047AE2">
        <w:fldChar w:fldCharType="begin"/>
      </w:r>
      <w:r w:rsidRPr="00047AE2">
        <w:instrText xml:space="preserve"> INCLUDEPICTURE "https://cdn.loc.gov/service/pnp/cph/3b30000/3b38000/3b38500/3b38593r.jpg#h=466&amp;w=640" \* MERGEFORMATINET </w:instrText>
      </w:r>
      <w:r w:rsidRPr="00047AE2">
        <w:fldChar w:fldCharType="separate"/>
      </w:r>
      <w:r w:rsidRPr="00047AE2">
        <w:rPr>
          <w:noProof/>
        </w:rPr>
        <w:drawing>
          <wp:inline distT="0" distB="0" distL="0" distR="0" wp14:anchorId="4229D604" wp14:editId="74AE064F">
            <wp:extent cx="5905500" cy="4299785"/>
            <wp:effectExtent l="0" t="0" r="0" b="5715"/>
            <wp:docPr id="5" name="Picture 5" descr="https://cdn.loc.gov/service/pnp/cph/3b30000/3b38000/3b38500/3b38593r.jpg#h=466&amp;w=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cdn.loc.gov/service/pnp/cph/3b30000/3b38000/3b38500/3b38593r.jpg#h=466&amp;w=6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7555" cy="4330405"/>
                    </a:xfrm>
                    <a:prstGeom prst="rect">
                      <a:avLst/>
                    </a:prstGeom>
                    <a:noFill/>
                    <a:ln>
                      <a:noFill/>
                    </a:ln>
                  </pic:spPr>
                </pic:pic>
              </a:graphicData>
            </a:graphic>
          </wp:inline>
        </w:drawing>
      </w:r>
      <w:r w:rsidRPr="00047AE2">
        <w:fldChar w:fldCharType="end"/>
      </w:r>
    </w:p>
    <w:p w14:paraId="6755972E" w14:textId="47DBB386" w:rsidR="00047AE2" w:rsidRPr="005A6D60" w:rsidRDefault="00047AE2" w:rsidP="00047AE2">
      <w:pPr>
        <w:rPr>
          <w:i/>
        </w:rPr>
      </w:pPr>
      <w:r w:rsidRPr="005A6D60">
        <w:rPr>
          <w:i/>
        </w:rPr>
        <w:lastRenderedPageBreak/>
        <w:t>Fig. 1. Abolitionist depiction of the Charleston mob. Published 1835. From the Library of Congress’ American Cartoon Print Filing Series.</w:t>
      </w:r>
    </w:p>
    <w:p w14:paraId="35CC3F16" w14:textId="10BEEBB4" w:rsidR="00D30ADD" w:rsidRDefault="00D30ADD" w:rsidP="000D2C61">
      <w:pPr>
        <w:spacing w:line="480" w:lineRule="auto"/>
      </w:pPr>
    </w:p>
    <w:p w14:paraId="4DAFB0DA" w14:textId="6ECA7C69" w:rsidR="00047AE2" w:rsidRDefault="00D30ADD" w:rsidP="000D2C61">
      <w:pPr>
        <w:spacing w:line="480" w:lineRule="auto"/>
      </w:pPr>
      <w:r>
        <w:tab/>
        <w:t>Huger wrote to Amos Kendall, the Postmas</w:t>
      </w:r>
      <w:r w:rsidR="00B10059">
        <w:t>t</w:t>
      </w:r>
      <w:r>
        <w:t xml:space="preserve">er General of the United States, and Samuel Gouverneur, the New York postmaster. </w:t>
      </w:r>
      <w:r w:rsidR="00B10059">
        <w:t xml:space="preserve">He described the events that occurred on July 29 and July 30, and then asked for further instruction—should abolitionist mail be seized or delivered? Kendall replied that while the federal government had no legal </w:t>
      </w:r>
      <w:r w:rsidR="00EE7D49">
        <w:t>right</w:t>
      </w:r>
      <w:r w:rsidR="00B10059">
        <w:t xml:space="preserve"> to refuse to deliver the mail, </w:t>
      </w:r>
      <w:r w:rsidR="00EE7D49">
        <w:t>citizens should nevertheless be able to protect</w:t>
      </w:r>
      <w:r w:rsidR="00956128">
        <w:t xml:space="preserve"> one’s state and </w:t>
      </w:r>
      <w:r w:rsidR="00D5765C">
        <w:t xml:space="preserve">one’s </w:t>
      </w:r>
      <w:r w:rsidR="00956128">
        <w:t xml:space="preserve">community. The post office, Kendall argued, was meant to serve the people of the states, “not to be used as the instrument of their </w:t>
      </w:r>
      <w:r w:rsidR="00956128">
        <w:rPr>
          <w:i/>
        </w:rPr>
        <w:t>destruction.</w:t>
      </w:r>
      <w:r w:rsidR="00956128">
        <w:t xml:space="preserve">” </w:t>
      </w:r>
      <w:r w:rsidR="00EE7D49">
        <w:t>Since</w:t>
      </w:r>
      <w:r w:rsidR="00956128">
        <w:t xml:space="preserve"> Huger </w:t>
      </w:r>
      <w:r w:rsidR="00EE7D49">
        <w:t xml:space="preserve">had </w:t>
      </w:r>
      <w:r w:rsidR="00956128">
        <w:t xml:space="preserve">described the abolitionist pamphlets as “the most inflammatory and incendiary” kind, then Huger, Kendall believed, had “an obligation to the laws, but a higher one to the communities in which we live, and if the </w:t>
      </w:r>
      <w:r w:rsidR="00956128">
        <w:rPr>
          <w:i/>
        </w:rPr>
        <w:t xml:space="preserve">former </w:t>
      </w:r>
      <w:r w:rsidR="00956128">
        <w:t xml:space="preserve">be perverted to destroy the </w:t>
      </w:r>
      <w:r w:rsidR="00956128">
        <w:rPr>
          <w:i/>
        </w:rPr>
        <w:t>latter</w:t>
      </w:r>
      <w:r w:rsidR="00956128">
        <w:t>, it is patriotism to disregard them.” As such, Kendall gave Huger, Gouverneur, and all state postmaster</w:t>
      </w:r>
      <w:r w:rsidR="00E178B3">
        <w:t>s</w:t>
      </w:r>
      <w:r w:rsidR="00956128">
        <w:t xml:space="preserve"> the right to refuse to deliver abolitionist pamphlets.</w:t>
      </w:r>
      <w:r w:rsidR="00956128">
        <w:rPr>
          <w:rStyle w:val="FootnoteReference"/>
        </w:rPr>
        <w:footnoteReference w:id="10"/>
      </w:r>
    </w:p>
    <w:p w14:paraId="68206958" w14:textId="77777777" w:rsidR="00047AE2" w:rsidRPr="00047AE2" w:rsidRDefault="00047AE2" w:rsidP="00047AE2">
      <w:r w:rsidRPr="00047AE2">
        <w:lastRenderedPageBreak/>
        <w:fldChar w:fldCharType="begin"/>
      </w:r>
      <w:r w:rsidRPr="00047AE2">
        <w:instrText xml:space="preserve"> INCLUDEPICTURE "http://cdn.loc.gov/service/pnp/cph/3b30000/3b38000/3b38500/3b38594r.jpg" \* MERGEFORMATINET </w:instrText>
      </w:r>
      <w:r w:rsidRPr="00047AE2">
        <w:fldChar w:fldCharType="separate"/>
      </w:r>
      <w:r w:rsidRPr="00047AE2">
        <w:rPr>
          <w:noProof/>
        </w:rPr>
        <w:drawing>
          <wp:inline distT="0" distB="0" distL="0" distR="0" wp14:anchorId="59868EFF" wp14:editId="5A6C66E7">
            <wp:extent cx="6477000" cy="4685444"/>
            <wp:effectExtent l="0" t="0" r="0" b="1270"/>
            <wp:docPr id="2" name="Picture 2" descr="Southern ideas of libe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uthern ideas of liber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30262" cy="4723973"/>
                    </a:xfrm>
                    <a:prstGeom prst="rect">
                      <a:avLst/>
                    </a:prstGeom>
                    <a:noFill/>
                    <a:ln>
                      <a:noFill/>
                    </a:ln>
                  </pic:spPr>
                </pic:pic>
              </a:graphicData>
            </a:graphic>
          </wp:inline>
        </w:drawing>
      </w:r>
      <w:r w:rsidRPr="00047AE2">
        <w:fldChar w:fldCharType="end"/>
      </w:r>
    </w:p>
    <w:p w14:paraId="3E76401E" w14:textId="77777777" w:rsidR="00047AE2" w:rsidRPr="00EE7D49" w:rsidRDefault="00047AE2" w:rsidP="00047AE2">
      <w:pPr>
        <w:rPr>
          <w:i/>
        </w:rPr>
      </w:pPr>
      <w:r w:rsidRPr="00EE7D49">
        <w:rPr>
          <w:i/>
        </w:rPr>
        <w:t>Fig. 2. Lithograph depicting abolitionists’ view of the recent mob activities in the South. Published 1835. From the Library of Congress’ American Cartoon Print Filing Series.</w:t>
      </w:r>
    </w:p>
    <w:p w14:paraId="2941C7FF" w14:textId="7049B766" w:rsidR="00EF5ED6" w:rsidRPr="00956128" w:rsidRDefault="00EF5ED6" w:rsidP="000D2C61">
      <w:pPr>
        <w:spacing w:line="480" w:lineRule="auto"/>
      </w:pPr>
    </w:p>
    <w:p w14:paraId="1D460002" w14:textId="34EAE1C8" w:rsidR="00974830" w:rsidRDefault="00EF5ED6" w:rsidP="000D2C61">
      <w:pPr>
        <w:spacing w:line="480" w:lineRule="auto"/>
        <w:ind w:firstLine="720"/>
      </w:pPr>
      <w:r>
        <w:t xml:space="preserve">Knowing, however, that banning the tracts and activists in their own lands would not be enough, </w:t>
      </w:r>
      <w:r w:rsidR="001177E4">
        <w:t>s</w:t>
      </w:r>
      <w:r>
        <w:t xml:space="preserve">outherners called on </w:t>
      </w:r>
      <w:r w:rsidR="00974830">
        <w:t>Congress and their brethren in the North to act</w:t>
      </w:r>
      <w:r>
        <w:t>.</w:t>
      </w:r>
      <w:r w:rsidR="00974830">
        <w:t xml:space="preserve"> President Andrew Jackson, in his annual message to Congress, cited the AASS pamphlet campaign as an attempt to “circulate through the mails inflammatory appeals addressed to the passions of the slaves</w:t>
      </w:r>
      <w:r w:rsidR="00EE7D49">
        <w:t>.</w:t>
      </w:r>
      <w:r w:rsidR="00974830">
        <w:t xml:space="preserve">” Jackson </w:t>
      </w:r>
      <w:r w:rsidR="00EE7D49">
        <w:t xml:space="preserve">further </w:t>
      </w:r>
      <w:r w:rsidR="00974830">
        <w:t>argued that the pamphlets could lead to “insurrection” and produce “all the horrors of a servile war.”</w:t>
      </w:r>
      <w:r>
        <w:t xml:space="preserve"> </w:t>
      </w:r>
      <w:r w:rsidR="00974830">
        <w:t xml:space="preserve">The non-slaveholding </w:t>
      </w:r>
      <w:r w:rsidR="00EE7D49">
        <w:t>s</w:t>
      </w:r>
      <w:r w:rsidR="00974830">
        <w:t xml:space="preserve">tates, in order to secure “peace within our borders,” must “exercise their authority in suppressing…this evil.” But even that would not be enough. “I would therefore call the special attention of Congress to the subject,” Jackson </w:t>
      </w:r>
      <w:r w:rsidR="00974830">
        <w:lastRenderedPageBreak/>
        <w:t>proclaimed, “and respectfully suggest the propriety of passing such a law as will prohibit, under severe penalties, the circulation in the Southern States, through the mail, of incendiary publications intended to instigate the slaves to insurrection.”</w:t>
      </w:r>
      <w:r w:rsidR="00A63628">
        <w:rPr>
          <w:rStyle w:val="FootnoteReference"/>
        </w:rPr>
        <w:footnoteReference w:id="11"/>
      </w:r>
    </w:p>
    <w:p w14:paraId="5BA24D17" w14:textId="3F7D1E09" w:rsidR="00EF5ED6" w:rsidRDefault="00EF5ED6" w:rsidP="000D2C61">
      <w:pPr>
        <w:spacing w:line="480" w:lineRule="auto"/>
        <w:ind w:firstLine="720"/>
      </w:pPr>
      <w:r>
        <w:t xml:space="preserve">In response, </w:t>
      </w:r>
      <w:r w:rsidR="00974830">
        <w:t xml:space="preserve">congressional committees formed to debate the possibility of anti-abolitionist legislation, and </w:t>
      </w:r>
      <w:r>
        <w:t xml:space="preserve">several </w:t>
      </w:r>
      <w:r w:rsidR="001177E4">
        <w:t>n</w:t>
      </w:r>
      <w:r>
        <w:t xml:space="preserve">orthern governors and legislatures </w:t>
      </w:r>
      <w:r w:rsidR="00974830">
        <w:t>followed suit, some even introducing legislation onto the</w:t>
      </w:r>
      <w:r w:rsidR="00EE7D49">
        <w:t>ir own</w:t>
      </w:r>
      <w:r w:rsidR="00974830">
        <w:t xml:space="preserve"> floor</w:t>
      </w:r>
      <w:r w:rsidR="00EE7D49">
        <w:t>s</w:t>
      </w:r>
      <w:r>
        <w:t>. None passed, but they were still evidence of anti-abolitionist sentiment in the North.</w:t>
      </w:r>
      <w:r>
        <w:rPr>
          <w:rStyle w:val="FootnoteReference"/>
        </w:rPr>
        <w:footnoteReference w:id="12"/>
      </w:r>
      <w:r>
        <w:t xml:space="preserve"> Furthermore, while the North did not enact any laws, many </w:t>
      </w:r>
      <w:r w:rsidR="001177E4">
        <w:t>n</w:t>
      </w:r>
      <w:r>
        <w:t xml:space="preserve">ortherners decided to take the law into their own hands, organizing mobs and riots against abolitionists and their presses. Indeed, the number of mobs and riots spiked from one incident reported in 1830 to fifty-three in 1835, the beginning of the AASS </w:t>
      </w:r>
      <w:r w:rsidR="00EF1140">
        <w:t>p</w:t>
      </w:r>
      <w:r>
        <w:t xml:space="preserve">amphlet </w:t>
      </w:r>
      <w:r w:rsidR="00EF1140">
        <w:t>c</w:t>
      </w:r>
      <w:r>
        <w:t>ampaign. Throughout the entire course of the 1830s, the North had sixty incidents of mob activity, the South fifty-five. Made up of “gentlemen of property and standing,” these mobs sought to silence abolitionists and squash the movement, fearing that if nothing was done, the abolitionists would lead them down the path to civil</w:t>
      </w:r>
      <w:r w:rsidR="00EE7D49">
        <w:t>, or servile,</w:t>
      </w:r>
      <w:r>
        <w:t xml:space="preserve"> war.</w:t>
      </w:r>
      <w:r>
        <w:rPr>
          <w:rStyle w:val="FootnoteReference"/>
        </w:rPr>
        <w:footnoteReference w:id="13"/>
      </w:r>
    </w:p>
    <w:p w14:paraId="7C7441D2" w14:textId="17F892E8" w:rsidR="00EF5ED6" w:rsidRDefault="00EF5ED6" w:rsidP="000D2C61">
      <w:pPr>
        <w:spacing w:line="480" w:lineRule="auto"/>
        <w:ind w:firstLine="720"/>
        <w:rPr>
          <w:u w:val="single"/>
        </w:rPr>
      </w:pPr>
      <w:r>
        <w:t xml:space="preserve">It </w:t>
      </w:r>
      <w:r w:rsidR="00EE7D49">
        <w:t>is</w:t>
      </w:r>
      <w:r>
        <w:t xml:space="preserve"> a bit ironic that the anti-abolitionist men and women </w:t>
      </w:r>
      <w:r w:rsidR="00EE7D49">
        <w:t>fearing</w:t>
      </w:r>
      <w:r>
        <w:t xml:space="preserve"> division and strife were </w:t>
      </w:r>
      <w:r w:rsidR="00EE7D49">
        <w:t>ones that were causing it</w:t>
      </w:r>
      <w:r>
        <w:t xml:space="preserve">. Yet, they were emblematic of a significant group of </w:t>
      </w:r>
      <w:r w:rsidR="001177E4">
        <w:t>n</w:t>
      </w:r>
      <w:r>
        <w:t xml:space="preserve">ortherners who sought to curtail the abolitionists’ First Amendment </w:t>
      </w:r>
      <w:r w:rsidR="001177E4">
        <w:t>R</w:t>
      </w:r>
      <w:r>
        <w:t>ights. They did so, not out of a love of slavery (indeed, many professed anti-slavery sentiments), but out of a desire to protect the</w:t>
      </w:r>
      <w:r w:rsidR="003831EC">
        <w:t>mselves, their communities, and the</w:t>
      </w:r>
      <w:r w:rsidR="00EE7D49">
        <w:t>ir</w:t>
      </w:r>
      <w:r>
        <w:t xml:space="preserve"> Union.</w:t>
      </w:r>
      <w:r>
        <w:rPr>
          <w:u w:val="single"/>
        </w:rPr>
        <w:br w:type="page"/>
      </w:r>
    </w:p>
    <w:p w14:paraId="31993480" w14:textId="020D01F7" w:rsidR="00EF5ED6" w:rsidRDefault="00172CCB" w:rsidP="000D2C61">
      <w:pPr>
        <w:spacing w:line="480" w:lineRule="auto"/>
        <w:jc w:val="center"/>
        <w:rPr>
          <w:u w:val="single"/>
        </w:rPr>
      </w:pPr>
      <w:r>
        <w:rPr>
          <w:u w:val="single"/>
        </w:rPr>
        <w:t xml:space="preserve">The </w:t>
      </w:r>
      <w:r w:rsidR="00EF5ED6">
        <w:rPr>
          <w:u w:val="single"/>
        </w:rPr>
        <w:t>Historiography</w:t>
      </w:r>
    </w:p>
    <w:p w14:paraId="5D7FCF1E" w14:textId="68B995F2" w:rsidR="00EF5ED6" w:rsidRDefault="00EF5ED6" w:rsidP="000D2C61">
      <w:pPr>
        <w:spacing w:line="480" w:lineRule="auto"/>
      </w:pPr>
      <w:r>
        <w:tab/>
        <w:t xml:space="preserve">While many historians have dealt with abolitionism in the 1830s, as well as free speech controversies throughout American history, very few have examined anti-abolitionism and </w:t>
      </w:r>
      <w:r w:rsidR="00EF1140">
        <w:t>its</w:t>
      </w:r>
      <w:r>
        <w:t xml:space="preserve"> calls for free speech </w:t>
      </w:r>
      <w:r w:rsidRPr="00586526">
        <w:t>restrictions</w:t>
      </w:r>
      <w:r>
        <w:rPr>
          <w:i/>
        </w:rPr>
        <w:t xml:space="preserve">. </w:t>
      </w:r>
      <w:r>
        <w:t xml:space="preserve">When these events are studied, historians either keep their focus on white, southern anti-abolitionism, or </w:t>
      </w:r>
      <w:r w:rsidR="001D5711">
        <w:t xml:space="preserve">on </w:t>
      </w:r>
      <w:r>
        <w:t>the nation-wide</w:t>
      </w:r>
      <w:r w:rsidR="001D5711">
        <w:t>,</w:t>
      </w:r>
      <w:r>
        <w:t xml:space="preserve"> anti-abolitionist mobs, usually dedicating a few pages or a chapter. Furthermore, historical examples of free speech restrictions are mainly dismissed as deviants from the norm, as many historians are quick to point out that no northern state passed any anti-abolitionist law. While this is certainly true, dismissing the events of the mid-1830s as exceptions overlooks the fact that half of the United States had laws restricting abolitionist print for nearly thirty years. </w:t>
      </w:r>
    </w:p>
    <w:p w14:paraId="0B3989B8" w14:textId="2F4511B9" w:rsidR="00EF5ED6" w:rsidRDefault="00EF5ED6" w:rsidP="000D2C61">
      <w:pPr>
        <w:spacing w:line="480" w:lineRule="auto"/>
      </w:pPr>
      <w:r>
        <w:tab/>
        <w:t>Of the books that do study the pamphlet campaign and its free speech controversy, they mainly examine it in the context of abolitionist print culture. Ford Risl</w:t>
      </w:r>
      <w:r w:rsidR="004D0ADA">
        <w:t>e</w:t>
      </w:r>
      <w:r>
        <w:t xml:space="preserve">y’s text </w:t>
      </w:r>
      <w:r>
        <w:rPr>
          <w:i/>
        </w:rPr>
        <w:t xml:space="preserve">Abolition and the Press </w:t>
      </w:r>
      <w:r>
        <w:t xml:space="preserve">studies the entirety of abolitionist print culture, including the pamphlet campaign, and how it worked “to end slavery in the United States.” He notes the explosion of abolitionist publications between 1820 and 1865, and how that explosion led to “hysteria in many communities, both in the South and North.” The AASS’ “crusade of moral suasion” was an aggressive program that produced an aggressive reaction through violence, vigilance committees, cash bounties, and anti-abolitionist legislation. Every southern state except Kentucky passed anti-abolitionist legislation “preventing the dissemination of abolitionist literature and prohibiting the organization of antislavery societies within its borders,” and those southern states received “a sympathetic response” from many of their northern brethren. It was evidence that anti-abolitionist opinions were alive and well in the anti-slavery North. However, while the pamphlet campaign “caused plenty of controversy, it produced few converts to the antislavery cause.” </w:t>
      </w:r>
      <w:r w:rsidR="00311042">
        <w:t>At</w:t>
      </w:r>
      <w:r>
        <w:t xml:space="preserve"> the very least,</w:t>
      </w:r>
      <w:r w:rsidR="00311042">
        <w:t xml:space="preserve"> however,</w:t>
      </w:r>
      <w:r>
        <w:t xml:space="preserve"> </w:t>
      </w:r>
      <w:r w:rsidR="002C35E4">
        <w:t>n</w:t>
      </w:r>
      <w:r>
        <w:t>ortherners became tolerant of abolitionist views, especially after the death of Elijah Lovejoy, the “first martyr” of the abolitionist cause.</w:t>
      </w:r>
      <w:r>
        <w:rPr>
          <w:rStyle w:val="FootnoteReference"/>
        </w:rPr>
        <w:footnoteReference w:id="14"/>
      </w:r>
    </w:p>
    <w:p w14:paraId="396506D3" w14:textId="0F92B22E" w:rsidR="00EF5ED6" w:rsidRDefault="00EF5ED6" w:rsidP="000D2C61">
      <w:pPr>
        <w:spacing w:line="480" w:lineRule="auto"/>
      </w:pPr>
      <w:r>
        <w:tab/>
        <w:t xml:space="preserve">Trish Loughran’s </w:t>
      </w:r>
      <w:r>
        <w:rPr>
          <w:i/>
        </w:rPr>
        <w:t xml:space="preserve">Republic in Print </w:t>
      </w:r>
      <w:r>
        <w:t>takes a broader approach, studying the role of print culture in U.S. nation building. The AASS pamphlet campaign was a part of that trend, and Loughran questions how “slavery…could persevere for so long in one part of the country while being rejected in another.” The answer, she states, lies in America’s localized print culture. While print was spreading across the continent, it was reinforcing local trends rather than weakening them. “There was no ‘nationalized’ print public sphere,” she writes, “…but rather a proliferating variety of local and regional reading publics scattered across a vast and diverse geographical space.” This became ever more apparent when print from one locality infiltrated another. The pamphlet campaign was an attempt by abolitionists to turn slavery into a national problem by reaching out to a national audience. However, by bombarding multiple regions with their newspapers, letters, and pamphlets, the abolitionists caused people to feel threatened, thus leading to violent reaction</w:t>
      </w:r>
      <w:r w:rsidR="002C35E4">
        <w:t>s</w:t>
      </w:r>
      <w:r>
        <w:t>. It was, according to Loughran, “a local reaction to a national (or interregional) conflict.” It was also a reaction to an increasingly nationalizing public sphere. As print from other parts of the country began to spread, it “produced an enhanced sense of difference” rather than an enhanced sense of commonality, putting a light on cultural and ideological differences held by different regions of the country.</w:t>
      </w:r>
      <w:r>
        <w:rPr>
          <w:rStyle w:val="FootnoteReference"/>
        </w:rPr>
        <w:footnoteReference w:id="15"/>
      </w:r>
    </w:p>
    <w:p w14:paraId="73C3A238" w14:textId="4FD07CEA" w:rsidR="00EF5ED6" w:rsidRDefault="00EF5ED6" w:rsidP="000D2C61">
      <w:pPr>
        <w:spacing w:line="480" w:lineRule="auto"/>
      </w:pPr>
      <w:r>
        <w:tab/>
        <w:t xml:space="preserve">While Risley’s and Loughran’s treatment of the pamphlet campaign is thorough, there is not much time dedicated to the free speech controversy. If there is discussion, they, and other historians, focus on the controversy in the South, or on the mobs in the North. Lorman Ratner’s </w:t>
      </w:r>
      <w:r>
        <w:rPr>
          <w:i/>
        </w:rPr>
        <w:t xml:space="preserve">Powder Keg </w:t>
      </w:r>
      <w:r>
        <w:t>is a bit of an exception. One of the few texts to focus on northern anti-abolitionism, Ratner’s text mainly deals with anti-abolitionist thought—that is, the general ideologies and viewpoints held by many northerners during this time</w:t>
      </w:r>
      <w:r w:rsidR="002C35E4">
        <w:t xml:space="preserve"> period</w:t>
      </w:r>
      <w:r>
        <w:t>. Indeed, he is quick to point out that anti-abolitionist sentiment was not an aberration, but a real and sometimes dangerous ideology that “cannot be explained as a result of direct and sympathetic association either with slavery or with the South.” Anti-abolitionism was not (unlike their abolitionist counterparts) an organized movement, but “a popular reaction against a set of principles against proposed courses of action.” That reaction was the result of several, underlying fears, from distrust of foreigners to concerns for the preservation of the Union. While Ratner’s text is clearly a thorough analysis of antebellum northerners’ views on abolitionism, it tackles the AASS pamphlet campaign only briefly, taking a broader look at anti-abolitionist ideology.</w:t>
      </w:r>
      <w:r>
        <w:rPr>
          <w:rStyle w:val="FootnoteReference"/>
        </w:rPr>
        <w:footnoteReference w:id="16"/>
      </w:r>
    </w:p>
    <w:p w14:paraId="333328D1" w14:textId="11768325" w:rsidR="00EF5ED6" w:rsidRDefault="00EF5ED6" w:rsidP="000D2C61">
      <w:pPr>
        <w:spacing w:line="480" w:lineRule="auto"/>
      </w:pPr>
      <w:r>
        <w:tab/>
        <w:t xml:space="preserve">Leonard Richards’ </w:t>
      </w:r>
      <w:r>
        <w:rPr>
          <w:i/>
        </w:rPr>
        <w:t xml:space="preserve">Gentlemen of Property and Standing </w:t>
      </w:r>
      <w:r>
        <w:t xml:space="preserve">also focuses on northern anti-abolitionism, but in the context of mobs and riots. His text proves that there was an “upsurge of violence” throughout the 1830s that was “the inevitable result of organized antislavery.” This is not to say that abolitionism directly caused northern mobs and riots, but rather the ideas they proposed led many northern leaders (“gentlemen of property and standing,” if you will) to silence abolitionists in any way that they could. They did so for many of the same reasons that Ratner outlined in his text—preservation </w:t>
      </w:r>
      <w:r w:rsidR="00AA2B1F">
        <w:t>of</w:t>
      </w:r>
      <w:r>
        <w:t xml:space="preserve"> the Union, a distrust of foreigners, and so forth. Richards further argues that historians can no longer “dismiss these happenings as simply aberrations in an otherwise healthy and enlightened society,” insisting that “the traditional view of the ‘antislavery North’ is largely a myth…[with] strong indications that anti-abolitionism, rather than abolitionism, prevailed.”</w:t>
      </w:r>
      <w:r>
        <w:rPr>
          <w:rStyle w:val="FootnoteReference"/>
        </w:rPr>
        <w:footnoteReference w:id="17"/>
      </w:r>
    </w:p>
    <w:p w14:paraId="4CB1B81C" w14:textId="77777777" w:rsidR="00EF5ED6" w:rsidRDefault="00EF5ED6" w:rsidP="000D2C61">
      <w:pPr>
        <w:spacing w:line="480" w:lineRule="auto"/>
      </w:pPr>
      <w:r>
        <w:tab/>
        <w:t xml:space="preserve">While both Ratner’s and Richards’ texts are important in the general study of anti-abolitionism, they are outdated. Both texts were published in the late 1960s to the early 1970s, and for the following forty years anti-abolitionism has taken a back seat. This is not to say that historians have not examined anti-abolitionism at all, but few have dedicated entire projects to the subject. Most deal with the topic similar to Risley and Loughran—while discussing abolitionism as a whole. This includes Manish Sinha’s </w:t>
      </w:r>
      <w:r>
        <w:rPr>
          <w:i/>
        </w:rPr>
        <w:t>The Slave’s Cause.</w:t>
      </w:r>
      <w:r>
        <w:t xml:space="preserve"> Arguing, like the other historians discussed in this paper, that anti-abolitionism was the norm, she writes: “For the great majority of Americans, the idea of immediate emancipation was sheer fanaticism…[it was] radical beyond anything seen in the nation’s history in its social, political, and economic implications.” And as abolitionists became more vocal, anti-abolitionists became more violent. “Colonization opposition, a jingoist and racist press, the lackadaisical response by and complicity of law enforcement authorities, and conservative elites’ dread of disrupting economic and political ties with the slave South stoked violence to stamp out the infant movement [of abolitionism].” Yet, as the civil liberties of </w:t>
      </w:r>
      <w:r>
        <w:rPr>
          <w:i/>
        </w:rPr>
        <w:t xml:space="preserve">whites </w:t>
      </w:r>
      <w:r>
        <w:t>became threatened, white Northerners began to soften on the idea of abolitionism. Especially after the death of Elijah Lovejoy, Sinha argues, the anti-abolitionist mobs and riots soon subsided.</w:t>
      </w:r>
      <w:r>
        <w:rPr>
          <w:rStyle w:val="FootnoteReference"/>
        </w:rPr>
        <w:footnoteReference w:id="18"/>
      </w:r>
      <w:r>
        <w:t xml:space="preserve"> </w:t>
      </w:r>
    </w:p>
    <w:p w14:paraId="58F0F05F" w14:textId="2529ACE1" w:rsidR="00EF5ED6" w:rsidRDefault="00EF5ED6" w:rsidP="000D2C61">
      <w:pPr>
        <w:spacing w:line="480" w:lineRule="auto"/>
      </w:pPr>
      <w:r>
        <w:tab/>
        <w:t xml:space="preserve">And indeed, for many historians, the death of Elijah Lovejoy is the major turning point for abolitionism and civil liberties, at least for the North. Both Sinha and Risley point to Lovejoy’s “martyrdom” as the beginning of the end of anti-abolitionist violence. </w:t>
      </w:r>
      <w:r w:rsidR="00BF1C31">
        <w:t xml:space="preserve">The historian </w:t>
      </w:r>
      <w:r>
        <w:t xml:space="preserve">Russel Nye also goes along with this assessment, insisting that the death of Lovejoy “rocked the North to its foundations. With it, abolitionism and freedom of the press merged into a single cause.” As a result, Lovejoy became a martyr to the abolitionist cause, and the </w:t>
      </w:r>
      <w:r w:rsidR="00D96AE7">
        <w:t>n</w:t>
      </w:r>
      <w:r>
        <w:t>orthern anti-abolitionist mobs dwindle</w:t>
      </w:r>
      <w:r w:rsidR="00DE5432">
        <w:t>d</w:t>
      </w:r>
      <w:r>
        <w:t xml:space="preserve"> as the threat to whites’ civil liberties started to become a reality.</w:t>
      </w:r>
      <w:r>
        <w:rPr>
          <w:rStyle w:val="FootnoteReference"/>
        </w:rPr>
        <w:footnoteReference w:id="19"/>
      </w:r>
    </w:p>
    <w:p w14:paraId="2E42636D" w14:textId="6E779288" w:rsidR="00EF5ED6" w:rsidRDefault="00EF5ED6" w:rsidP="000D2C61">
      <w:pPr>
        <w:spacing w:line="480" w:lineRule="auto"/>
      </w:pPr>
      <w:r>
        <w:tab/>
        <w:t xml:space="preserve">Lovejoy’s death may have ended the riots, but the AASS pamphlet campaign had already become inextricably linked with them. As a result, the pamphlet campaign is generally studied in the context of the mobs and riots that ensued. Richard John in his text </w:t>
      </w:r>
      <w:r>
        <w:rPr>
          <w:i/>
        </w:rPr>
        <w:t>Spreading the News</w:t>
      </w:r>
      <w:r>
        <w:t>, for example, dedicates an entire chapter to the pamphlet campaign, but concentrates on the riot in Charleston, South Carolina and the national response to it. He argues, as well, that the violent reactions by the anti-abolitionists created supporters if not for abolitionism, but at the very least for abolitionists’ civil liberties. In other words, by the end of the 1830s, northerners saw the pamphlet campaign as a symbol of “the emerging alliance between the slaveholding South, the mass party, and the central government that would soon lead even sober-minded northerners like Abraham Lincoln to conclude that proslavery conspirators had captured the central government in order to consolidate the control of the southern-backed ‘slave power’ over American public life.”</w:t>
      </w:r>
      <w:r>
        <w:rPr>
          <w:rStyle w:val="FootnoteReference"/>
        </w:rPr>
        <w:footnoteReference w:id="20"/>
      </w:r>
    </w:p>
    <w:p w14:paraId="43ED0A30" w14:textId="479A0E01" w:rsidR="00EF5ED6" w:rsidRDefault="00EF5ED6" w:rsidP="000D2C61">
      <w:pPr>
        <w:spacing w:line="480" w:lineRule="auto"/>
        <w:ind w:firstLine="720"/>
      </w:pPr>
      <w:r>
        <w:t>The violence of the 1830s is central to studying the pamphlet campaign, but because northern anti-abolitionist violence quieted down after Lovejoy’s death, one gets the impression that the mid-1830</w:t>
      </w:r>
      <w:r w:rsidR="00D60F9F">
        <w:t>’</w:t>
      </w:r>
      <w:r>
        <w:t xml:space="preserve">s attacks on free speech was just a deviant from the norm, rather than </w:t>
      </w:r>
      <w:r>
        <w:rPr>
          <w:i/>
        </w:rPr>
        <w:t xml:space="preserve">the </w:t>
      </w:r>
      <w:r>
        <w:t>norm. Paul Starr, for instance, argues that “the violations of the First Amendment…[were] instances [that] should not obscure the more general pattern during the antebellum era.” On the whole, the United States “established free speech as a constitutional principle, and the Constitution itself was written and published so that ordinary citizens could read it.” By creating a postal network and subsidizing newspapers, for example, the United States established a policy of unrestricted free speech. The South, however, “conspicuously deviated from this pattern…The defense of the slave system led, by a certain logic, to a general hostility to the easy circulation of ideas.”</w:t>
      </w:r>
      <w:r>
        <w:rPr>
          <w:rStyle w:val="FootnoteReference"/>
        </w:rPr>
        <w:footnoteReference w:id="21"/>
      </w:r>
    </w:p>
    <w:p w14:paraId="77ACB91D" w14:textId="33FEF735" w:rsidR="00EF5ED6" w:rsidRDefault="00EF5ED6" w:rsidP="000D2C61">
      <w:pPr>
        <w:spacing w:line="480" w:lineRule="auto"/>
        <w:ind w:firstLine="720"/>
      </w:pPr>
      <w:r>
        <w:t xml:space="preserve">While it is true that the northern states, </w:t>
      </w:r>
      <w:r>
        <w:rPr>
          <w:i/>
        </w:rPr>
        <w:t xml:space="preserve">after </w:t>
      </w:r>
      <w:r>
        <w:t>1838, recommitted themselves to free speech ideals, saying that the South “deviated” from this pattern overlooks the fact that a sizable and influential portion of the United States supported restrictions on individuals</w:t>
      </w:r>
      <w:r w:rsidR="00A33E80">
        <w:t>’</w:t>
      </w:r>
      <w:r>
        <w:t xml:space="preserve"> First Amendment Rights. When nearly half of the states in the Union “deviates” from a pattern, that is not a deviation but a pattern in of itself. Furthermore, these laws restricting abolitionist print remained in place until the end of the Civil War. If something lasts for nearly thirty years, is it still a deviation? By labeling the South as the deviants, </w:t>
      </w:r>
      <w:r w:rsidR="00EF1140">
        <w:t>one is</w:t>
      </w:r>
      <w:r>
        <w:t xml:space="preserve"> labeling the North as the norm and clumping all Americans into that category when, in reality, Americans had varying opinions on free speech, slavery, and abolitionism. </w:t>
      </w:r>
    </w:p>
    <w:p w14:paraId="38467A08" w14:textId="07433FD2" w:rsidR="00EF5ED6" w:rsidRDefault="00EF5ED6" w:rsidP="000D2C61">
      <w:pPr>
        <w:spacing w:line="480" w:lineRule="auto"/>
        <w:ind w:firstLine="720"/>
      </w:pPr>
      <w:r>
        <w:t>Additionally, by treating the mid-1830</w:t>
      </w:r>
      <w:r w:rsidR="00A33E80">
        <w:t>’</w:t>
      </w:r>
      <w:r>
        <w:t xml:space="preserve">s as an aberration, one also ignores what people thought </w:t>
      </w:r>
      <w:r>
        <w:rPr>
          <w:i/>
        </w:rPr>
        <w:t xml:space="preserve">before </w:t>
      </w:r>
      <w:r>
        <w:t xml:space="preserve">the abolitionists started their pamphlet campaign. As William Novak points out in his book </w:t>
      </w:r>
      <w:r>
        <w:rPr>
          <w:i/>
        </w:rPr>
        <w:t xml:space="preserve">The People’s Welfare, </w:t>
      </w:r>
      <w:r>
        <w:t>the belief in restricting civil liberties was alive and well in the antebellum period. “Civil liberty,” he argues, “consisted only in those freedoms consistent with the laws of the land. Such liberty was never absolute, it always had to conform to the superior power of self-governing communities to legislate and regulate in the public interest.” In other words, one’s own rights and liberties could not harm the welfare of the community. Civil liberties—including free speech—were “relative and limited,” defined and subject to the society and laws “from which they sprang.” Individuals, as a member of society, had duties to their fellow man or woman, and that duty included causing no harm to other members. No individual right could transcend the rights of the community. As a result, local institutions, seeking the protection and welfare of their society, could regulate individual liberties if those liberties harmed other members of the community. This view of civil liberties only began to change in the latter half of the 19</w:t>
      </w:r>
      <w:r w:rsidRPr="00F84650">
        <w:rPr>
          <w:vertAlign w:val="superscript"/>
        </w:rPr>
        <w:t>th</w:t>
      </w:r>
      <w:r>
        <w:t xml:space="preserve"> century.</w:t>
      </w:r>
      <w:r>
        <w:rPr>
          <w:rStyle w:val="FootnoteReference"/>
        </w:rPr>
        <w:footnoteReference w:id="22"/>
      </w:r>
      <w:r>
        <w:t xml:space="preserve"> Novak writes: </w:t>
      </w:r>
    </w:p>
    <w:p w14:paraId="02C45F59" w14:textId="77777777" w:rsidR="00EF5ED6" w:rsidRDefault="00EF5ED6" w:rsidP="000D2C61">
      <w:pPr>
        <w:ind w:left="1440" w:right="1440"/>
        <w:jc w:val="both"/>
      </w:pPr>
      <w:r>
        <w:t xml:space="preserve">Abolitionism, emancipation, and radical Republicanism renewed interest in the inherent, natural, and absolute rights of individuals, dethroning a public-spirited common law as the source of American fundamental law. In contrast to the law of </w:t>
      </w:r>
      <w:r>
        <w:rPr>
          <w:i/>
        </w:rPr>
        <w:t xml:space="preserve">salus populi </w:t>
      </w:r>
      <w:r>
        <w:t>[the people’s welfare], this new ‘higher’ constitutionalism emphasized individual freedoms and personal autonomy rather than the duties incumbent upon members of organized and regulated communities.</w:t>
      </w:r>
      <w:r>
        <w:rPr>
          <w:rStyle w:val="FootnoteReference"/>
        </w:rPr>
        <w:footnoteReference w:id="23"/>
      </w:r>
    </w:p>
    <w:p w14:paraId="428A9606" w14:textId="77777777" w:rsidR="00EF5ED6" w:rsidRDefault="00EF5ED6" w:rsidP="000D2C61">
      <w:pPr>
        <w:ind w:left="1440" w:right="1440"/>
        <w:jc w:val="both"/>
      </w:pPr>
    </w:p>
    <w:p w14:paraId="59AA42F7" w14:textId="39F415F5" w:rsidR="00EF5ED6" w:rsidRDefault="00EF5ED6" w:rsidP="000D2C61">
      <w:pPr>
        <w:spacing w:line="480" w:lineRule="auto"/>
      </w:pPr>
      <w:r>
        <w:tab/>
        <w:t>Therefore, the belief in regulated civil liberties existed within the United States well before the abolitionists started mailing their pamphlets. It was hardly an “aberration” or “deviation” when people started calling for anti-abolitionist legislation. In reality, those calls were rooted in a 19</w:t>
      </w:r>
      <w:r w:rsidRPr="0047621A">
        <w:rPr>
          <w:vertAlign w:val="superscript"/>
        </w:rPr>
        <w:t>th</w:t>
      </w:r>
      <w:r>
        <w:t xml:space="preserve"> century philosophy of </w:t>
      </w:r>
      <w:r>
        <w:rPr>
          <w:i/>
        </w:rPr>
        <w:t xml:space="preserve">salus populi </w:t>
      </w:r>
      <w:r>
        <w:t>that supported regulations on free speech and press. As such, we should not treat the mid-1830s anti-abolitionist crusade as an aberration, but a reflection of real ideas and emotions that existed in the North and South during this time.</w:t>
      </w:r>
    </w:p>
    <w:p w14:paraId="0F6D5335" w14:textId="701DE2F4" w:rsidR="00EF5ED6" w:rsidRDefault="00EF5ED6" w:rsidP="000D2C61">
      <w:pPr>
        <w:spacing w:line="480" w:lineRule="auto"/>
      </w:pPr>
    </w:p>
    <w:p w14:paraId="4598AE84" w14:textId="5896AA05" w:rsidR="00EF5ED6" w:rsidRDefault="00EF5ED6" w:rsidP="000D2C61">
      <w:pPr>
        <w:spacing w:line="480" w:lineRule="auto"/>
      </w:pPr>
    </w:p>
    <w:p w14:paraId="270569E5" w14:textId="15BC3522" w:rsidR="00EE4539" w:rsidRDefault="00EE4539" w:rsidP="000D2C61">
      <w:pPr>
        <w:spacing w:line="480" w:lineRule="auto"/>
      </w:pPr>
    </w:p>
    <w:p w14:paraId="704F2301" w14:textId="26FECC69" w:rsidR="00EE4539" w:rsidRDefault="00EE4539" w:rsidP="000D2C61">
      <w:pPr>
        <w:spacing w:line="480" w:lineRule="auto"/>
      </w:pPr>
    </w:p>
    <w:p w14:paraId="17F4931E" w14:textId="77777777" w:rsidR="00EE4539" w:rsidRDefault="00EE4539" w:rsidP="000D2C61">
      <w:pPr>
        <w:spacing w:line="480" w:lineRule="auto"/>
      </w:pPr>
    </w:p>
    <w:p w14:paraId="7B766D1B" w14:textId="0944ABC2" w:rsidR="00EF5ED6" w:rsidRDefault="00EF5ED6" w:rsidP="000D2C61">
      <w:pPr>
        <w:spacing w:line="480" w:lineRule="auto"/>
      </w:pPr>
    </w:p>
    <w:p w14:paraId="29700E7B" w14:textId="49CD5EB9" w:rsidR="00EF5ED6" w:rsidRDefault="00EF1140" w:rsidP="000D2C61">
      <w:pPr>
        <w:spacing w:line="480" w:lineRule="auto"/>
        <w:jc w:val="center"/>
        <w:rPr>
          <w:u w:val="single"/>
        </w:rPr>
      </w:pPr>
      <w:r>
        <w:rPr>
          <w:u w:val="single"/>
        </w:rPr>
        <w:t>The Pamphlet Campaign</w:t>
      </w:r>
    </w:p>
    <w:p w14:paraId="79C94CFE" w14:textId="1E41EBA9" w:rsidR="00EF5ED6" w:rsidRDefault="00EF5ED6" w:rsidP="000D2C61">
      <w:pPr>
        <w:spacing w:line="480" w:lineRule="auto"/>
        <w:jc w:val="center"/>
        <w:rPr>
          <w:b/>
        </w:rPr>
      </w:pPr>
      <w:r>
        <w:rPr>
          <w:b/>
        </w:rPr>
        <w:t>“The Work of an Incendiary”</w:t>
      </w:r>
    </w:p>
    <w:p w14:paraId="3A9BAC8D" w14:textId="55476720" w:rsidR="00EF5ED6" w:rsidRDefault="00EF5ED6" w:rsidP="000D2C61">
      <w:pPr>
        <w:spacing w:line="480" w:lineRule="auto"/>
      </w:pPr>
      <w:r>
        <w:tab/>
        <w:t xml:space="preserve">In March of 1832, Judge Thacher from the Municipal Court of Boston spoke before a grand jury on the abolitionist pamphlet campaign. By causing “irritation in the minds of the people” and promoting “public mischief,” such publications, Judge Thacher </w:t>
      </w:r>
      <w:r w:rsidR="00D96AE7">
        <w:t>ar</w:t>
      </w:r>
      <w:r w:rsidR="00B66839">
        <w:t>gu</w:t>
      </w:r>
      <w:r w:rsidR="00D96AE7">
        <w:t>ed</w:t>
      </w:r>
      <w:r>
        <w:t>, could only be the products of an incendiary movement. “To attempt to confound the elements of society,” Judge Thacher proclaimed, “is the work of an incendiary…[S]ociety must not suffer the passions of men to be its legislators. If defects exist in the political system, the wisdom of sages of the state ought to be put in requisition to effect their amendment. In other hands, an unskillful remedy will be apt to increase the disease.” Clearly, the abolitionists were overstepping their bounds, causing chaos and violence in the process.</w:t>
      </w:r>
      <w:r>
        <w:rPr>
          <w:rStyle w:val="FootnoteReference"/>
        </w:rPr>
        <w:footnoteReference w:id="24"/>
      </w:r>
    </w:p>
    <w:p w14:paraId="013775DE" w14:textId="607F6711" w:rsidR="00EF5ED6" w:rsidRDefault="00EF5ED6" w:rsidP="000D2C61">
      <w:pPr>
        <w:spacing w:line="480" w:lineRule="auto"/>
      </w:pPr>
      <w:r>
        <w:tab/>
        <w:t xml:space="preserve">While there is no evidence to prove that the pamphlets, newspapers, and images abolitionists sent into the South stoked the flames of violence, white northerners did not hesitate to </w:t>
      </w:r>
      <w:r w:rsidR="0010358E">
        <w:t>draw</w:t>
      </w:r>
      <w:r>
        <w:t xml:space="preserve"> </w:t>
      </w:r>
      <w:r w:rsidR="0010358E">
        <w:t>such a</w:t>
      </w:r>
      <w:r>
        <w:t xml:space="preserve"> correlation. At a meeting in New Haven, Connecticut, citizens declared that “the reckless course of some professed friends of the cause of freedom, whose efforts under the </w:t>
      </w:r>
      <w:r>
        <w:rPr>
          <w:i/>
        </w:rPr>
        <w:t xml:space="preserve">mask </w:t>
      </w:r>
      <w:r>
        <w:t xml:space="preserve">of philanthropy, have infused gall and bitterness into our social system.” And in his text </w:t>
      </w:r>
      <w:r>
        <w:rPr>
          <w:i/>
        </w:rPr>
        <w:t xml:space="preserve">The American Democrat, </w:t>
      </w:r>
      <w:r>
        <w:t>James Fenimore Cooper argued that the press was “like fire…an excellent servant, but a terrible master” that would destroy the country. Abolitionists, specifically, worked “under the pretence of protecting publick [sic] morals…and under the semblance of maintaining liberty,” when in reality the movement “is gradually establishing a despotism as ruthless, as grasping, and one that is quite as vulgar as that of any Christian state known.” In short, because abolitionists were too extreme, too insolent, and too uncompromising, they were insulting southerners and their northern allies, causing violent reactions from those groups.</w:t>
      </w:r>
      <w:r>
        <w:rPr>
          <w:rStyle w:val="FootnoteReference"/>
        </w:rPr>
        <w:footnoteReference w:id="25"/>
      </w:r>
    </w:p>
    <w:p w14:paraId="47B1748E" w14:textId="79E275DF" w:rsidR="00EF5ED6" w:rsidRDefault="00EF5ED6" w:rsidP="000D2C61">
      <w:pPr>
        <w:spacing w:line="480" w:lineRule="auto"/>
      </w:pPr>
      <w:r>
        <w:tab/>
        <w:t xml:space="preserve">Abolitionists, it should be made clear, were not the ones in the mobs and riots. Nevertheless, the violent reaction to their papers caused many white northerners to believe that abolitionism was an incendiary movement, and must be treated as such. No matter their intentions, these </w:t>
      </w:r>
      <w:r w:rsidR="0014434F">
        <w:t xml:space="preserve">abolitionists were </w:t>
      </w:r>
      <w:r>
        <w:t>“tumultuous philanthropists,” the Reverend Cortland Van Rensselaer said at an anti-abolitionist meeting in Albany</w:t>
      </w:r>
      <w:r w:rsidR="0014434F">
        <w:t>.</w:t>
      </w:r>
      <w:r>
        <w:t xml:space="preserve"> </w:t>
      </w:r>
      <w:r w:rsidR="0014434F">
        <w:t>“T</w:t>
      </w:r>
      <w:r>
        <w:t>here can be no doubt</w:t>
      </w:r>
      <w:r w:rsidR="0014434F">
        <w:t>,” he continued,</w:t>
      </w:r>
      <w:r>
        <w:t xml:space="preserve"> </w:t>
      </w:r>
      <w:r w:rsidR="0014434F">
        <w:t>“</w:t>
      </w:r>
      <w:r>
        <w:t xml:space="preserve">of the </w:t>
      </w:r>
      <w:r>
        <w:rPr>
          <w:i/>
        </w:rPr>
        <w:t xml:space="preserve">incendiary tendency </w:t>
      </w:r>
      <w:r>
        <w:t xml:space="preserve">of their measures and publications.” An anti-abolitionist meeting in Indiana encouraged the abolitionists “to abandon their fanatical career…which may lead to </w:t>
      </w:r>
      <w:r>
        <w:rPr>
          <w:i/>
        </w:rPr>
        <w:t xml:space="preserve">Arson, </w:t>
      </w:r>
      <w:r>
        <w:t>Murder, and other Crimes, within the limits of our hitherto peaceful State[.]” And in a message to the State of New York, Governor W. L. Marcy argued that the abolitionists had awakened a “public indignation” which “has broken over the restraints of law, and led to dangerous tumults and commotions[.]”</w:t>
      </w:r>
      <w:r>
        <w:rPr>
          <w:rStyle w:val="FootnoteReference"/>
        </w:rPr>
        <w:footnoteReference w:id="26"/>
      </w:r>
    </w:p>
    <w:p w14:paraId="7DD13A2F" w14:textId="6961F574" w:rsidR="00EF5ED6" w:rsidRDefault="00EF5ED6" w:rsidP="000D2C61">
      <w:pPr>
        <w:spacing w:line="480" w:lineRule="auto"/>
      </w:pPr>
      <w:r>
        <w:tab/>
        <w:t>Instead of putting the blame on the anti-abolitionists who were causing the violence, white northerners put the blame squarely on the shoulders of the abolitionists who were sending their “incendiary” tracts into the South. The anti-abolitionists, many insisted, were merely acting in self-defense. Postmaster General Amos Kendall wrote that “lawless power is to be resisted; but power which is exerted in palpable self-defence [sic], is not lawless.”</w:t>
      </w:r>
      <w:r>
        <w:rPr>
          <w:rStyle w:val="FootnoteReference"/>
        </w:rPr>
        <w:footnoteReference w:id="27"/>
      </w:r>
      <w:r>
        <w:t xml:space="preserve"> This argument was taken up by many anti-abolitionists and their sympathizers in the North. The editor of the </w:t>
      </w:r>
      <w:r w:rsidRPr="00D96AE7">
        <w:rPr>
          <w:i/>
        </w:rPr>
        <w:t>Sunday Morning News</w:t>
      </w:r>
      <w:r>
        <w:t xml:space="preserve"> in New York City maintained that in some cases, the law was not enough to settle dangerous disputes. “But you will find,” he wrote, </w:t>
      </w:r>
    </w:p>
    <w:p w14:paraId="5EB21722" w14:textId="77777777" w:rsidR="00EF5ED6" w:rsidRDefault="00EF5ED6" w:rsidP="000D2C61">
      <w:pPr>
        <w:ind w:left="1440" w:right="1440"/>
        <w:jc w:val="both"/>
      </w:pPr>
      <w:r>
        <w:t>…when we are satisfied that the incendiaries are only to be put down by the hand of violence, that we have not forgotten the spirit of our fathers, which led them to destroy the Gaspee, and throw the tea of Englishmen into the ocean, even though the act was not sanctioned by the law of the land.</w:t>
      </w:r>
      <w:r>
        <w:rPr>
          <w:rStyle w:val="FootnoteReference"/>
        </w:rPr>
        <w:footnoteReference w:id="28"/>
      </w:r>
    </w:p>
    <w:p w14:paraId="712E4924" w14:textId="77777777" w:rsidR="00EF5ED6" w:rsidRDefault="00EF5ED6" w:rsidP="000D2C61">
      <w:pPr>
        <w:ind w:left="1440" w:right="1440"/>
        <w:jc w:val="both"/>
      </w:pPr>
    </w:p>
    <w:p w14:paraId="17B8E976" w14:textId="377302A3" w:rsidR="00EF5ED6" w:rsidRPr="00404601" w:rsidRDefault="00EF5ED6" w:rsidP="000D2C61">
      <w:pPr>
        <w:spacing w:line="480" w:lineRule="auto"/>
      </w:pPr>
      <w:r>
        <w:tab/>
        <w:t xml:space="preserve">By invoking the American Revolution, the editor </w:t>
      </w:r>
      <w:r w:rsidR="00D96AE7">
        <w:t>wa</w:t>
      </w:r>
      <w:r>
        <w:t xml:space="preserve">s portraying how, in extreme cases, the law must be transcended, and people must take matters into their own hands for their own protection. This was especially the case when it came to the risk of slave insurrections. In an article from the </w:t>
      </w:r>
      <w:r>
        <w:rPr>
          <w:i/>
        </w:rPr>
        <w:t>New York Spectator</w:t>
      </w:r>
      <w:r>
        <w:t xml:space="preserve">, the author stated that the abolitionist papers were “of the most incendiary and inflammatory character, some of them being embellished with cuts of various kinds, calculated to excite and inflame the mind of the slave,—and to poison his already embittered feelings against his master.” Judge Thacher </w:t>
      </w:r>
      <w:r w:rsidR="00D96AE7">
        <w:t xml:space="preserve">also </w:t>
      </w:r>
      <w:r>
        <w:t xml:space="preserve">concluded that these publications “put into the hands of the slave the sword and the brand,” and an article from </w:t>
      </w:r>
      <w:r>
        <w:rPr>
          <w:i/>
        </w:rPr>
        <w:t xml:space="preserve">The Religious Intelligencer </w:t>
      </w:r>
      <w:r>
        <w:t>in New Haven proclaimed that while abolitionists insist they do not call for insurrection, people are not told how abolitionists “show [slaves] the Hand-bill, which bears the figure of a Negro in chains, and quotes scripture to prove that all slaveholders deserve to be put to death.”</w:t>
      </w:r>
      <w:r>
        <w:rPr>
          <w:rStyle w:val="FootnoteReference"/>
        </w:rPr>
        <w:footnoteReference w:id="29"/>
      </w:r>
    </w:p>
    <w:p w14:paraId="2BE0FF41" w14:textId="7226F467" w:rsidR="00EF5ED6" w:rsidRDefault="00EF5ED6" w:rsidP="000D2C61">
      <w:pPr>
        <w:spacing w:line="480" w:lineRule="auto"/>
      </w:pPr>
      <w:r>
        <w:tab/>
        <w:t xml:space="preserve">Implied in these testimonials is the belief that the slave system was already cruel and unjust. The slave already had “embittered feelings against his master,” and rightfully so, but the abolitionists could encourage said slave to act on those feelings, putting lives at risk. Not only that, but by creating the threat of slave insurrections, abolitionists were making the situation of the slave even worse. In a communication to the Ohio State Legislature, the Governor insisted that “the efforts of the abolitionist will serve to increase the rigors of slavery; and their publications, if really dangerous, will become more so by the notoriety given to them.” An article in the </w:t>
      </w:r>
      <w:r>
        <w:rPr>
          <w:i/>
        </w:rPr>
        <w:t xml:space="preserve">Western Christian Advocate </w:t>
      </w:r>
      <w:r>
        <w:t xml:space="preserve">from Cincinnati insisted that the abolitionists “shut out every ray of hope from the slave,” by sending their tracts into the South. Such actions were driving southerners away from emancipation, closing “the ear and harden[ing] the heart of the master against appeals in behalf of the slaves.” </w:t>
      </w:r>
      <w:r w:rsidR="009B00E5">
        <w:t>Reverend</w:t>
      </w:r>
      <w:r>
        <w:t xml:space="preserve"> Van Rensselaer even surmised that if peaceable emancipation was still possible, it had been pushed back “at least half a century.” Put plainly, anti-abolitionists believed that the abolitionist papers would cause slaveowners to react harshly towards their slaves, and to double-down on their efforts to protect the slave system. This fear was not exactly unfounded, as many southerners started to invoke the “positive good theory”</w:t>
      </w:r>
      <w:r w:rsidR="005831AA">
        <w:t xml:space="preserve"> at this time,</w:t>
      </w:r>
      <w:r>
        <w:t xml:space="preserve"> arguing that slavery was a beneficial system rather than a necessary evil.</w:t>
      </w:r>
      <w:r>
        <w:rPr>
          <w:rStyle w:val="FootnoteReference"/>
        </w:rPr>
        <w:footnoteReference w:id="30"/>
      </w:r>
    </w:p>
    <w:p w14:paraId="71AD1A9B" w14:textId="77777777" w:rsidR="00EF5ED6" w:rsidRPr="008C3879" w:rsidRDefault="00EF5ED6" w:rsidP="000D2C61">
      <w:pPr>
        <w:spacing w:line="480" w:lineRule="auto"/>
      </w:pPr>
      <w:r>
        <w:tab/>
        <w:t xml:space="preserve">By causing mobs, riots, and slave insurrections, the abolitionist papers were, on the whole, disrupting the public peace. As such, the northern states had to act quickly by restricting abolitionist papers and preventing their distribution into the South. This should be done, in the words of the Indiana organizers, “peaceably if we can, forcibly if we must.” Consequently, citizens across the North either took matters into their own hands, or called upon their legislators to do the same. The article from the </w:t>
      </w:r>
      <w:r>
        <w:rPr>
          <w:i/>
        </w:rPr>
        <w:t xml:space="preserve">Spectator </w:t>
      </w:r>
      <w:r>
        <w:t>described how a group of Philadelphians took a box of abolitionist papers set for the South and sent it “into the middle of the Delaware, and there, with its contents, destroyed.” This was believed to be the “proper course under the circumstances,” and it was “adopted with a view to the peace and quiet of the city[.]” However, this group of Philadelphians had no official authority, and were thus acting outside of the law. Others, like Governor Marcy, decided to take a more legal route. In his address to his state, “for the public interest” and “the preservation of peace among our citizens,” the Governor called upon the legislature “to put an end to the evils which the abolitionists are bringing upon us and the whole country” if the powers of public opinion were not enough to stop them.</w:t>
      </w:r>
      <w:r>
        <w:rPr>
          <w:rStyle w:val="FootnoteReference"/>
        </w:rPr>
        <w:footnoteReference w:id="31"/>
      </w:r>
    </w:p>
    <w:p w14:paraId="18E29CC7" w14:textId="1DDD7EF9" w:rsidR="00EF5ED6" w:rsidRDefault="00EF5ED6" w:rsidP="000D2C61">
      <w:pPr>
        <w:spacing w:line="480" w:lineRule="auto"/>
      </w:pPr>
      <w:r>
        <w:tab/>
        <w:t xml:space="preserve">By labeling the abolitionists as incendiaries, therefore, anti-abolitionists could call for the restriction of their presses without interfering with press freedoms. After all, the rights and prosperity of the community triumphed over all. In his text </w:t>
      </w:r>
      <w:r>
        <w:rPr>
          <w:i/>
        </w:rPr>
        <w:t>The South Vindicated</w:t>
      </w:r>
      <w:r w:rsidR="004C6747">
        <w:rPr>
          <w:i/>
        </w:rPr>
        <w:t xml:space="preserve"> from the Treason and Fanaticism of the Northern Abolitionists</w:t>
      </w:r>
      <w:r>
        <w:rPr>
          <w:i/>
        </w:rPr>
        <w:t xml:space="preserve">, </w:t>
      </w:r>
      <w:r>
        <w:t xml:space="preserve">William Drayton wrote: </w:t>
      </w:r>
    </w:p>
    <w:p w14:paraId="48A54A7F" w14:textId="77777777" w:rsidR="00EF5ED6" w:rsidRDefault="00EF5ED6" w:rsidP="000D2C61">
      <w:pPr>
        <w:ind w:left="1440" w:right="1440"/>
        <w:jc w:val="both"/>
      </w:pPr>
      <w:r>
        <w:t>The right of discussion, the invaluable privilege of talking of the concerns of others, may be retained in full force and virtue by the abolitionists; it is only required, that they should not flood the South with appeals calculated to endanger its tranquility. Their own rights are not assailed; they are only asked to respect the rights of others.</w:t>
      </w:r>
      <w:r>
        <w:rPr>
          <w:rStyle w:val="FootnoteReference"/>
        </w:rPr>
        <w:footnoteReference w:id="32"/>
      </w:r>
    </w:p>
    <w:p w14:paraId="0827B990" w14:textId="77777777" w:rsidR="00EF5ED6" w:rsidRDefault="00EF5ED6" w:rsidP="000D2C61">
      <w:pPr>
        <w:ind w:left="1440" w:right="1440"/>
        <w:jc w:val="both"/>
      </w:pPr>
    </w:p>
    <w:p w14:paraId="77069177" w14:textId="77777777" w:rsidR="00EF5ED6" w:rsidRDefault="00EF5ED6" w:rsidP="000D2C61">
      <w:pPr>
        <w:spacing w:line="480" w:lineRule="auto"/>
      </w:pPr>
      <w:r>
        <w:tab/>
        <w:t xml:space="preserve">While Drayton was born and raised in the South, he had lived in Philadelphia for several years prior to writing his book, and his arguments for the restrictions of press freedoms on the “incendiaries” was, as we have seen, widely shared by other northerners. Additionally, he applies the concept of </w:t>
      </w:r>
      <w:r>
        <w:rPr>
          <w:i/>
        </w:rPr>
        <w:t xml:space="preserve">salus populi </w:t>
      </w:r>
      <w:r>
        <w:t xml:space="preserve">to the situation—arguing that the rights of the community transcended the rights of the abolitionists. The abolitionists, by sending their tracts into the South, were causing violence and chaos throughout the country. Such actions could only be “the work of an incendiary.” By viewing the abolitionist publications as “incendiary publications,” anti-abolitionists were able to call for the restrictions on the abolitionist press, either peaceably or forcibly, without also having to contend with the possible restrictions to the abolitionists’ First Amendment Rights. </w:t>
      </w:r>
    </w:p>
    <w:p w14:paraId="52077F5C" w14:textId="77777777" w:rsidR="00EF5ED6" w:rsidRDefault="00EF5ED6" w:rsidP="000D2C61">
      <w:pPr>
        <w:spacing w:line="480" w:lineRule="auto"/>
        <w:jc w:val="center"/>
        <w:rPr>
          <w:b/>
        </w:rPr>
      </w:pPr>
      <w:r>
        <w:rPr>
          <w:b/>
        </w:rPr>
        <w:t>A Duty to their Country</w:t>
      </w:r>
    </w:p>
    <w:p w14:paraId="04ADD374" w14:textId="3C2446C5" w:rsidR="00EF5ED6" w:rsidRDefault="00EF5ED6" w:rsidP="000D2C61">
      <w:pPr>
        <w:spacing w:line="480" w:lineRule="auto"/>
      </w:pPr>
      <w:r>
        <w:tab/>
        <w:t xml:space="preserve">Both northerners and southerners alike professed love and admiration for the Union. As such, the abolitionists, by forcing the subject of slavery out into the open, was putting that Union in jeopardy. One of the ways this could occur was the abolitionists’ libeling of southerners. Indeed, abolitionist print was considered, in many circles, a libel against the South. On </w:t>
      </w:r>
      <w:r w:rsidR="0099287F">
        <w:t>the</w:t>
      </w:r>
      <w:r>
        <w:t xml:space="preserve"> surface, libel concerns defamatory remarks made in writing or in print, communicated to a third party, which harm someone’s reputation and good name, and subjects them to ridicule and/or financial harm.</w:t>
      </w:r>
      <w:r>
        <w:rPr>
          <w:rStyle w:val="FootnoteReference"/>
        </w:rPr>
        <w:footnoteReference w:id="33"/>
      </w:r>
      <w:r>
        <w:t xml:space="preserve"> Libel laws, therefore, are meant to protect those who come under unreasonable attack, and, as legal historian Norman L. Rosenberg explains, they originated in Western societies in order to “protect the best men” (e.g. government officials).</w:t>
      </w:r>
      <w:r>
        <w:rPr>
          <w:rStyle w:val="FootnoteReference"/>
        </w:rPr>
        <w:footnoteReference w:id="34"/>
      </w:r>
    </w:p>
    <w:p w14:paraId="1B95B341" w14:textId="54FAAD34" w:rsidR="00EF5ED6" w:rsidRDefault="00EF5ED6" w:rsidP="000D2C61">
      <w:pPr>
        <w:spacing w:line="480" w:lineRule="auto"/>
      </w:pPr>
      <w:r>
        <w:tab/>
        <w:t xml:space="preserve">Yet libel laws are not always that simple. Determining whether or not an article is libelous can be </w:t>
      </w:r>
      <w:r w:rsidR="00D85B9F">
        <w:t>difficult</w:t>
      </w:r>
      <w:r>
        <w:t xml:space="preserve"> if the facts produced in the article are true. If an article printed falsehoods, then that “fully demonstrated malicious intent,” but if an article printed defamatory remarks that were also true, was it still</w:t>
      </w:r>
      <w:r w:rsidR="00D85B9F">
        <w:t xml:space="preserve"> a</w:t>
      </w:r>
      <w:r>
        <w:t xml:space="preserve"> libel?</w:t>
      </w:r>
    </w:p>
    <w:p w14:paraId="590A7B3C" w14:textId="2942A4D2" w:rsidR="00EF5ED6" w:rsidRDefault="00EF5ED6" w:rsidP="000D2C61">
      <w:pPr>
        <w:spacing w:line="480" w:lineRule="auto"/>
        <w:ind w:firstLine="720"/>
      </w:pPr>
      <w:r>
        <w:t>In the 1830</w:t>
      </w:r>
      <w:r w:rsidR="003072C4">
        <w:t>’</w:t>
      </w:r>
      <w:r>
        <w:t xml:space="preserve">s, the answer was yes—it could still be a libel. The veracity of the material was not the issue, but the </w:t>
      </w:r>
      <w:r>
        <w:rPr>
          <w:i/>
        </w:rPr>
        <w:t xml:space="preserve">intent. </w:t>
      </w:r>
      <w:r>
        <w:t>The Hamiltonian Doctrine of Libel Law—also known as the “truth-plus” doctrine—asserted that people could publish “injurious statements, though true, for purely malicious motives and without any intention of advancing the public good.”</w:t>
      </w:r>
      <w:r>
        <w:rPr>
          <w:rStyle w:val="FootnoteReference"/>
        </w:rPr>
        <w:footnoteReference w:id="35"/>
      </w:r>
      <w:r>
        <w:t xml:space="preserve"> The emphasis on the public good is crucial, for it is what often proved good intent. In his 1830’s </w:t>
      </w:r>
      <w:r>
        <w:rPr>
          <w:i/>
        </w:rPr>
        <w:t xml:space="preserve">Treatise on the Law of Libel and the Liberty of the Press, </w:t>
      </w:r>
      <w:r>
        <w:t>Thomas Cooper explained how “the liberty of the press consists in the right to publish with impunity, truth, with good motives, and for justifiable ends; whether it respects government, magistracy, or individuals.”</w:t>
      </w:r>
      <w:r>
        <w:rPr>
          <w:rStyle w:val="FootnoteReference"/>
        </w:rPr>
        <w:footnoteReference w:id="36"/>
      </w:r>
      <w:r>
        <w:t xml:space="preserve"> If a statement was defamatory, but also true and published with the intent to protect the public good from corrupt individuals, that statement would be protected </w:t>
      </w:r>
      <w:r w:rsidR="00D85B9F">
        <w:t>under</w:t>
      </w:r>
      <w:r>
        <w:t xml:space="preserve"> the First Amendment.</w:t>
      </w:r>
      <w:r w:rsidR="00D42B9A">
        <w:t xml:space="preserve"> But the same could not be said for truthful, defamatory remarks, published with malicious intent.</w:t>
      </w:r>
    </w:p>
    <w:p w14:paraId="0226969A" w14:textId="5BBEF77B" w:rsidR="00EF5ED6" w:rsidRDefault="00EF5ED6" w:rsidP="000D2C61">
      <w:pPr>
        <w:spacing w:line="480" w:lineRule="auto"/>
        <w:ind w:firstLine="720"/>
      </w:pPr>
      <w:r>
        <w:t xml:space="preserve">For the abolitionists then, even if what they were saying was true, it could be denounced as a libel not only because they were insulting the character of southern slaveholders, but because they were seen as having “malicious motives.” </w:t>
      </w:r>
      <w:r w:rsidR="004C6747">
        <w:t xml:space="preserve">Abolitionists were, as it has been established, viewed as incendiaries, and thus their actions were malicious, and counter to the public good. Furthermore, their publications promoted “public mischief,” another form of libel. </w:t>
      </w:r>
      <w:r>
        <w:t>According to Judge Thacher, American libel laws descended from British libel laws in that “every publication which has a tendency to promote public mischief, whether by causing irritation in the minds of the people, that may induce them to commit a breach of the public peace, or whether it be more public and specific, extending to the morals, the religion, or magistracy of the country, is a libel.” He continues:</w:t>
      </w:r>
    </w:p>
    <w:p w14:paraId="1D6C3158" w14:textId="77777777" w:rsidR="00EF5ED6" w:rsidRDefault="00EF5ED6" w:rsidP="000D2C61">
      <w:pPr>
        <w:ind w:left="1440" w:right="1440"/>
        <w:jc w:val="both"/>
      </w:pPr>
      <w:r>
        <w:t>Any publication which tends to degrade, revile, and defame persons in considerable situations of power and dignity in foreign countries, is taken to be and treated as a libel; particularly where it has a tendency to interrupt the pacific relations between the two countries. If the publication contains a plain and manifest incitement and persuasion addressed to others, to assassinate and destroy the person of such magistrates, as the tendency is to interrupt the harmony of the two countries, the libel assumes a still more criminal character.</w:t>
      </w:r>
      <w:r>
        <w:rPr>
          <w:rStyle w:val="FootnoteReference"/>
        </w:rPr>
        <w:footnoteReference w:id="37"/>
      </w:r>
    </w:p>
    <w:p w14:paraId="5AADB491" w14:textId="77777777" w:rsidR="00EF5ED6" w:rsidRDefault="00EF5ED6" w:rsidP="000D2C61">
      <w:pPr>
        <w:ind w:left="1440" w:right="1440"/>
      </w:pPr>
    </w:p>
    <w:p w14:paraId="54F506FA" w14:textId="5E25D8C1" w:rsidR="00EF5ED6" w:rsidRDefault="00EF5ED6" w:rsidP="000D2C61">
      <w:pPr>
        <w:spacing w:line="480" w:lineRule="auto"/>
      </w:pPr>
      <w:r>
        <w:tab/>
        <w:t>It is important to note Judge Thacher’s mention of international law. While the North and the South may be part of the Union, many people viewed that Union more akin to a conglomeration of foreign countries than a singular country. As such, they frequently applied theories of international law when debating disputes between the states. So, to Judge Thacher, and many others like him, the abolitionists’ libelous publications threatened the peaceful relations between two sovereign states. By libeling the South, the abolitionists were putting the entire country in peril. For the good of the Union, then, it was the North’s duty to restrict abolitionist print and put an end to the pamphlet campaign.</w:t>
      </w:r>
      <w:r w:rsidR="009C238F">
        <w:t xml:space="preserve"> </w:t>
      </w:r>
    </w:p>
    <w:p w14:paraId="3E12ACAE" w14:textId="00E2EBCB" w:rsidR="00EF5ED6" w:rsidRDefault="00EF5ED6" w:rsidP="004C6747">
      <w:pPr>
        <w:spacing w:line="480" w:lineRule="auto"/>
      </w:pPr>
      <w:r>
        <w:tab/>
      </w:r>
      <w:r w:rsidR="004C6747">
        <w:t xml:space="preserve">Moreover, by viewing the states </w:t>
      </w:r>
      <w:r w:rsidR="006A25E6">
        <w:t>in the context of international law</w:t>
      </w:r>
      <w:r w:rsidR="004C6747">
        <w:t xml:space="preserve">, it was further argued that northerners had no right to interfere with slavery. A northern state interfering with the slave system of a southern state was viewed in the same </w:t>
      </w:r>
      <w:r w:rsidR="006A25E6">
        <w:t>way</w:t>
      </w:r>
      <w:r w:rsidR="004C6747">
        <w:t xml:space="preserve"> as one country involving itself in the domestic affairs of another</w:t>
      </w:r>
      <w:r>
        <w:t xml:space="preserve">. </w:t>
      </w:r>
      <w:r w:rsidR="006A25E6">
        <w:t>The Governor of Maine in his message to his state argued that “though for defined purposes the several states form one great nation, yet in other respects they are to each other as sovereign and independent nations[.]” Any interference with the domestic concerns of one nation by another was “dangerous, as having a direct tendency to create jealousies between the states and thereby weakening the Union which is our only security against domestic dissensions and foreign aggressions.”</w:t>
      </w:r>
      <w:r w:rsidR="006A25E6">
        <w:rPr>
          <w:rStyle w:val="FootnoteReference"/>
        </w:rPr>
        <w:footnoteReference w:id="38"/>
      </w:r>
      <w:r w:rsidR="006A25E6">
        <w:t>Additionally, a</w:t>
      </w:r>
      <w:r>
        <w:t>t a New York City anti-abolitionist meeting, citizens wrote a series of resolutions, stating</w:t>
      </w:r>
      <w:r w:rsidR="004C6747">
        <w:t xml:space="preserve"> that “while we maintain the rights of private judgment, and of free discussion” on the subject of slavery, northerners nonetheless had “no political right to interfere” with slavery, and no “moral right…to adopt violent or aggressive measures” to abolish it.</w:t>
      </w:r>
      <w:r>
        <w:t xml:space="preserve"> Unless the abolitionists were sending their pamphlets to “voluntary subscribers,” the pamphlet campaign was a “gross infringement on the rights of those states[.]”</w:t>
      </w:r>
      <w:r>
        <w:rPr>
          <w:rStyle w:val="FootnoteReference"/>
        </w:rPr>
        <w:footnoteReference w:id="39"/>
      </w:r>
      <w:r w:rsidR="006A25E6">
        <w:t xml:space="preserve"> </w:t>
      </w:r>
    </w:p>
    <w:p w14:paraId="6D776826" w14:textId="50920782" w:rsidR="00EF5ED6" w:rsidRDefault="00EF5ED6" w:rsidP="000D2C61">
      <w:pPr>
        <w:spacing w:line="480" w:lineRule="auto"/>
        <w:ind w:firstLine="720"/>
      </w:pPr>
      <w:r>
        <w:t xml:space="preserve">Northerners must, for the good of the Union, stand back and let the southerners tend to their own affairs. While the abolitionists had a perfect right to send their pamphlets </w:t>
      </w:r>
      <w:r w:rsidR="003072C4">
        <w:t>into</w:t>
      </w:r>
      <w:r>
        <w:t xml:space="preserve"> their own states, they did not have the same right to send their pamphlets into the South. Amos Kendall, in his instructions to the New York Postmaster General, argued that while the abolitionists “have a legal right to [the mail’s] use for distributing papers in New York, where it is lawful to distribute them,” they did not have that same right in Louisiana or Georgia, where the distribution of such papers was unlawful. The New Haven meeting followed this line of thinking by insisting that “no man or combination of men in our state, have the right to interfere with the constitutional rights, or to violate the criminal laws of any other state in the nation[.]” Because abolitionist publications were expressly forbidden in the South, the abolitionists must abide by those laws. And if they did not, New Haven citizens were prepared to “</w:t>
      </w:r>
      <w:r>
        <w:rPr>
          <w:i/>
        </w:rPr>
        <w:t>promptly arrest such proceedings,</w:t>
      </w:r>
      <w:r>
        <w:t>” legally or otherwise.</w:t>
      </w:r>
      <w:r>
        <w:rPr>
          <w:rStyle w:val="FootnoteReference"/>
        </w:rPr>
        <w:footnoteReference w:id="40"/>
      </w:r>
    </w:p>
    <w:p w14:paraId="18E36AF3" w14:textId="31E43EA4" w:rsidR="00EF5ED6" w:rsidRPr="00757014" w:rsidRDefault="00EF5ED6" w:rsidP="000D2C61">
      <w:pPr>
        <w:spacing w:line="480" w:lineRule="auto"/>
        <w:ind w:firstLine="720"/>
      </w:pPr>
      <w:r>
        <w:t xml:space="preserve">By libeling the South through their “malicious motives,” by interfering with matters that did not pertain to them, by causing mobs and riots throughout the land, and by threatening to incite slave insurrections, the abolitionists’ pamphlet campaign was, in the eyes of many northerners, putting the Union at risk. The abolitionists, as it has been previously argued, were viewed as incendiaries, and their actions threatened, in the words of Governor Marcy, “the bonds of amity and concord which unite [northerners] to the people of the South[.]” The abolitionists were “disregarding the obligations which they owe to their respective governments,” and it was the duty of the </w:t>
      </w:r>
      <w:r w:rsidR="009C238F">
        <w:t>n</w:t>
      </w:r>
      <w:r>
        <w:t>orthern states, as members of the Republic, to “abstain from all practices that tend to [the Union’s] dissolution.” An Albany anti-abolitionist meeting concurred with his sentiments, declaring abolitionists “disturbers of the public peace,” creating feelings of “alienation and distrust[.]” The anti-abolitionists intended “by all constitutional and lawful means, [to] exert (their) influence to arrest the progress of measures tending to loosen the bonds of the union[.]”</w:t>
      </w:r>
      <w:r>
        <w:rPr>
          <w:rStyle w:val="FootnoteReference"/>
        </w:rPr>
        <w:footnoteReference w:id="41"/>
      </w:r>
    </w:p>
    <w:p w14:paraId="678AAA8A" w14:textId="6D9AFC76" w:rsidR="00EF5ED6" w:rsidRDefault="00EF5ED6" w:rsidP="000D2C61">
      <w:pPr>
        <w:spacing w:line="480" w:lineRule="auto"/>
      </w:pPr>
      <w:r>
        <w:tab/>
        <w:t>The pamphlet campaign had to be stopped before the South decided to secede from the Union altogether. The rights of the country transcended the rights of individual abolitionists. Peace and safety for America’s white population triumphed over individuals’ rights to speak out against an unjust institution. However, while it was established that the abolitionist publications were dangerous</w:t>
      </w:r>
      <w:r w:rsidR="00876C15">
        <w:t xml:space="preserve">, how were they to </w:t>
      </w:r>
      <w:r w:rsidR="009C6963">
        <w:t xml:space="preserve">be </w:t>
      </w:r>
      <w:r w:rsidR="00876C15">
        <w:t>stop</w:t>
      </w:r>
      <w:r w:rsidR="009C6963">
        <w:t>ped</w:t>
      </w:r>
      <w:r w:rsidR="00876C15">
        <w:t>?</w:t>
      </w:r>
    </w:p>
    <w:p w14:paraId="4DBD6E29" w14:textId="77777777" w:rsidR="00EF5ED6" w:rsidRPr="000043C7" w:rsidRDefault="00EF5ED6" w:rsidP="000D2C61">
      <w:pPr>
        <w:spacing w:line="480" w:lineRule="auto"/>
        <w:jc w:val="center"/>
        <w:rPr>
          <w:b/>
        </w:rPr>
      </w:pPr>
      <w:r>
        <w:rPr>
          <w:b/>
        </w:rPr>
        <w:t>“Congress Shall Make No Law…”</w:t>
      </w:r>
    </w:p>
    <w:p w14:paraId="773808A9" w14:textId="7C4817F7" w:rsidR="00EF5ED6" w:rsidRDefault="00EF5ED6" w:rsidP="000D2C61">
      <w:pPr>
        <w:spacing w:line="480" w:lineRule="auto"/>
      </w:pPr>
      <w:r>
        <w:tab/>
        <w:t xml:space="preserve">One of the avenues open to anti-abolitionists was, of course, the law. </w:t>
      </w:r>
      <w:r w:rsidR="00D802D5">
        <w:t xml:space="preserve">Despite President Jackson’s appeal to Congress, it was widely considered that the federal government had its hands tied by the First Amendment. However, </w:t>
      </w:r>
      <w:r>
        <w:t>the state governments did not have such restrictions. Indeed, the First Amendment merely specified that “</w:t>
      </w:r>
      <w:r>
        <w:rPr>
          <w:i/>
        </w:rPr>
        <w:t xml:space="preserve">Congress </w:t>
      </w:r>
      <w:r>
        <w:t xml:space="preserve">shall make no law…abridging the freedom of speech, or of the press,”; it did not make any specifications </w:t>
      </w:r>
      <w:r w:rsidR="003F7672">
        <w:t>in regards</w:t>
      </w:r>
      <w:r>
        <w:t xml:space="preserve"> to the states. As James Fenimore Cooper argued, “the provisions of the constitution relating to these subjects, have no reference to the rights of the states…This guarantee, like most of the others of the same nature, is only against the acts of Congress, and not against the acts of the states themselves.”</w:t>
      </w:r>
      <w:r>
        <w:rPr>
          <w:rStyle w:val="FootnoteReference"/>
        </w:rPr>
        <w:footnoteReference w:id="42"/>
      </w:r>
      <w:r>
        <w:t xml:space="preserve"> </w:t>
      </w:r>
    </w:p>
    <w:p w14:paraId="3BB13F92" w14:textId="77777777" w:rsidR="00EF5ED6" w:rsidRDefault="00EF5ED6" w:rsidP="000D2C61">
      <w:pPr>
        <w:spacing w:line="480" w:lineRule="auto"/>
      </w:pPr>
      <w:r>
        <w:tab/>
        <w:t>The South took this opportunity and ran with it. Every slaveholding state except Kentucky passed legislation prohibiting abolitionist publications within their borders, and those laws stayed in place until the end of the Civil War. However, many southerners knew that banning abolitionist tracts within their own lands would not be enough—it must be stopped at its source. As a result, many southerners called on their “northern brethren” to pass similar legislation.</w:t>
      </w:r>
      <w:r>
        <w:rPr>
          <w:rStyle w:val="FootnoteReference"/>
        </w:rPr>
        <w:footnoteReference w:id="43"/>
      </w:r>
    </w:p>
    <w:p w14:paraId="19E08767" w14:textId="6044318F" w:rsidR="00EF5ED6" w:rsidRDefault="00EF5ED6" w:rsidP="000D2C61">
      <w:pPr>
        <w:spacing w:line="480" w:lineRule="auto"/>
        <w:ind w:firstLine="720"/>
      </w:pPr>
      <w:r>
        <w:t xml:space="preserve">Some northerners responded sympathetically to the call. Anti-abolitionists in Philadelphia, for instance, called upon their state representatives to “protect our fellow citizens of the south, from any incendiary movements within our borders” by passing legislation either prohibiting the publication of abolitionist tracts, or preventing their dissemination into the south via the U.S. Mail System. William Drayton, also a resident of Philadelphia, insisted that the U.S. Mail System was “being made an incendiary engine in the hands of fanatics,” and that </w:t>
      </w:r>
      <w:r w:rsidR="00263F20">
        <w:t>n</w:t>
      </w:r>
      <w:r>
        <w:t xml:space="preserve">orthern </w:t>
      </w:r>
      <w:r w:rsidR="00263F20">
        <w:t>s</w:t>
      </w:r>
      <w:r>
        <w:t>tates like Pennsylvania must “adopt stern and efficient measures” to prevent this. The North owed it “to the Union, to the South, and to themselves, and to the cause of peace and order,” to adopt legislative measures restricting the abolitionists’ pamphlet campaign in order to “check the madness of incendiaries.” And for those who argued such laws restricted “freedom of the press,” they were just being ridiculous. “Does the liberty of the country depend upon the success of the incendiaries in exciting servile sedition[?]” Drayton asked. “Or is the mad raving of the fanatics of such peculiar value, that its non-continuance will involve the downfall of the country?” After all, the South had passed similar laws and was no less “free and fearless, less able and effective in political discussion, than that of the North.”</w:t>
      </w:r>
      <w:r>
        <w:rPr>
          <w:rStyle w:val="FootnoteReference"/>
        </w:rPr>
        <w:footnoteReference w:id="44"/>
      </w:r>
    </w:p>
    <w:p w14:paraId="55B73935" w14:textId="2DE38815" w:rsidR="00EF5ED6" w:rsidRDefault="00EF5ED6" w:rsidP="000D2C61">
      <w:pPr>
        <w:spacing w:line="480" w:lineRule="auto"/>
        <w:ind w:firstLine="720"/>
      </w:pPr>
      <w:r>
        <w:t>While no northern or federal laws were passed, they were seriously debated, both in the state legislatures and Congress, and many committees were formed to find resolutions to the abolitionist problem. In Congress, the Committee on the Post Office and Post Roads, responding to President Andrew Jackson</w:t>
      </w:r>
      <w:r w:rsidR="00D802D5">
        <w:t>’s call</w:t>
      </w:r>
      <w:r>
        <w:t xml:space="preserve"> to curtail the “incendiary publications” circulating through the U.S. Mail System, proposed four “modes of legislation.” These “modes” were </w:t>
      </w:r>
      <w:r w:rsidR="0003705F">
        <w:t>possible courses of</w:t>
      </w:r>
      <w:r>
        <w:t xml:space="preserve"> action</w:t>
      </w:r>
      <w:r w:rsidR="0003705F">
        <w:t xml:space="preserve"> that</w:t>
      </w:r>
      <w:r>
        <w:t xml:space="preserve"> </w:t>
      </w:r>
      <w:r w:rsidRPr="00ED4577">
        <w:t>Congress</w:t>
      </w:r>
      <w:r>
        <w:rPr>
          <w:i/>
        </w:rPr>
        <w:t xml:space="preserve"> </w:t>
      </w:r>
      <w:r>
        <w:t>could take</w:t>
      </w:r>
      <w:r w:rsidR="0003705F">
        <w:t xml:space="preserve">, and one </w:t>
      </w:r>
      <w:r>
        <w:t xml:space="preserve">mode focused on Congress’ relation to state laws. It proposed that Congress prohibit the circulation of publications that only the states have already prohibited. It points to Article 4 of the Constitution which forces Congress to protect the states “from domestic violence.” As such, withholding publications </w:t>
      </w:r>
      <w:r w:rsidR="00E771F7">
        <w:t>that</w:t>
      </w:r>
      <w:r>
        <w:t xml:space="preserve"> cause domestic violence would be fulfilling that duty, and any statute, the committee asserted, “founded on this principle would provide </w:t>
      </w:r>
      <w:r>
        <w:rPr>
          <w:i/>
        </w:rPr>
        <w:t>that it should be an offence against the United States for any person to send through the mail into any State any publication the circulation of which might be prohibited by the laws of such State.</w:t>
      </w:r>
      <w:r>
        <w:t xml:space="preserve">” </w:t>
      </w:r>
    </w:p>
    <w:p w14:paraId="711A8855" w14:textId="6908B627" w:rsidR="00EF5ED6" w:rsidRPr="001836E9" w:rsidRDefault="00EF5ED6" w:rsidP="000D2C61">
      <w:pPr>
        <w:spacing w:line="480" w:lineRule="auto"/>
      </w:pPr>
      <w:r>
        <w:tab/>
        <w:t>Such a statu</w:t>
      </w:r>
      <w:r w:rsidR="00E771F7">
        <w:t>t</w:t>
      </w:r>
      <w:r>
        <w:t>e would be consistent with the Constitution, the committee further argue</w:t>
      </w:r>
      <w:r w:rsidR="006A25E6">
        <w:t>d</w:t>
      </w:r>
      <w:r>
        <w:t xml:space="preserve">, not only because of Article 4, but because the First Amendment only “prohibits </w:t>
      </w:r>
      <w:r>
        <w:rPr>
          <w:i/>
        </w:rPr>
        <w:t xml:space="preserve">Congress </w:t>
      </w:r>
      <w:r>
        <w:t xml:space="preserve">from making any law ‘abridging the freedom of speech, or of the press,’ yet it contains no such prohibition of the </w:t>
      </w:r>
      <w:r>
        <w:rPr>
          <w:i/>
        </w:rPr>
        <w:t>States.</w:t>
      </w:r>
      <w:r>
        <w:t xml:space="preserve">” Thus, Congress would be making no law abridging freedom of speech or of the press, they would simply be reinforcing the </w:t>
      </w:r>
      <w:r w:rsidR="00E771F7">
        <w:t>s</w:t>
      </w:r>
      <w:r>
        <w:t>tate laws</w:t>
      </w:r>
      <w:r w:rsidR="00E771F7">
        <w:t xml:space="preserve">. </w:t>
      </w:r>
      <w:r>
        <w:t>This would not only prevent “incendiary publications” from entering the South, but it would also allow the North to please their “southern brethren,” while at the same time avoiding any legislation specifically attacking free speech and/or free press ideals. The onus would be placed on the shoulders of Congress to enforce Article 4, and on the southern states to pass legislation.</w:t>
      </w:r>
      <w:r>
        <w:rPr>
          <w:rStyle w:val="FootnoteReference"/>
        </w:rPr>
        <w:footnoteReference w:id="45"/>
      </w:r>
    </w:p>
    <w:p w14:paraId="21ED1C2B" w14:textId="2A4B7AD3" w:rsidR="00EF5ED6" w:rsidRDefault="00EF5ED6" w:rsidP="000D2C61">
      <w:pPr>
        <w:spacing w:line="480" w:lineRule="auto"/>
        <w:ind w:firstLine="720"/>
      </w:pPr>
      <w:r>
        <w:t>The Committee’s proposal was a clever way for the North and the Federal Government to avoid passing legislation while at the same time trying to be supportive of the South. Other</w:t>
      </w:r>
      <w:r w:rsidR="006A25E6">
        <w:t xml:space="preserve"> anti-abolitionists</w:t>
      </w:r>
      <w:r>
        <w:t xml:space="preserve">, however, were more </w:t>
      </w:r>
      <w:r w:rsidR="00263F20">
        <w:t>discernable</w:t>
      </w:r>
      <w:r>
        <w:t xml:space="preserve">, proposing specific legislation to combat the “incendiaries.” New York was one of those states. “We are convinced,” the </w:t>
      </w:r>
      <w:r w:rsidR="0003705F">
        <w:t xml:space="preserve">proposed </w:t>
      </w:r>
      <w:r w:rsidR="00E771F7">
        <w:t xml:space="preserve">New York </w:t>
      </w:r>
      <w:r>
        <w:t>bill started:</w:t>
      </w:r>
    </w:p>
    <w:p w14:paraId="205E57B1" w14:textId="19C23B98" w:rsidR="00EF5ED6" w:rsidRDefault="00EF5ED6" w:rsidP="000D2C61">
      <w:pPr>
        <w:ind w:left="1440" w:right="1440"/>
        <w:jc w:val="both"/>
      </w:pPr>
      <w:r>
        <w:t>…from public and private sources, that the slave-holding states confidently rely on the passage of laws by the northern States, which shall put an end to the printing and circulation of incendiary pamphlets, and shall punish by fine and imprisonment every person engaged in this dangerous and exciting pursuit—no matter who the persons may be, or the ostensible motives by which they may be governed.</w:t>
      </w:r>
      <w:r w:rsidR="006A25E6">
        <w:rPr>
          <w:rStyle w:val="FootnoteReference"/>
        </w:rPr>
        <w:footnoteReference w:id="46"/>
      </w:r>
    </w:p>
    <w:p w14:paraId="5E56F25F" w14:textId="77777777" w:rsidR="00EF5ED6" w:rsidRDefault="00EF5ED6" w:rsidP="000D2C61">
      <w:pPr>
        <w:ind w:left="1440" w:right="1440"/>
      </w:pPr>
    </w:p>
    <w:p w14:paraId="489D14E2" w14:textId="77777777" w:rsidR="00EF5ED6" w:rsidRDefault="00EF5ED6" w:rsidP="000D2C61">
      <w:pPr>
        <w:spacing w:line="480" w:lineRule="auto"/>
      </w:pPr>
      <w:r>
        <w:tab/>
        <w:t>Not only would this bill prevent the distribution of abolitionist papers, but it would also put an end to all publication of said papers. Any writings or pictures printed with a “manifest tendency…to excite, or cause insurrection, rebellion, riot, civil commotion, or breach of the peace” would be prohibited. Any person found guilty of trying to print or distribute these papers would be charged with a misdemeanor, and they would either be fined, or imprisoned.</w:t>
      </w:r>
    </w:p>
    <w:p w14:paraId="4D36EAEE" w14:textId="032B2E4B" w:rsidR="00EF5ED6" w:rsidRDefault="00EF5ED6" w:rsidP="000D2C61">
      <w:pPr>
        <w:spacing w:line="480" w:lineRule="auto"/>
        <w:ind w:firstLine="720"/>
      </w:pPr>
      <w:r>
        <w:t>Furthermore, according to the bill, the abolitionists’ claims were unjustified. “The rapid increase of [the slave population] at the South, affords strong evidence that they are not overworked, that they are well-fed, well-clothed, and sheltered, and well-attended in time of sickness.” If the slave population was diminishing, “the philanthropists might be justified in making a struggle in behalf of the descendants of Africa.” Since it was not, northerners had no right to interfere with slavery, and New York State “will be justified in passing laws to prevent our citizens from disturbing the relation between master and slave, or advising the latter to abandon their service.” Needless to say, the bill’s view of slavery was remarkably off-base, but by support</w:t>
      </w:r>
      <w:r w:rsidR="00263F20">
        <w:t>ing</w:t>
      </w:r>
      <w:r>
        <w:t xml:space="preserve"> the “positive good theory” of slaver</w:t>
      </w:r>
      <w:r w:rsidR="00263F20">
        <w:t>y</w:t>
      </w:r>
      <w:r>
        <w:t>, it further de-legitimized the abolitionist cause.</w:t>
      </w:r>
    </w:p>
    <w:p w14:paraId="4EDF9B94" w14:textId="21A1C98F" w:rsidR="00EF5ED6" w:rsidRPr="00DE4B14" w:rsidRDefault="00EF5ED6" w:rsidP="000D2C61">
      <w:pPr>
        <w:spacing w:line="480" w:lineRule="auto"/>
        <w:ind w:firstLine="720"/>
      </w:pPr>
      <w:r>
        <w:t xml:space="preserve">Yet, overall, it was the general welfare of the South and the Union which concerned the supporters of the bill. “On the principle of </w:t>
      </w:r>
      <w:r>
        <w:rPr>
          <w:i/>
        </w:rPr>
        <w:t xml:space="preserve">mutual protection </w:t>
      </w:r>
      <w:r>
        <w:t xml:space="preserve">and </w:t>
      </w:r>
      <w:r>
        <w:rPr>
          <w:i/>
        </w:rPr>
        <w:t>public welfare,</w:t>
      </w:r>
      <w:r>
        <w:t>” the bill declared, “we of the North are bound to punish those who disturb the peace and endanger the tranquility of the South.”</w:t>
      </w:r>
      <w:r>
        <w:rPr>
          <w:rStyle w:val="FootnoteReference"/>
        </w:rPr>
        <w:footnoteReference w:id="47"/>
      </w:r>
      <w:r>
        <w:t xml:space="preserve"> Again, we see the notion of </w:t>
      </w:r>
      <w:r>
        <w:rPr>
          <w:i/>
        </w:rPr>
        <w:t xml:space="preserve">salus populi </w:t>
      </w:r>
      <w:r>
        <w:t xml:space="preserve">come into play, and while this bill never passed, it was </w:t>
      </w:r>
      <w:r w:rsidR="00CE00AA">
        <w:t>nonetheless</w:t>
      </w:r>
      <w:r>
        <w:t xml:space="preserve"> representative of a popular line of argument. Moreover, while northern legislatures never committed themselves by law, they found other ways to restrict the abolitionists’ First Amendment Rights. </w:t>
      </w:r>
    </w:p>
    <w:p w14:paraId="736064EA" w14:textId="77777777" w:rsidR="00EF5ED6" w:rsidRPr="00980D15" w:rsidRDefault="00EF5ED6" w:rsidP="000D2C61">
      <w:pPr>
        <w:spacing w:line="480" w:lineRule="auto"/>
        <w:jc w:val="center"/>
        <w:rPr>
          <w:b/>
        </w:rPr>
      </w:pPr>
      <w:r>
        <w:rPr>
          <w:b/>
        </w:rPr>
        <w:t>“Peaceably If We Can, Forcibly If We Must”</w:t>
      </w:r>
    </w:p>
    <w:p w14:paraId="766BBB39" w14:textId="3B1049AD" w:rsidR="00EF5ED6" w:rsidRDefault="00EF5ED6" w:rsidP="008976AF">
      <w:pPr>
        <w:spacing w:line="480" w:lineRule="auto"/>
      </w:pPr>
      <w:r>
        <w:tab/>
        <w:t xml:space="preserve">For some anti-abolitionists, passing legislation to stop abolitionist publications was a step too far. It was often too complicated, for legislatures would have to find that fine line between where, in the words of Governor Marcy, “rational and constitutional liberty terminates, and venality and licentiousness begin.” Additionally, a law restricting certain publications was a very permanent, and very noticeable attack towards the liberties which Americans held so dear. Instead, the best solution was to rely on the correcting powers of public opinion. Governor Marcy was one of the foremost advocates for public opinion. While he did call for legislation to be passed, this was only in the case of necessity, if public opinion could not dissuade the abolitionists. In an address to his state, he argued that “enlightened public opinion” was “the conservative principle of free government.” It could be a corrective force when a movement stepped out of line, and it was far safer to rely on public opinion rather than legislation. </w:t>
      </w:r>
      <w:r w:rsidR="008976AF">
        <w:t>Indeed, it was safer “to tolerate the licentiousness of the press than to abridge its freedom; for a corrective of the evil will be generally found in the force of truth and the influence of those moral principles and energies which unrestrained discussion seldom fails to elicit.”</w:t>
      </w:r>
    </w:p>
    <w:p w14:paraId="1DFA799D" w14:textId="2F988F09" w:rsidR="00EF5ED6" w:rsidRDefault="00EF5ED6" w:rsidP="000D2C61">
      <w:pPr>
        <w:spacing w:line="480" w:lineRule="auto"/>
      </w:pPr>
      <w:r>
        <w:tab/>
        <w:t>While the American media could take things too far, Governor Marcy believed it better to tolerate it rather than restrict it, and to rely on public opinion rather than legislation</w:t>
      </w:r>
      <w:r w:rsidR="00263F20">
        <w:t>, whenever possible</w:t>
      </w:r>
      <w:r>
        <w:t>. Already, the “powerful engines of public opinion” were in full force across New York State, taking the forms of meetings and assemblies in order to disabuse “many persons who had inconsiderately concurred in the visionary schemes of the abolitionists.” Those meetings included the anti-abolitionist meeting in Albany, led by the Reverend Van Rensselaer. Van Rensselaer remarked that “the flames of [the abolitionists’] philanthropy would burn up everything with which they came in contact; and, unless speedily extinguished by the rising waves of public opinion, the safety of our social institutions is gone, and there is an end to the permanence of our Government.” The citizens of the North had to speak loudly and fervently against the abolitionists, else the entire country was at stake. A meeting in Newark, New Jersey concurred with Van Rensselaer’s sentiments, calling upon the forces of public opinion to “speak but with one voice throughout the union” in their condemnation against the abolitionists actions towards the South.</w:t>
      </w:r>
      <w:r>
        <w:rPr>
          <w:rStyle w:val="FootnoteReference"/>
        </w:rPr>
        <w:footnoteReference w:id="48"/>
      </w:r>
    </w:p>
    <w:p w14:paraId="2D1831E9" w14:textId="4665B693" w:rsidR="00EF5ED6" w:rsidRDefault="00EF5ED6" w:rsidP="000D2C61">
      <w:pPr>
        <w:spacing w:line="480" w:lineRule="auto"/>
      </w:pPr>
      <w:r>
        <w:tab/>
        <w:t xml:space="preserve">However, as we have seen, sometimes the corrective force of public opinion could be practiced through violence. While Governor Marcy, Van Rensselaer, and the Newark citizens never explicitly mention the mobs that were occurring throughout </w:t>
      </w:r>
      <w:r w:rsidR="00A533BD">
        <w:t>their</w:t>
      </w:r>
      <w:r>
        <w:t xml:space="preserve"> state</w:t>
      </w:r>
      <w:r w:rsidR="00A533BD">
        <w:t>s</w:t>
      </w:r>
      <w:r>
        <w:t xml:space="preserve">, mentions of the “powerful energies of public opinion…called forth throughout the whole state” or the “rising waves of public opinion” were subtle nods to both the peaceful and violent reactions towards the abolitionist pamphlet campaign. </w:t>
      </w:r>
      <w:r w:rsidR="00A533BD">
        <w:t xml:space="preserve">Governor </w:t>
      </w:r>
      <w:r>
        <w:t>Marcy add</w:t>
      </w:r>
      <w:r w:rsidR="00A533BD">
        <w:t>ed</w:t>
      </w:r>
      <w:r>
        <w:t xml:space="preserve"> that “all but those who are confirmed in fanaticism or reckless of consequences, it is believed, will be constrained by the decided and constantly increasing force of public opinion, to give up their dangerous attempts to act on the institutions of other States.”</w:t>
      </w:r>
      <w:r>
        <w:rPr>
          <w:rStyle w:val="FootnoteReference"/>
        </w:rPr>
        <w:footnoteReference w:id="49"/>
      </w:r>
    </w:p>
    <w:p w14:paraId="143F8220" w14:textId="77777777" w:rsidR="00EF5ED6" w:rsidRDefault="00EF5ED6" w:rsidP="000D2C61">
      <w:pPr>
        <w:spacing w:line="480" w:lineRule="auto"/>
      </w:pPr>
      <w:r>
        <w:tab/>
        <w:t xml:space="preserve">The meeting in Indiana went even further to say that they will stop the abolitionist “peaceably if we can, forcibly if we must,” and the editor from the </w:t>
      </w:r>
      <w:r>
        <w:rPr>
          <w:i/>
        </w:rPr>
        <w:t xml:space="preserve">Sunday Morning News </w:t>
      </w:r>
      <w:r>
        <w:t xml:space="preserve">called for anti-abolitionists to act in the ways of their forefathers who destroyed the Gaspee and threw tea into the Boston Harbor. It was clear to many that the public had to take matters into their own hands to stop the abolitionists, that sometimes the law was not enough. In his text </w:t>
      </w:r>
      <w:r>
        <w:rPr>
          <w:i/>
        </w:rPr>
        <w:t xml:space="preserve">Abolition a Sedition, </w:t>
      </w:r>
      <w:r>
        <w:t>Calvin Colton proclaimed that “s</w:t>
      </w:r>
      <w:r w:rsidRPr="008105B8">
        <w:t>o far as Constitutional law is provided, it is the rule; but where it is wanting, necessity becomes law, to be used in the best discretion of the constituted authorities, in all emergencies in which the safety of the public may demand such a resort</w:t>
      </w:r>
      <w:r>
        <w:t>.”</w:t>
      </w:r>
      <w:r>
        <w:rPr>
          <w:rStyle w:val="FootnoteReference"/>
        </w:rPr>
        <w:footnoteReference w:id="50"/>
      </w:r>
    </w:p>
    <w:p w14:paraId="636FCE3B" w14:textId="47168622" w:rsidR="00EF5ED6" w:rsidRDefault="00EF5ED6" w:rsidP="000D2C61">
      <w:pPr>
        <w:spacing w:line="480" w:lineRule="auto"/>
      </w:pPr>
      <w:r>
        <w:tab/>
        <w:t>When “necessity becomes law,” all hands are off, and while very few people encouraged open violence, it was clear that many did not dissuade it</w:t>
      </w:r>
      <w:r w:rsidR="00263F20">
        <w:t xml:space="preserve">. This included the public officials in Cincinnati who didn’t send a single police officer to stop the attacks on the </w:t>
      </w:r>
      <w:r w:rsidR="00263F20">
        <w:rPr>
          <w:i/>
        </w:rPr>
        <w:t>Philanthropist</w:t>
      </w:r>
      <w:r>
        <w:t>. To prevent violence, therefore, was to cause it. The abolitionist papers were too destructive, too dangerous, and when reasoned debate could not stop them, many felt that they had to turn towards more extreme measures. While there were no anti-abolitionist laws passed in the North, or passed by Congress, using violence to stop people from writing or speaking out is a form of restriction. Silence through intimidation is not voluntary, and while there were no laws restricting abolitionists’ rights to a free press, an angry mob of several hundred certainly was.</w:t>
      </w:r>
    </w:p>
    <w:p w14:paraId="534787A5" w14:textId="3806C5FF" w:rsidR="00EF5ED6" w:rsidRDefault="00820EC6" w:rsidP="000D2C61">
      <w:pPr>
        <w:spacing w:line="480" w:lineRule="auto"/>
        <w:jc w:val="center"/>
        <w:rPr>
          <w:b/>
        </w:rPr>
      </w:pPr>
      <w:r>
        <w:rPr>
          <w:b/>
        </w:rPr>
        <w:t>The</w:t>
      </w:r>
      <w:r w:rsidR="00A533BD">
        <w:rPr>
          <w:b/>
        </w:rPr>
        <w:t xml:space="preserve"> Licentiousness of the Press</w:t>
      </w:r>
    </w:p>
    <w:p w14:paraId="7A2BB974" w14:textId="77777777" w:rsidR="00EF5ED6" w:rsidRDefault="00EF5ED6" w:rsidP="000D2C61">
      <w:pPr>
        <w:spacing w:line="480" w:lineRule="auto"/>
      </w:pPr>
      <w:r>
        <w:rPr>
          <w:b/>
        </w:rPr>
        <w:tab/>
      </w:r>
      <w:r>
        <w:t xml:space="preserve">“The great engine which the abolitionists profess to wield,” Governor Marcy declared in his message, “and by the operations of which they hope to bring their object within reach, is free discussion.” Indeed, many abolitionists pointed to the First Amendment when questions arose concerning the pamphlet campaign. </w:t>
      </w:r>
      <w:r>
        <w:rPr>
          <w:i/>
        </w:rPr>
        <w:t xml:space="preserve">The Emancipator </w:t>
      </w:r>
      <w:r>
        <w:t xml:space="preserve">proclaimed that in all free governments, “the freedom of speech and of the press are considered essential to the existence of the preservation of liberty.” Garrison’s </w:t>
      </w:r>
      <w:r>
        <w:rPr>
          <w:i/>
        </w:rPr>
        <w:t xml:space="preserve">Liberator </w:t>
      </w:r>
      <w:r>
        <w:t>echoed these sentiments by declaring that “the freedom of thought and the press shall not be bound by any arbitrary mandate” trying to silence the abolitionists.</w:t>
      </w:r>
      <w:r>
        <w:rPr>
          <w:rStyle w:val="FootnoteReference"/>
        </w:rPr>
        <w:footnoteReference w:id="51"/>
      </w:r>
      <w:r>
        <w:t xml:space="preserve"> </w:t>
      </w:r>
    </w:p>
    <w:p w14:paraId="7A768249" w14:textId="77777777" w:rsidR="00EF5ED6" w:rsidRDefault="00EF5ED6" w:rsidP="000D2C61">
      <w:pPr>
        <w:spacing w:line="480" w:lineRule="auto"/>
      </w:pPr>
      <w:r>
        <w:tab/>
        <w:t xml:space="preserve">Thus, while anti-abolitionists called for legislation or public opinion to restrict the abolitionist presses, they also had to contend with the argument of whether or not they were restricting the abolitionists’ First Amendment Rights. As previously stated, many anti-abolitionists pointed out that state laws restricting abolitionist publications were not illegal as the First Amendment only specified that </w:t>
      </w:r>
      <w:r>
        <w:rPr>
          <w:i/>
        </w:rPr>
        <w:t xml:space="preserve">Congress </w:t>
      </w:r>
      <w:r>
        <w:t xml:space="preserve">shall make no law restricting freedom of speech or press. Nonetheless, many Americans at this time believed in the </w:t>
      </w:r>
      <w:r>
        <w:rPr>
          <w:i/>
        </w:rPr>
        <w:t xml:space="preserve">values </w:t>
      </w:r>
      <w:r>
        <w:t xml:space="preserve">of the First Amendment, and to convince the people of the importance of restricting abolitionist publications, anti-abolitionists had to first contend with the values of the First Amendment that Americans held so dear. </w:t>
      </w:r>
    </w:p>
    <w:p w14:paraId="2F712122" w14:textId="7788CDAE" w:rsidR="00EF5ED6" w:rsidRPr="002D5718" w:rsidRDefault="00EF5ED6" w:rsidP="000D2C61">
      <w:pPr>
        <w:spacing w:line="480" w:lineRule="auto"/>
      </w:pPr>
      <w:r>
        <w:tab/>
        <w:t xml:space="preserve">Some anti-abolitionists like Judge Thacher argued that freedom of the press did not mean freedom from responsibility. “To publish a paper [in the North],” he argued, “with the intent to send it to another State, to persuade one or more persons there to commit murder, or treason, the law regards as a libel of peculiar atrocity, and no supposed freedom of the press will screen the author or publisher from the penal consequences of the deed.” William Drayton argued the same, stating: “Men cannot speak, write, nor act, in such manner as to endanger the moral well-being of society, without incurring the penalties of the violated law.” Individuals had a duty to society not to cause violence or mayhem; their First Amendment </w:t>
      </w:r>
      <w:r w:rsidR="008D53DA">
        <w:t>R</w:t>
      </w:r>
      <w:r>
        <w:t>ights could not get in the way of a community’s right to peace and prosperity.</w:t>
      </w:r>
      <w:r>
        <w:rPr>
          <w:rStyle w:val="FootnoteReference"/>
        </w:rPr>
        <w:footnoteReference w:id="52"/>
      </w:r>
      <w:r>
        <w:t xml:space="preserve"> </w:t>
      </w:r>
    </w:p>
    <w:p w14:paraId="2210DD82" w14:textId="7492F1E9" w:rsidR="00EF5ED6" w:rsidRDefault="00EF5ED6" w:rsidP="000D2C61">
      <w:pPr>
        <w:spacing w:line="480" w:lineRule="auto"/>
      </w:pPr>
      <w:r>
        <w:tab/>
        <w:t xml:space="preserve">This argument led into the discussion of the general licentiousness of the press. The press, some believed, was shameless and uncontrollable, causing moral decay throughout the nation. While some, like Governor Marcy, believed that the licentiousness was a necessary evil, others were not so certain. A newspaper may be “useful in overthrowing tyrants,” James Fenimore Cooper conceded, but they were only useful in order “to establish a tyranny of their own.” Writers “stand on the power of the press to injure” other citizens, not bothering to check if what they said was true or </w:t>
      </w:r>
      <w:r w:rsidR="008D53DA">
        <w:t>false</w:t>
      </w:r>
      <w:r>
        <w:t>. The American presses were filled with falsehoods and immorality, and Cooper claimed that America “cannot much longer exist in safety, under the malign influence” of the press.</w:t>
      </w:r>
      <w:r>
        <w:rPr>
          <w:rStyle w:val="FootnoteReference"/>
        </w:rPr>
        <w:footnoteReference w:id="53"/>
      </w:r>
      <w:r>
        <w:t xml:space="preserve"> </w:t>
      </w:r>
    </w:p>
    <w:p w14:paraId="7C0E9AFD" w14:textId="77777777" w:rsidR="00EF5ED6" w:rsidRDefault="00EF5ED6" w:rsidP="000D2C61">
      <w:pPr>
        <w:spacing w:line="480" w:lineRule="auto"/>
      </w:pPr>
      <w:r>
        <w:tab/>
        <w:t xml:space="preserve">Others insisted that the proposed anti-abolitionist laws were not concerning themselves with the liberty of the press. David Meredith Reese in his text </w:t>
      </w:r>
      <w:r>
        <w:rPr>
          <w:i/>
        </w:rPr>
        <w:t xml:space="preserve">Humbugs of New York </w:t>
      </w:r>
      <w:r>
        <w:t>said the following:</w:t>
      </w:r>
    </w:p>
    <w:p w14:paraId="575CE926" w14:textId="77777777" w:rsidR="00EF5ED6" w:rsidRDefault="00EF5ED6" w:rsidP="000D2C61">
      <w:pPr>
        <w:ind w:left="1440" w:right="1440"/>
        <w:jc w:val="both"/>
      </w:pPr>
      <w:r>
        <w:t xml:space="preserve">The objections [to the pamphlet campaign] have been made, not against the </w:t>
      </w:r>
      <w:r>
        <w:rPr>
          <w:i/>
        </w:rPr>
        <w:t xml:space="preserve">controversy </w:t>
      </w:r>
      <w:r>
        <w:t xml:space="preserve">in which modern abolitionists are engaged, but to the </w:t>
      </w:r>
      <w:r>
        <w:rPr>
          <w:i/>
        </w:rPr>
        <w:t xml:space="preserve">spirit </w:t>
      </w:r>
      <w:r>
        <w:t xml:space="preserve">in which it has been and still is conducted, and to the </w:t>
      </w:r>
      <w:r>
        <w:rPr>
          <w:i/>
        </w:rPr>
        <w:t xml:space="preserve">tendency </w:t>
      </w:r>
      <w:r>
        <w:t xml:space="preserve">of the measures adopted by the party. Legal and illegal means have been resorted to, not to control the </w:t>
      </w:r>
      <w:r>
        <w:rPr>
          <w:i/>
        </w:rPr>
        <w:t xml:space="preserve">liberty </w:t>
      </w:r>
      <w:r>
        <w:t xml:space="preserve">of the presses, but to correct the </w:t>
      </w:r>
      <w:r>
        <w:rPr>
          <w:i/>
        </w:rPr>
        <w:t xml:space="preserve">licentiousness </w:t>
      </w:r>
      <w:r>
        <w:t xml:space="preserve">of the press; not against the </w:t>
      </w:r>
      <w:r>
        <w:rPr>
          <w:i/>
        </w:rPr>
        <w:t xml:space="preserve">freedom </w:t>
      </w:r>
      <w:r>
        <w:t xml:space="preserve">of discussion, but against the </w:t>
      </w:r>
      <w:r>
        <w:rPr>
          <w:i/>
        </w:rPr>
        <w:t xml:space="preserve">bitterness, wrath, censoriousness, </w:t>
      </w:r>
      <w:r>
        <w:t xml:space="preserve">and </w:t>
      </w:r>
      <w:r>
        <w:rPr>
          <w:i/>
        </w:rPr>
        <w:t xml:space="preserve">calumny </w:t>
      </w:r>
      <w:r>
        <w:t>to which the zealots of modern abolitionism have been impelled, by their false philanthropy and misguided benevolence.</w:t>
      </w:r>
      <w:r>
        <w:rPr>
          <w:rStyle w:val="FootnoteReference"/>
        </w:rPr>
        <w:footnoteReference w:id="54"/>
      </w:r>
      <w:r>
        <w:t xml:space="preserve"> </w:t>
      </w:r>
    </w:p>
    <w:p w14:paraId="22693FC8" w14:textId="77777777" w:rsidR="00EF5ED6" w:rsidRDefault="00EF5ED6" w:rsidP="000D2C61">
      <w:pPr>
        <w:ind w:left="1440" w:right="1440"/>
      </w:pPr>
    </w:p>
    <w:p w14:paraId="3AC0A17D" w14:textId="77777777" w:rsidR="00EF5ED6" w:rsidRDefault="00EF5ED6" w:rsidP="000D2C61">
      <w:pPr>
        <w:spacing w:line="480" w:lineRule="auto"/>
      </w:pPr>
      <w:r>
        <w:tab/>
        <w:t xml:space="preserve">Again, we return to the argument that abolitionist publications were incendiary publications. And, because they were incendiary, actions must be taken to protect the welfare of society. They were not restricting anyone’s right to free speech, anti-abolitionist argued, they were simply restricting an incendiary groups ability to cause violence and mayhem throughout the country. </w:t>
      </w:r>
    </w:p>
    <w:p w14:paraId="0B001D58" w14:textId="5F2CA381" w:rsidR="00EF5ED6" w:rsidRDefault="00EF5ED6" w:rsidP="000D2C61">
      <w:pPr>
        <w:spacing w:line="480" w:lineRule="auto"/>
      </w:pPr>
      <w:r>
        <w:tab/>
        <w:t>Yet it should be noted that abolitionism was hardly an incendiary movement. Any violence that occurred was the result of anti-abolitionists. So fearful of the possibility of slave insurrections and/or disunion, they would riot in the streets to make the abolitionists stop. However, there is no evidence to suggest that the abolitionist press was in any</w:t>
      </w:r>
      <w:r w:rsidR="00AD1A52">
        <w:t xml:space="preserve"> </w:t>
      </w:r>
      <w:r>
        <w:t>way an inspiration for slave insurrections. Nor is there any argument to be made that the abolitionists led us straight into a civil war.</w:t>
      </w:r>
    </w:p>
    <w:p w14:paraId="26D7B0A8" w14:textId="61634167" w:rsidR="00284045" w:rsidRDefault="00EF5ED6" w:rsidP="00D802D5">
      <w:pPr>
        <w:spacing w:line="480" w:lineRule="auto"/>
        <w:ind w:firstLine="720"/>
      </w:pPr>
      <w:r>
        <w:t xml:space="preserve">No laws may have been passed in the North, but this does not mean that the anti-abolitionists were not successful in restricting the abolitionists’ First Amendment Rights. As </w:t>
      </w:r>
      <w:r>
        <w:rPr>
          <w:i/>
        </w:rPr>
        <w:t xml:space="preserve">The Emancipator </w:t>
      </w:r>
      <w:r>
        <w:t>argued, “freedom of speech implies the right of holding peaceable public meetings undisturbed,” and freedom of the press implies the right of printing your opinions without risk of death or injury. It would only be after the death of Elijah Lovejoy in 1838 that this would be made possible in the North; in the South, it would take another thirty years, after the war was won, and the abolitionists’ mission achieved.</w:t>
      </w:r>
    </w:p>
    <w:p w14:paraId="37D0EDE7" w14:textId="65437675" w:rsidR="00861939" w:rsidRDefault="00861939" w:rsidP="00D802D5">
      <w:pPr>
        <w:spacing w:line="480" w:lineRule="auto"/>
        <w:ind w:firstLine="720"/>
      </w:pPr>
    </w:p>
    <w:p w14:paraId="6824418A" w14:textId="77777777" w:rsidR="00861939" w:rsidRDefault="00861939" w:rsidP="00D802D5">
      <w:pPr>
        <w:spacing w:line="480" w:lineRule="auto"/>
        <w:ind w:firstLine="720"/>
      </w:pPr>
    </w:p>
    <w:p w14:paraId="0A65A4BE" w14:textId="3BA0D467" w:rsidR="00284045" w:rsidRDefault="00284045" w:rsidP="00284045">
      <w:pPr>
        <w:spacing w:line="480" w:lineRule="auto"/>
        <w:jc w:val="center"/>
        <w:rPr>
          <w:u w:val="single"/>
        </w:rPr>
      </w:pPr>
      <w:r>
        <w:rPr>
          <w:u w:val="single"/>
        </w:rPr>
        <w:t>Conclusion</w:t>
      </w:r>
    </w:p>
    <w:p w14:paraId="128D7FAB" w14:textId="0E28A46F" w:rsidR="009B40AC" w:rsidRDefault="00116C63" w:rsidP="00BA2479">
      <w:pPr>
        <w:spacing w:line="480" w:lineRule="auto"/>
        <w:ind w:firstLine="720"/>
      </w:pPr>
      <w:r>
        <w:t>Was the New York Anti-Slavery Society right</w:t>
      </w:r>
      <w:r w:rsidR="00861939">
        <w:t>, then,</w:t>
      </w:r>
      <w:r>
        <w:t xml:space="preserve"> when they said slavery could only survive “upon the ruins of </w:t>
      </w:r>
      <w:r w:rsidR="00861939">
        <w:t xml:space="preserve">the </w:t>
      </w:r>
      <w:r>
        <w:t>free press”?</w:t>
      </w:r>
      <w:r w:rsidR="008D53DA">
        <w:t xml:space="preserve"> Not quite. But neither was </w:t>
      </w:r>
      <w:r w:rsidR="000B712A">
        <w:t>the free press</w:t>
      </w:r>
      <w:r w:rsidR="008D53DA">
        <w:t xml:space="preserve"> completely secure.</w:t>
      </w:r>
      <w:r w:rsidR="000B712A">
        <w:t xml:space="preserve"> Nearly half of the country </w:t>
      </w:r>
      <w:r>
        <w:t>banned</w:t>
      </w:r>
      <w:r w:rsidR="000B712A">
        <w:t xml:space="preserve"> a</w:t>
      </w:r>
      <w:r>
        <w:t>ll</w:t>
      </w:r>
      <w:r w:rsidR="000B712A">
        <w:t xml:space="preserve"> publication</w:t>
      </w:r>
      <w:r>
        <w:t>s</w:t>
      </w:r>
      <w:r w:rsidR="000B712A">
        <w:t xml:space="preserve"> which attacked or questioned the slave system. </w:t>
      </w:r>
      <w:r w:rsidR="00096037">
        <w:t>If an abolitionist writer ste</w:t>
      </w:r>
      <w:r w:rsidR="0077441A">
        <w:t>p</w:t>
      </w:r>
      <w:r w:rsidR="00096037">
        <w:t>p</w:t>
      </w:r>
      <w:r w:rsidR="0077441A">
        <w:t>ed</w:t>
      </w:r>
      <w:r w:rsidR="00096037">
        <w:t xml:space="preserve"> foot into a southern state, they risked imprisonment, even death.</w:t>
      </w:r>
      <w:r w:rsidR="00BA2479">
        <w:t xml:space="preserve"> </w:t>
      </w:r>
      <w:r w:rsidR="00096037">
        <w:t>And for a time, the same could be said of the North.</w:t>
      </w:r>
      <w:r w:rsidR="00096037" w:rsidRPr="00096037">
        <w:t xml:space="preserve"> </w:t>
      </w:r>
      <w:r w:rsidR="00096037">
        <w:t>Northerners had no loyalty to the slave system, but they did have loyalty to the Unio</w:t>
      </w:r>
      <w:r>
        <w:t>n</w:t>
      </w:r>
      <w:r w:rsidR="00096037">
        <w:t>. If</w:t>
      </w:r>
      <w:r w:rsidR="00861939">
        <w:t xml:space="preserve"> </w:t>
      </w:r>
      <w:r w:rsidR="00096037">
        <w:t>abolitionism tore the Union apart, what would happen to their own communities, their own families, their own lives?</w:t>
      </w:r>
      <w:r w:rsidR="009B40AC">
        <w:t xml:space="preserve"> Abolitionism, in the </w:t>
      </w:r>
      <w:r w:rsidR="009B2B67">
        <w:t>eyes</w:t>
      </w:r>
      <w:r w:rsidR="009B40AC">
        <w:t xml:space="preserve"> of northern anti-abolitionists, </w:t>
      </w:r>
      <w:r w:rsidR="009B2B67">
        <w:t>incited slave</w:t>
      </w:r>
      <w:r w:rsidR="009B40AC">
        <w:t xml:space="preserve"> insurrection</w:t>
      </w:r>
      <w:r w:rsidR="009B2B67">
        <w:t>s</w:t>
      </w:r>
      <w:r w:rsidR="009B40AC">
        <w:t>, and push</w:t>
      </w:r>
      <w:r w:rsidR="009B2B67">
        <w:t>ed</w:t>
      </w:r>
      <w:r>
        <w:t xml:space="preserve"> the</w:t>
      </w:r>
      <w:r w:rsidR="009B40AC">
        <w:t xml:space="preserve"> </w:t>
      </w:r>
      <w:r>
        <w:t>South</w:t>
      </w:r>
      <w:r w:rsidR="009B40AC">
        <w:t xml:space="preserve"> towards secession. They also caused mobs and riots throughout the land; never mind that anti-abolitionists were the ones participating in those riots. </w:t>
      </w:r>
      <w:r w:rsidR="00096037">
        <w:t xml:space="preserve">In their </w:t>
      </w:r>
      <w:r w:rsidR="009B2B67">
        <w:t>view</w:t>
      </w:r>
      <w:r w:rsidR="00096037">
        <w:t xml:space="preserve">, it wasn’t a coincidence that the Nat Turner Rebellion occurred around the same time William Lloyd Garrison started publishing his newspaper. It was also not a coincidence that the moment abolitionists started sending their publications into the South that riots and talk of civil war erupted. </w:t>
      </w:r>
      <w:r w:rsidR="009B40AC">
        <w:t>It all added up—the abolitionists were incendiaries, and incendiaries must be stopped.</w:t>
      </w:r>
    </w:p>
    <w:p w14:paraId="53D81ABA" w14:textId="048007F3" w:rsidR="002717FD" w:rsidRDefault="002717FD" w:rsidP="002717FD">
      <w:pPr>
        <w:spacing w:line="480" w:lineRule="auto"/>
      </w:pPr>
      <w:r>
        <w:tab/>
        <w:t xml:space="preserve">However, it wasn’t just the view of abolitionists as incendiaries which drove the anti-abolitionists, but also </w:t>
      </w:r>
      <w:r w:rsidR="00861939">
        <w:t>several</w:t>
      </w:r>
      <w:r>
        <w:t xml:space="preserve"> </w:t>
      </w:r>
      <w:r w:rsidR="00D70DC6">
        <w:t xml:space="preserve">legal </w:t>
      </w:r>
      <w:r>
        <w:t>concept</w:t>
      </w:r>
      <w:r w:rsidR="00D70DC6">
        <w:t>s</w:t>
      </w:r>
      <w:r>
        <w:t xml:space="preserve"> </w:t>
      </w:r>
      <w:r w:rsidR="00861939">
        <w:t>including those of</w:t>
      </w:r>
      <w:r>
        <w:t xml:space="preserve"> </w:t>
      </w:r>
      <w:r>
        <w:rPr>
          <w:i/>
        </w:rPr>
        <w:t>salus populi</w:t>
      </w:r>
      <w:r w:rsidR="00D70DC6">
        <w:rPr>
          <w:i/>
        </w:rPr>
        <w:t xml:space="preserve">, </w:t>
      </w:r>
      <w:r w:rsidR="00D70DC6">
        <w:t>libel laws, and international law</w:t>
      </w:r>
      <w:r>
        <w:rPr>
          <w:i/>
        </w:rPr>
        <w:t xml:space="preserve">. </w:t>
      </w:r>
      <w:r>
        <w:t xml:space="preserve">Repeatedly, anti-abolitionists insisted that the rights of a few could not transcend the safety of the many. This not only included their specific communities, but the Union as a whole. </w:t>
      </w:r>
      <w:r w:rsidR="00861939">
        <w:t>Plus</w:t>
      </w:r>
      <w:r w:rsidR="00D70DC6">
        <w:t xml:space="preserve">, by applying the truth-plus doctrine of libel laws, and the concept of international law to sovereign states, northerners were encouraged to act. </w:t>
      </w:r>
      <w:r>
        <w:t xml:space="preserve">The northern states had a </w:t>
      </w:r>
      <w:r>
        <w:rPr>
          <w:i/>
        </w:rPr>
        <w:t xml:space="preserve">duty </w:t>
      </w:r>
      <w:r>
        <w:t>to the Union to help protect their southern brethren from the incendiaries. As such, passing legislation, or using the persuasive power of an angry mob, was just the responsible thing to do.</w:t>
      </w:r>
    </w:p>
    <w:p w14:paraId="42506B23" w14:textId="25E5B20E" w:rsidR="004F2BB6" w:rsidRDefault="002717FD" w:rsidP="002717FD">
      <w:pPr>
        <w:spacing w:line="480" w:lineRule="auto"/>
        <w:ind w:firstLine="720"/>
      </w:pPr>
      <w:r>
        <w:t xml:space="preserve">Therefore, the </w:t>
      </w:r>
      <w:r w:rsidR="004E72E7">
        <w:t>view</w:t>
      </w:r>
      <w:r>
        <w:t xml:space="preserve"> of abolitionists as incendiaries and the </w:t>
      </w:r>
      <w:r w:rsidR="004E72E7">
        <w:t xml:space="preserve">legal </w:t>
      </w:r>
      <w:r>
        <w:t>concept</w:t>
      </w:r>
      <w:r w:rsidR="004E72E7">
        <w:t>s</w:t>
      </w:r>
      <w:r>
        <w:t xml:space="preserve"> of </w:t>
      </w:r>
      <w:r>
        <w:rPr>
          <w:i/>
        </w:rPr>
        <w:t>salus populi</w:t>
      </w:r>
      <w:r w:rsidR="004E72E7">
        <w:rPr>
          <w:i/>
        </w:rPr>
        <w:t xml:space="preserve">, </w:t>
      </w:r>
      <w:r w:rsidR="004E72E7">
        <w:t>libel law, and international law</w:t>
      </w:r>
      <w:r>
        <w:t xml:space="preserve"> worked in concert, providing anti-abolitionists</w:t>
      </w:r>
      <w:r w:rsidR="00374697">
        <w:t xml:space="preserve"> with</w:t>
      </w:r>
      <w:r>
        <w:t xml:space="preserve"> a convenient, ideological work-around</w:t>
      </w:r>
      <w:r w:rsidR="00374697">
        <w:t xml:space="preserve">. </w:t>
      </w:r>
      <w:r w:rsidR="004F2BB6">
        <w:t>As they</w:t>
      </w:r>
      <w:r w:rsidR="00374697">
        <w:t xml:space="preserve"> </w:t>
      </w:r>
      <w:r w:rsidR="004F2BB6">
        <w:t>attempted to squash</w:t>
      </w:r>
      <w:r w:rsidR="00374697">
        <w:t xml:space="preserve"> a minority</w:t>
      </w:r>
      <w:r w:rsidR="004F2BB6">
        <w:t xml:space="preserve"> group’s </w:t>
      </w:r>
      <w:r w:rsidR="0077441A">
        <w:t xml:space="preserve">writings and </w:t>
      </w:r>
      <w:r w:rsidR="004F2BB6">
        <w:t>opinions, they could still profess their love of the First Amendment and its values, all because they did it in the name of protecting the Union</w:t>
      </w:r>
      <w:r>
        <w:t>.</w:t>
      </w:r>
      <w:r w:rsidR="004F2BB6">
        <w:t xml:space="preserve"> </w:t>
      </w:r>
    </w:p>
    <w:p w14:paraId="3469ACF2" w14:textId="6E921FDF" w:rsidR="0099266A" w:rsidRDefault="004F2BB6" w:rsidP="002717FD">
      <w:pPr>
        <w:spacing w:line="480" w:lineRule="auto"/>
        <w:ind w:firstLine="720"/>
      </w:pPr>
      <w:r>
        <w:t xml:space="preserve">But these were not hollow proclamations. Anti-abolitionists truly believed they were doing the right thing, and they truly believed they were not harming America’s free press. </w:t>
      </w:r>
      <w:r w:rsidR="00047E85">
        <w:t xml:space="preserve">Legal concepts </w:t>
      </w:r>
      <w:r w:rsidR="0099266A">
        <w:t xml:space="preserve">provided the anti-abolitionists with a logical argument, but the threat of </w:t>
      </w:r>
      <w:r w:rsidR="004E72E7">
        <w:t>war, either servile or civil,</w:t>
      </w:r>
      <w:r w:rsidR="0099266A">
        <w:t xml:space="preserve"> provided them with an emotional argument. </w:t>
      </w:r>
      <w:r w:rsidR="004E72E7">
        <w:t>War and disunion</w:t>
      </w:r>
      <w:r w:rsidR="0099266A">
        <w:t xml:space="preserve"> </w:t>
      </w:r>
      <w:r w:rsidR="004E72E7">
        <w:t>were both</w:t>
      </w:r>
      <w:r w:rsidR="0099266A">
        <w:t xml:space="preserve"> terrifying prospect</w:t>
      </w:r>
      <w:r w:rsidR="004E72E7">
        <w:t>s</w:t>
      </w:r>
      <w:r w:rsidR="0099266A">
        <w:t>, and that fear provided plenty of ammunition to “fight back.”</w:t>
      </w:r>
    </w:p>
    <w:p w14:paraId="029D7973" w14:textId="3FA00095" w:rsidR="000B727B" w:rsidRDefault="00ED3CD0" w:rsidP="002717FD">
      <w:pPr>
        <w:spacing w:line="480" w:lineRule="auto"/>
        <w:ind w:firstLine="720"/>
      </w:pPr>
      <w:r>
        <w:t xml:space="preserve">It took the death of Elijah Lovejoy for </w:t>
      </w:r>
      <w:r w:rsidR="004E72E7">
        <w:t>the anti-abolitionists</w:t>
      </w:r>
      <w:r>
        <w:t xml:space="preserve"> to realize what they were doing. </w:t>
      </w:r>
      <w:r w:rsidR="006041B6">
        <w:t xml:space="preserve">If men could be killed for writing their own opinions, what did that mean for the Republic? Lovejoy’s death made them realize that their own rights were under attack, that their communities’ safety was </w:t>
      </w:r>
      <w:r w:rsidR="00002398">
        <w:t xml:space="preserve">indeed </w:t>
      </w:r>
      <w:r w:rsidR="006041B6">
        <w:t>threatened, but not because of the abolitionists. After 1838,</w:t>
      </w:r>
      <w:r w:rsidR="00002398">
        <w:t xml:space="preserve"> it was</w:t>
      </w:r>
      <w:r w:rsidR="006041B6">
        <w:t xml:space="preserve"> the “</w:t>
      </w:r>
      <w:r w:rsidR="008D0A9F">
        <w:t>s</w:t>
      </w:r>
      <w:r w:rsidR="006041B6">
        <w:t>laveocracy</w:t>
      </w:r>
      <w:r w:rsidR="00002398">
        <w:t>” which threatened their</w:t>
      </w:r>
      <w:r w:rsidR="00C0513C">
        <w:t xml:space="preserve"> rights</w:t>
      </w:r>
      <w:r w:rsidR="009B2B67">
        <w:t xml:space="preserve"> </w:t>
      </w:r>
      <w:r w:rsidR="00002398">
        <w:t>and th</w:t>
      </w:r>
      <w:r w:rsidR="004E72E7">
        <w:t>eir livelihood</w:t>
      </w:r>
      <w:r w:rsidR="00C0513C">
        <w:t xml:space="preserve">, not the abolitionists’ pamphlets. </w:t>
      </w:r>
      <w:r w:rsidR="000B727B">
        <w:t xml:space="preserve">This </w:t>
      </w:r>
      <w:r w:rsidR="004E72E7">
        <w:t>did not</w:t>
      </w:r>
      <w:r w:rsidR="000B727B">
        <w:t xml:space="preserve"> mean all northerners agreed with the abolitionists, but it at least meant the abolitionists could write without fear of </w:t>
      </w:r>
      <w:r w:rsidR="00047E85">
        <w:t>persecution</w:t>
      </w:r>
      <w:r w:rsidR="000B727B">
        <w:t>.</w:t>
      </w:r>
    </w:p>
    <w:p w14:paraId="1E725FC9" w14:textId="57F28C7D" w:rsidR="00EF5ED6" w:rsidRDefault="00BA2479" w:rsidP="002717FD">
      <w:pPr>
        <w:spacing w:line="480" w:lineRule="auto"/>
        <w:ind w:firstLine="720"/>
      </w:pPr>
      <w:r>
        <w:t>So, no, America’s free press was not in ruins by the end of the 1830</w:t>
      </w:r>
      <w:r w:rsidR="00F40D7F">
        <w:t>’</w:t>
      </w:r>
      <w:r>
        <w:t xml:space="preserve">s. But if these events prove anything, it is that the foundations of the free press are far weaker than we’d like to believe. </w:t>
      </w:r>
      <w:r w:rsidR="008D0A9F">
        <w:t xml:space="preserve">In the name of the Union, white northerners and southerners protected a cruel and despotic system by restricting the rights of those trying to end it. </w:t>
      </w:r>
      <w:r w:rsidR="0008591B">
        <w:t>The North may have stepped back</w:t>
      </w:r>
      <w:r w:rsidR="008D0A9F">
        <w:t>,</w:t>
      </w:r>
      <w:r w:rsidR="0008591B">
        <w:t xml:space="preserve"> but</w:t>
      </w:r>
      <w:r w:rsidR="008D0A9F">
        <w:t xml:space="preserve"> the South did not</w:t>
      </w:r>
      <w:r w:rsidR="004F0BD6">
        <w:t>, and as a result, s</w:t>
      </w:r>
      <w:r w:rsidR="00676D6B">
        <w:t xml:space="preserve">lavery and press restrictions would continue </w:t>
      </w:r>
      <w:r w:rsidR="000629CE">
        <w:t>in America</w:t>
      </w:r>
      <w:r w:rsidR="00676D6B">
        <w:t xml:space="preserve"> for another thirty years.</w:t>
      </w:r>
      <w:r w:rsidR="00EF5ED6">
        <w:br w:type="page"/>
      </w:r>
    </w:p>
    <w:p w14:paraId="130E06A9" w14:textId="4B0452EC" w:rsidR="00EF5ED6" w:rsidRDefault="00284045" w:rsidP="00082937">
      <w:pPr>
        <w:spacing w:line="480" w:lineRule="auto"/>
        <w:jc w:val="center"/>
        <w:rPr>
          <w:u w:val="single"/>
        </w:rPr>
      </w:pPr>
      <w:r w:rsidRPr="00284045">
        <w:rPr>
          <w:u w:val="single"/>
        </w:rPr>
        <w:t>Works Cited</w:t>
      </w:r>
    </w:p>
    <w:p w14:paraId="1C222E21" w14:textId="39136194" w:rsidR="00EF5ED6" w:rsidRPr="00D70DC6" w:rsidRDefault="00D70DC6" w:rsidP="00DD369D">
      <w:pPr>
        <w:spacing w:line="480" w:lineRule="auto"/>
        <w:jc w:val="center"/>
        <w:rPr>
          <w:i/>
        </w:rPr>
      </w:pPr>
      <w:r w:rsidRPr="00D70DC6">
        <w:rPr>
          <w:i/>
        </w:rPr>
        <w:t>Primary Sources</w:t>
      </w:r>
    </w:p>
    <w:p w14:paraId="2BAC708B" w14:textId="77777777" w:rsidR="00D802D5" w:rsidRPr="005F29BF" w:rsidRDefault="00EF5ED6" w:rsidP="00DD369D">
      <w:pPr>
        <w:pStyle w:val="EndNoteBibliography"/>
        <w:spacing w:line="480" w:lineRule="auto"/>
        <w:ind w:left="720" w:hanging="720"/>
        <w:rPr>
          <w:noProof/>
          <w:sz w:val="24"/>
          <w:szCs w:val="24"/>
        </w:rPr>
      </w:pPr>
      <w:r w:rsidRPr="005F29BF">
        <w:rPr>
          <w:sz w:val="24"/>
          <w:szCs w:val="24"/>
          <w:u w:val="single"/>
        </w:rPr>
        <w:fldChar w:fldCharType="begin"/>
      </w:r>
      <w:r w:rsidRPr="005F29BF">
        <w:rPr>
          <w:sz w:val="24"/>
          <w:szCs w:val="24"/>
          <w:u w:val="single"/>
        </w:rPr>
        <w:instrText xml:space="preserve"> ADDIN EN.REFLIST </w:instrText>
      </w:r>
      <w:r w:rsidRPr="005F29BF">
        <w:rPr>
          <w:sz w:val="24"/>
          <w:szCs w:val="24"/>
          <w:u w:val="single"/>
        </w:rPr>
        <w:fldChar w:fldCharType="separate"/>
      </w:r>
      <w:r w:rsidR="00D802D5" w:rsidRPr="005F29BF">
        <w:rPr>
          <w:noProof/>
          <w:sz w:val="24"/>
          <w:szCs w:val="24"/>
        </w:rPr>
        <w:t xml:space="preserve">"Abolitionists and Insurrections." </w:t>
      </w:r>
      <w:r w:rsidR="00D802D5" w:rsidRPr="005F29BF">
        <w:rPr>
          <w:i/>
          <w:noProof/>
          <w:sz w:val="24"/>
          <w:szCs w:val="24"/>
        </w:rPr>
        <w:t>The Religious Intelligencer…Containing the Principal Transactions fo the Various Bible and Missionary Societies, with Particular Accounts of Revivals of Religion (1816-1837)</w:t>
      </w:r>
      <w:r w:rsidR="00D802D5" w:rsidRPr="005F29BF">
        <w:rPr>
          <w:noProof/>
          <w:sz w:val="24"/>
          <w:szCs w:val="24"/>
        </w:rPr>
        <w:t>, August 15, 1835.</w:t>
      </w:r>
    </w:p>
    <w:p w14:paraId="5649FAA9" w14:textId="110CF30B"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"America’s First Direct Mail Campaign."  </w:t>
      </w:r>
      <w:hyperlink r:id="rId9" w:history="1">
        <w:r w:rsidRPr="005F29BF">
          <w:rPr>
            <w:rStyle w:val="Hyperlink"/>
            <w:noProof/>
            <w:sz w:val="24"/>
            <w:szCs w:val="24"/>
          </w:rPr>
          <w:t>https://postalmuseumblog.si.edu/2010/07/americas-first-direct-mail-campaign.html</w:t>
        </w:r>
      </w:hyperlink>
      <w:r w:rsidRPr="005F29BF">
        <w:rPr>
          <w:noProof/>
          <w:sz w:val="24"/>
          <w:szCs w:val="24"/>
        </w:rPr>
        <w:t>.</w:t>
      </w:r>
    </w:p>
    <w:p w14:paraId="081B1D86"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"Another Warning." </w:t>
      </w:r>
      <w:r w:rsidRPr="005F29BF">
        <w:rPr>
          <w:i/>
          <w:noProof/>
          <w:sz w:val="24"/>
          <w:szCs w:val="24"/>
        </w:rPr>
        <w:t>New-York Spectator</w:t>
      </w:r>
      <w:r w:rsidRPr="005F29BF">
        <w:rPr>
          <w:noProof/>
          <w:sz w:val="24"/>
          <w:szCs w:val="24"/>
        </w:rPr>
        <w:t>, Monday, August 31 1835.</w:t>
      </w:r>
    </w:p>
    <w:p w14:paraId="55FCD89F"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"Art. Iv.—Incendiary Publications." </w:t>
      </w:r>
      <w:r w:rsidRPr="005F29BF">
        <w:rPr>
          <w:i/>
          <w:noProof/>
          <w:sz w:val="24"/>
          <w:szCs w:val="24"/>
        </w:rPr>
        <w:t>American Jurist and Law Magazine (1829-1843)</w:t>
      </w:r>
      <w:r w:rsidRPr="005F29BF">
        <w:rPr>
          <w:noProof/>
          <w:sz w:val="24"/>
          <w:szCs w:val="24"/>
        </w:rPr>
        <w:t>, July 1832.</w:t>
      </w:r>
    </w:p>
    <w:p w14:paraId="72D34E20" w14:textId="7750FBE6"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"The Bill of Rights: A Transcription." National Archives and Records Administration, </w:t>
      </w:r>
      <w:hyperlink r:id="rId10" w:history="1">
        <w:r w:rsidRPr="005F29BF">
          <w:rPr>
            <w:rStyle w:val="Hyperlink"/>
            <w:noProof/>
            <w:sz w:val="24"/>
            <w:szCs w:val="24"/>
          </w:rPr>
          <w:t>https://www.archives.gov/founding-docs/bill-of-rights-transcript</w:t>
        </w:r>
      </w:hyperlink>
      <w:r w:rsidRPr="005F29BF">
        <w:rPr>
          <w:noProof/>
          <w:sz w:val="24"/>
          <w:szCs w:val="24"/>
        </w:rPr>
        <w:t>.</w:t>
      </w:r>
    </w:p>
    <w:p w14:paraId="6C6C548E"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"Cause in Indiana." </w:t>
      </w:r>
      <w:r w:rsidRPr="005F29BF">
        <w:rPr>
          <w:i/>
          <w:noProof/>
          <w:sz w:val="24"/>
          <w:szCs w:val="24"/>
        </w:rPr>
        <w:t>Philanthropist (1836-1843)</w:t>
      </w:r>
      <w:r w:rsidRPr="005F29BF">
        <w:rPr>
          <w:noProof/>
          <w:sz w:val="24"/>
          <w:szCs w:val="24"/>
        </w:rPr>
        <w:t>, July 24 1838.</w:t>
      </w:r>
    </w:p>
    <w:p w14:paraId="2F9AD517"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Colton, Calvin. </w:t>
      </w:r>
      <w:r w:rsidRPr="005F29BF">
        <w:rPr>
          <w:i/>
          <w:noProof/>
          <w:sz w:val="24"/>
          <w:szCs w:val="24"/>
        </w:rPr>
        <w:t>Abolition a Sedition</w:t>
      </w:r>
      <w:r w:rsidRPr="005F29BF">
        <w:rPr>
          <w:noProof/>
          <w:sz w:val="24"/>
          <w:szCs w:val="24"/>
        </w:rPr>
        <w:t>.  Philadelphia: Geo. W. Donohue, 1839.</w:t>
      </w:r>
    </w:p>
    <w:p w14:paraId="7E4FF0D0"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Cooper, J. Fenimore. </w:t>
      </w:r>
      <w:r w:rsidRPr="005F29BF">
        <w:rPr>
          <w:i/>
          <w:noProof/>
          <w:sz w:val="24"/>
          <w:szCs w:val="24"/>
        </w:rPr>
        <w:t>The American Democrat, or Hints on the Social and Civic Relations of the United States of America</w:t>
      </w:r>
      <w:r w:rsidRPr="005F29BF">
        <w:rPr>
          <w:noProof/>
          <w:sz w:val="24"/>
          <w:szCs w:val="24"/>
        </w:rPr>
        <w:t>.  Cooperstown: H. &amp; E. Phinney, 1838.</w:t>
      </w:r>
    </w:p>
    <w:p w14:paraId="4AA4F347"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Cooper, Thomas. </w:t>
      </w:r>
      <w:r w:rsidRPr="005F29BF">
        <w:rPr>
          <w:i/>
          <w:noProof/>
          <w:sz w:val="24"/>
          <w:szCs w:val="24"/>
        </w:rPr>
        <w:t>Treatise on the Law of Libel and the Liberty of the Press; Showing the Origins, Use, and Abuse of the Law of Libel</w:t>
      </w:r>
      <w:r w:rsidRPr="005F29BF">
        <w:rPr>
          <w:noProof/>
          <w:sz w:val="24"/>
          <w:szCs w:val="24"/>
        </w:rPr>
        <w:t>.  New York: G.F. Hopkins &amp; Son, 1830.</w:t>
      </w:r>
    </w:p>
    <w:p w14:paraId="05EC231B"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Drayton, William. </w:t>
      </w:r>
      <w:r w:rsidRPr="005F29BF">
        <w:rPr>
          <w:i/>
          <w:noProof/>
          <w:sz w:val="24"/>
          <w:szCs w:val="24"/>
        </w:rPr>
        <w:t>The South Vindicated from the Treason and Fanaticism of the Northern Abolitionists</w:t>
      </w:r>
      <w:r w:rsidRPr="005F29BF">
        <w:rPr>
          <w:noProof/>
          <w:sz w:val="24"/>
          <w:szCs w:val="24"/>
        </w:rPr>
        <w:t>.  Philadelphia: H. Manly, 1836.</w:t>
      </w:r>
    </w:p>
    <w:p w14:paraId="0732AFC5"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"Freedom of Speech." </w:t>
      </w:r>
      <w:r w:rsidRPr="005F29BF">
        <w:rPr>
          <w:i/>
          <w:noProof/>
          <w:sz w:val="24"/>
          <w:szCs w:val="24"/>
        </w:rPr>
        <w:t>The Liberator</w:t>
      </w:r>
      <w:r w:rsidRPr="005F29BF">
        <w:rPr>
          <w:noProof/>
          <w:sz w:val="24"/>
          <w:szCs w:val="24"/>
        </w:rPr>
        <w:t>, Saturday, January 19, 1833.</w:t>
      </w:r>
    </w:p>
    <w:p w14:paraId="62D65CC7"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"Freedom of Speech and of the Press. Rights of Minorities. Rights of Property, Why Valuable.". </w:t>
      </w:r>
      <w:r w:rsidRPr="005F29BF">
        <w:rPr>
          <w:i/>
          <w:noProof/>
          <w:sz w:val="24"/>
          <w:szCs w:val="24"/>
        </w:rPr>
        <w:t>The Emancipator: And Journal of Public Morals</w:t>
      </w:r>
      <w:r w:rsidRPr="005F29BF">
        <w:rPr>
          <w:noProof/>
          <w:sz w:val="24"/>
          <w:szCs w:val="24"/>
        </w:rPr>
        <w:t>, Tuesday, July 22, 1834.</w:t>
      </w:r>
    </w:p>
    <w:p w14:paraId="6BDFDED8"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"Incendiary Publications." </w:t>
      </w:r>
      <w:r w:rsidRPr="005F29BF">
        <w:rPr>
          <w:i/>
          <w:noProof/>
          <w:sz w:val="24"/>
          <w:szCs w:val="24"/>
        </w:rPr>
        <w:t>Western Christian Advocate (1834-1883)</w:t>
      </w:r>
      <w:r w:rsidRPr="005F29BF">
        <w:rPr>
          <w:noProof/>
          <w:sz w:val="24"/>
          <w:szCs w:val="24"/>
        </w:rPr>
        <w:t>, September 18, 1835.</w:t>
      </w:r>
    </w:p>
    <w:p w14:paraId="51BFB220"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"Interesting Articles." In </w:t>
      </w:r>
      <w:r w:rsidRPr="005F29BF">
        <w:rPr>
          <w:i/>
          <w:noProof/>
          <w:sz w:val="24"/>
          <w:szCs w:val="24"/>
        </w:rPr>
        <w:t>Niles’ Weekly Register</w:t>
      </w:r>
      <w:r w:rsidRPr="005F29BF">
        <w:rPr>
          <w:noProof/>
          <w:sz w:val="24"/>
          <w:szCs w:val="24"/>
        </w:rPr>
        <w:t>, edited by H. Niles. Baltimore: H. Niles, 1836.</w:t>
      </w:r>
    </w:p>
    <w:p w14:paraId="14036D9F" w14:textId="07D47ABB"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Jackson, Andrew. "Seventh Annual Message."  </w:t>
      </w:r>
      <w:hyperlink r:id="rId11" w:history="1">
        <w:r w:rsidRPr="005F29BF">
          <w:rPr>
            <w:rStyle w:val="Hyperlink"/>
            <w:noProof/>
            <w:sz w:val="24"/>
            <w:szCs w:val="24"/>
          </w:rPr>
          <w:t>https://www.presidency.ucsb.edu/documents/seventh-annual-message-2</w:t>
        </w:r>
      </w:hyperlink>
      <w:r w:rsidRPr="005F29BF">
        <w:rPr>
          <w:noProof/>
          <w:sz w:val="24"/>
          <w:szCs w:val="24"/>
        </w:rPr>
        <w:t>.</w:t>
      </w:r>
    </w:p>
    <w:p w14:paraId="7B308947"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"Journal of the Senate of the Commonwealth of Pennsylvania." Harrisburg: Crabb &amp; Barrett, 1835-‘36.</w:t>
      </w:r>
    </w:p>
    <w:p w14:paraId="1DC3398E"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Kendall, Amos. "Amos Kendall to Alfred Huger, August 4, 1835." In </w:t>
      </w:r>
      <w:r w:rsidRPr="005F29BF">
        <w:rPr>
          <w:i/>
          <w:noProof/>
          <w:sz w:val="24"/>
          <w:szCs w:val="24"/>
        </w:rPr>
        <w:t>Niles’ Weekly Register</w:t>
      </w:r>
      <w:r w:rsidRPr="005F29BF">
        <w:rPr>
          <w:noProof/>
          <w:sz w:val="24"/>
          <w:szCs w:val="24"/>
        </w:rPr>
        <w:t>, edited by H. Niles. Baltimore: H. Niles.</w:t>
      </w:r>
    </w:p>
    <w:p w14:paraId="0CA67235"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 "Letters from Mr. Kendall." In </w:t>
      </w:r>
      <w:r w:rsidRPr="005F29BF">
        <w:rPr>
          <w:i/>
          <w:noProof/>
          <w:sz w:val="24"/>
          <w:szCs w:val="24"/>
        </w:rPr>
        <w:t>Niles’ Weekly Register</w:t>
      </w:r>
      <w:r w:rsidRPr="005F29BF">
        <w:rPr>
          <w:noProof/>
          <w:sz w:val="24"/>
          <w:szCs w:val="24"/>
        </w:rPr>
        <w:t>, edited by H. Niles. Baltimore: H. Niles, 1836.</w:t>
      </w:r>
    </w:p>
    <w:p w14:paraId="364CDB0A"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"Letter of the Executive Committee of the New York Anti-Slavery Society to the Executive Committee of the Ohio Anti-Slavery Society, at Cincinnati." In </w:t>
      </w:r>
      <w:r w:rsidRPr="005F29BF">
        <w:rPr>
          <w:i/>
          <w:noProof/>
          <w:sz w:val="24"/>
          <w:szCs w:val="24"/>
        </w:rPr>
        <w:t>A Collection of Valuable Documents</w:t>
      </w:r>
      <w:r w:rsidRPr="005F29BF">
        <w:rPr>
          <w:noProof/>
          <w:sz w:val="24"/>
          <w:szCs w:val="24"/>
        </w:rPr>
        <w:t>. Boston: Isaac Knapp, 1836.</w:t>
      </w:r>
    </w:p>
    <w:p w14:paraId="5261E05B"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"Liberty of the Press. From the National Intelligencer. Proposed Report by Mr. Hall, of Vermont. On Incendiary Publications.". </w:t>
      </w:r>
      <w:r w:rsidRPr="005F29BF">
        <w:rPr>
          <w:i/>
          <w:noProof/>
          <w:sz w:val="24"/>
          <w:szCs w:val="24"/>
        </w:rPr>
        <w:t>The State Journal</w:t>
      </w:r>
      <w:r w:rsidRPr="005F29BF">
        <w:rPr>
          <w:noProof/>
          <w:sz w:val="24"/>
          <w:szCs w:val="24"/>
        </w:rPr>
        <w:t>, 26 April 1836.</w:t>
      </w:r>
    </w:p>
    <w:p w14:paraId="01A9C025"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Marcy, W.L. "Message from the Governor to the Senate and Assembly." Albany, New York, 1836.</w:t>
      </w:r>
    </w:p>
    <w:p w14:paraId="50B00BC7"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"New Method of Assorting the Mail, as Practised by Southern Slave-Holders, or Attack on the Post Office, Charleston, S.C.". Boston, 1835.</w:t>
      </w:r>
    </w:p>
    <w:p w14:paraId="5601EE11"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"Northern Legislation." </w:t>
      </w:r>
      <w:r w:rsidRPr="005F29BF">
        <w:rPr>
          <w:i/>
          <w:noProof/>
          <w:sz w:val="24"/>
          <w:szCs w:val="24"/>
        </w:rPr>
        <w:t>United States’ Telegraph</w:t>
      </w:r>
      <w:r w:rsidRPr="005F29BF">
        <w:rPr>
          <w:noProof/>
          <w:sz w:val="24"/>
          <w:szCs w:val="24"/>
        </w:rPr>
        <w:t>, October 02 1835.</w:t>
      </w:r>
    </w:p>
    <w:p w14:paraId="40954569"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"Slavery and the Abolitionists." In </w:t>
      </w:r>
      <w:r w:rsidRPr="005F29BF">
        <w:rPr>
          <w:i/>
          <w:noProof/>
          <w:sz w:val="24"/>
          <w:szCs w:val="24"/>
        </w:rPr>
        <w:t>Niles’ Weekly Register</w:t>
      </w:r>
      <w:r w:rsidRPr="005F29BF">
        <w:rPr>
          <w:noProof/>
          <w:sz w:val="24"/>
          <w:szCs w:val="24"/>
        </w:rPr>
        <w:t>, edited by H. Niles. Baltimore: H. Niles, 1836.</w:t>
      </w:r>
    </w:p>
    <w:p w14:paraId="17891B34"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"Southern Ideas of Liberty." Boston, 1835.</w:t>
      </w:r>
    </w:p>
    <w:p w14:paraId="0A542F51"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"Speech of the Rev. Cortland Van Rensselaer: At the Public Meeting Held at Albany, September 1835." </w:t>
      </w:r>
      <w:r w:rsidRPr="005F29BF">
        <w:rPr>
          <w:i/>
          <w:noProof/>
          <w:sz w:val="24"/>
          <w:szCs w:val="24"/>
        </w:rPr>
        <w:t>African Repository and Colonial Journal (1825-1849)</w:t>
      </w:r>
      <w:r w:rsidRPr="005F29BF">
        <w:rPr>
          <w:noProof/>
          <w:sz w:val="24"/>
          <w:szCs w:val="24"/>
        </w:rPr>
        <w:t>, November 1835.</w:t>
      </w:r>
    </w:p>
    <w:p w14:paraId="2DFBDB11" w14:textId="77777777" w:rsidR="00D802D5" w:rsidRPr="005F29BF" w:rsidRDefault="00D802D5" w:rsidP="00DD369D">
      <w:pPr>
        <w:pStyle w:val="EndNoteBibliography"/>
        <w:spacing w:line="480" w:lineRule="auto"/>
        <w:ind w:left="720" w:hanging="720"/>
        <w:rPr>
          <w:noProof/>
          <w:sz w:val="24"/>
          <w:szCs w:val="24"/>
        </w:rPr>
      </w:pPr>
      <w:r w:rsidRPr="005F29BF">
        <w:rPr>
          <w:noProof/>
          <w:sz w:val="24"/>
          <w:szCs w:val="24"/>
        </w:rPr>
        <w:t xml:space="preserve">"The Voice of New York." In </w:t>
      </w:r>
      <w:r w:rsidRPr="005F29BF">
        <w:rPr>
          <w:i/>
          <w:noProof/>
          <w:sz w:val="24"/>
          <w:szCs w:val="24"/>
        </w:rPr>
        <w:t>Niles’ Weekly Register</w:t>
      </w:r>
      <w:r w:rsidRPr="005F29BF">
        <w:rPr>
          <w:noProof/>
          <w:sz w:val="24"/>
          <w:szCs w:val="24"/>
        </w:rPr>
        <w:t>, edited by H. Niles. Baltimore: H. Niles, 1836.</w:t>
      </w:r>
    </w:p>
    <w:p w14:paraId="5517660A" w14:textId="592F8E82" w:rsidR="00EF5ED6" w:rsidRDefault="00EF5ED6" w:rsidP="00DD369D">
      <w:pPr>
        <w:spacing w:line="480" w:lineRule="auto"/>
        <w:rPr>
          <w:u w:val="single"/>
        </w:rPr>
      </w:pPr>
      <w:r w:rsidRPr="005F29BF">
        <w:rPr>
          <w:u w:val="single"/>
        </w:rPr>
        <w:fldChar w:fldCharType="end"/>
      </w:r>
    </w:p>
    <w:p w14:paraId="107AE4C6" w14:textId="6DA96B8D" w:rsidR="00D802D5" w:rsidRDefault="00D802D5" w:rsidP="00DD369D">
      <w:pPr>
        <w:spacing w:line="480" w:lineRule="auto"/>
        <w:jc w:val="center"/>
        <w:rPr>
          <w:i/>
        </w:rPr>
      </w:pPr>
      <w:r w:rsidRPr="00D802D5">
        <w:rPr>
          <w:i/>
        </w:rPr>
        <w:t>Secondary Sources</w:t>
      </w:r>
    </w:p>
    <w:p w14:paraId="09537406" w14:textId="77777777" w:rsidR="00514CA8" w:rsidRPr="004A7810" w:rsidRDefault="00514CA8" w:rsidP="00DD369D">
      <w:pPr>
        <w:pStyle w:val="EndNoteBibliography"/>
        <w:spacing w:line="480" w:lineRule="auto"/>
        <w:ind w:left="720" w:hanging="720"/>
        <w:rPr>
          <w:noProof/>
          <w:sz w:val="24"/>
          <w:szCs w:val="24"/>
        </w:rPr>
      </w:pPr>
      <w:r w:rsidRPr="004A7810">
        <w:rPr>
          <w:noProof/>
          <w:sz w:val="24"/>
          <w:szCs w:val="24"/>
        </w:rPr>
        <w:t xml:space="preserve">Coffin, Levi. </w:t>
      </w:r>
      <w:r w:rsidRPr="004A7810">
        <w:rPr>
          <w:i/>
          <w:noProof/>
          <w:sz w:val="24"/>
          <w:szCs w:val="24"/>
        </w:rPr>
        <w:t>The Mob Spirit in Cincinnati</w:t>
      </w:r>
      <w:r w:rsidRPr="004A7810">
        <w:rPr>
          <w:noProof/>
          <w:sz w:val="24"/>
          <w:szCs w:val="24"/>
        </w:rPr>
        <w:t xml:space="preserve">.  Cincinnati: Western Tract Society, 1876. </w:t>
      </w:r>
      <w:hyperlink r:id="rId12" w:history="1">
        <w:r w:rsidRPr="004A7810">
          <w:rPr>
            <w:rStyle w:val="Hyperlink"/>
            <w:noProof/>
            <w:sz w:val="24"/>
            <w:szCs w:val="24"/>
          </w:rPr>
          <w:t>http://utc.iath.virginia.edu/abolitn/abeslcat.html</w:t>
        </w:r>
      </w:hyperlink>
      <w:r w:rsidRPr="004A7810">
        <w:rPr>
          <w:noProof/>
          <w:sz w:val="24"/>
          <w:szCs w:val="24"/>
        </w:rPr>
        <w:t>.</w:t>
      </w:r>
    </w:p>
    <w:p w14:paraId="6D391BBF" w14:textId="77777777" w:rsidR="00514CA8" w:rsidRPr="004A7810" w:rsidRDefault="00514CA8" w:rsidP="00DD369D">
      <w:pPr>
        <w:pStyle w:val="EndNoteBibliography"/>
        <w:spacing w:line="480" w:lineRule="auto"/>
        <w:ind w:left="720" w:hanging="720"/>
        <w:rPr>
          <w:noProof/>
          <w:sz w:val="24"/>
          <w:szCs w:val="24"/>
        </w:rPr>
      </w:pPr>
      <w:r w:rsidRPr="004A7810">
        <w:rPr>
          <w:noProof/>
          <w:sz w:val="24"/>
          <w:szCs w:val="24"/>
        </w:rPr>
        <w:t xml:space="preserve">Curtis, Michael Kent. </w:t>
      </w:r>
      <w:r w:rsidRPr="004A7810">
        <w:rPr>
          <w:i/>
          <w:noProof/>
          <w:sz w:val="24"/>
          <w:szCs w:val="24"/>
        </w:rPr>
        <w:t>Free Speech, the People’s Darling Privilege: Struggles for Freedom of Expression in American History</w:t>
      </w:r>
      <w:r w:rsidRPr="004A7810">
        <w:rPr>
          <w:noProof/>
          <w:sz w:val="24"/>
          <w:szCs w:val="24"/>
        </w:rPr>
        <w:t>.  Durham: Duke University Press, 2000.</w:t>
      </w:r>
    </w:p>
    <w:p w14:paraId="463FD6DC" w14:textId="77777777" w:rsidR="00DD369D" w:rsidRPr="004A7810" w:rsidRDefault="00DD369D" w:rsidP="00DD369D">
      <w:pPr>
        <w:pStyle w:val="EndNoteBibliography"/>
        <w:spacing w:line="480" w:lineRule="auto"/>
        <w:ind w:left="720" w:hanging="720"/>
        <w:rPr>
          <w:noProof/>
          <w:sz w:val="24"/>
          <w:szCs w:val="24"/>
        </w:rPr>
      </w:pPr>
      <w:r w:rsidRPr="004A7810">
        <w:rPr>
          <w:noProof/>
          <w:sz w:val="24"/>
          <w:szCs w:val="24"/>
        </w:rPr>
        <w:t xml:space="preserve">Gabrial, Brian. </w:t>
      </w:r>
      <w:r w:rsidRPr="004A7810">
        <w:rPr>
          <w:i/>
          <w:noProof/>
          <w:sz w:val="24"/>
          <w:szCs w:val="24"/>
        </w:rPr>
        <w:t>The Press and Slavery in America, 1791-1859: The Melancholy Effect of Popular Excitement</w:t>
      </w:r>
      <w:r w:rsidRPr="004A7810">
        <w:rPr>
          <w:noProof/>
          <w:sz w:val="24"/>
          <w:szCs w:val="24"/>
        </w:rPr>
        <w:t>.  Columbia, South Carolina: The University of South Carolina Press, 2016.</w:t>
      </w:r>
    </w:p>
    <w:p w14:paraId="3AB88019" w14:textId="77777777" w:rsidR="00DD369D" w:rsidRPr="004A7810" w:rsidRDefault="00DD369D" w:rsidP="00DD369D">
      <w:pPr>
        <w:pStyle w:val="EndNoteBibliography"/>
        <w:spacing w:line="480" w:lineRule="auto"/>
        <w:ind w:left="720" w:hanging="720"/>
        <w:rPr>
          <w:noProof/>
          <w:sz w:val="24"/>
          <w:szCs w:val="24"/>
        </w:rPr>
      </w:pPr>
      <w:r w:rsidRPr="004A7810">
        <w:rPr>
          <w:noProof/>
          <w:sz w:val="24"/>
          <w:szCs w:val="24"/>
        </w:rPr>
        <w:t xml:space="preserve">John, Richard R. </w:t>
      </w:r>
      <w:r w:rsidRPr="004A7810">
        <w:rPr>
          <w:i/>
          <w:noProof/>
          <w:sz w:val="24"/>
          <w:szCs w:val="24"/>
        </w:rPr>
        <w:t>Spreading the News: The American Postal System from Franklin to Morse</w:t>
      </w:r>
      <w:r w:rsidRPr="004A7810">
        <w:rPr>
          <w:noProof/>
          <w:sz w:val="24"/>
          <w:szCs w:val="24"/>
        </w:rPr>
        <w:t>.  Cambridge, Massachusetts: Harvard University Press, 1995.</w:t>
      </w:r>
    </w:p>
    <w:p w14:paraId="38ED1E5B" w14:textId="77777777" w:rsidR="00DD369D" w:rsidRPr="004A7810" w:rsidRDefault="00DD369D" w:rsidP="00DD369D">
      <w:pPr>
        <w:pStyle w:val="EndNoteBibliography"/>
        <w:spacing w:line="480" w:lineRule="auto"/>
        <w:ind w:left="720" w:hanging="720"/>
        <w:rPr>
          <w:noProof/>
          <w:sz w:val="24"/>
          <w:szCs w:val="24"/>
        </w:rPr>
      </w:pPr>
      <w:r w:rsidRPr="004A7810">
        <w:rPr>
          <w:noProof/>
          <w:sz w:val="24"/>
          <w:szCs w:val="24"/>
        </w:rPr>
        <w:t xml:space="preserve">Labunski, Richard. </w:t>
      </w:r>
      <w:r w:rsidRPr="004A7810">
        <w:rPr>
          <w:i/>
          <w:noProof/>
          <w:sz w:val="24"/>
          <w:szCs w:val="24"/>
        </w:rPr>
        <w:t>Libel and the First Amendment: Legal History and Practice in Print and Broadcasting</w:t>
      </w:r>
      <w:r w:rsidRPr="004A7810">
        <w:rPr>
          <w:noProof/>
          <w:sz w:val="24"/>
          <w:szCs w:val="24"/>
        </w:rPr>
        <w:t>.  New Brunswick and Oxford: Transaction Books, 1987.</w:t>
      </w:r>
    </w:p>
    <w:p w14:paraId="027B0668" w14:textId="77777777" w:rsidR="00DD369D" w:rsidRPr="004A7810" w:rsidRDefault="00DD369D" w:rsidP="00DD369D">
      <w:pPr>
        <w:pStyle w:val="EndNoteBibliography"/>
        <w:spacing w:line="480" w:lineRule="auto"/>
        <w:ind w:left="720" w:hanging="720"/>
        <w:rPr>
          <w:noProof/>
          <w:sz w:val="24"/>
          <w:szCs w:val="24"/>
        </w:rPr>
      </w:pPr>
      <w:r w:rsidRPr="004A7810">
        <w:rPr>
          <w:noProof/>
          <w:sz w:val="24"/>
          <w:szCs w:val="24"/>
        </w:rPr>
        <w:t xml:space="preserve">Loughran, Trish. </w:t>
      </w:r>
      <w:r w:rsidRPr="004A7810">
        <w:rPr>
          <w:i/>
          <w:noProof/>
          <w:sz w:val="24"/>
          <w:szCs w:val="24"/>
        </w:rPr>
        <w:t>The Republic in Print: Print Culture in the Age of U.S. Nation Building, 1770-1870</w:t>
      </w:r>
      <w:r w:rsidRPr="004A7810">
        <w:rPr>
          <w:noProof/>
          <w:sz w:val="24"/>
          <w:szCs w:val="24"/>
        </w:rPr>
        <w:t>.  New York: Columbia University Press, 2007.</w:t>
      </w:r>
    </w:p>
    <w:p w14:paraId="334BD698" w14:textId="77777777" w:rsidR="00DD369D" w:rsidRPr="004A7810" w:rsidRDefault="00DD369D" w:rsidP="00DD369D">
      <w:pPr>
        <w:pStyle w:val="EndNoteBibliography"/>
        <w:spacing w:line="480" w:lineRule="auto"/>
        <w:ind w:left="720" w:hanging="720"/>
        <w:rPr>
          <w:noProof/>
          <w:sz w:val="24"/>
          <w:szCs w:val="24"/>
        </w:rPr>
      </w:pPr>
      <w:r w:rsidRPr="004A7810">
        <w:rPr>
          <w:noProof/>
          <w:sz w:val="24"/>
          <w:szCs w:val="24"/>
        </w:rPr>
        <w:t xml:space="preserve">Novak, William J. </w:t>
      </w:r>
      <w:r w:rsidRPr="004A7810">
        <w:rPr>
          <w:i/>
          <w:noProof/>
          <w:sz w:val="24"/>
          <w:szCs w:val="24"/>
        </w:rPr>
        <w:t>The People’s Welfare: Law &amp; Regulation in Nineteenth-Century America</w:t>
      </w:r>
      <w:r w:rsidRPr="004A7810">
        <w:rPr>
          <w:noProof/>
          <w:sz w:val="24"/>
          <w:szCs w:val="24"/>
        </w:rPr>
        <w:t>.  Chapel Hill and London: The University of North Carolina Press, 1996.</w:t>
      </w:r>
    </w:p>
    <w:p w14:paraId="7F744295" w14:textId="77777777" w:rsidR="00DD369D" w:rsidRPr="004A7810" w:rsidRDefault="00DD369D" w:rsidP="00DD369D">
      <w:pPr>
        <w:pStyle w:val="EndNoteBibliography"/>
        <w:spacing w:line="480" w:lineRule="auto"/>
        <w:ind w:left="720" w:hanging="720"/>
        <w:rPr>
          <w:noProof/>
          <w:sz w:val="24"/>
          <w:szCs w:val="24"/>
        </w:rPr>
      </w:pPr>
      <w:r w:rsidRPr="004A7810">
        <w:rPr>
          <w:noProof/>
          <w:sz w:val="24"/>
          <w:szCs w:val="24"/>
        </w:rPr>
        <w:t xml:space="preserve">Nye, Russel B. </w:t>
      </w:r>
      <w:r w:rsidRPr="004A7810">
        <w:rPr>
          <w:i/>
          <w:noProof/>
          <w:sz w:val="24"/>
          <w:szCs w:val="24"/>
        </w:rPr>
        <w:t>Fettered Freedom: Civil Liberties and the Slavery Controversy, 1830-1860</w:t>
      </w:r>
      <w:r w:rsidRPr="004A7810">
        <w:rPr>
          <w:noProof/>
          <w:sz w:val="24"/>
          <w:szCs w:val="24"/>
        </w:rPr>
        <w:t>.  East Lansing: Michigan State College Press, 1949.</w:t>
      </w:r>
    </w:p>
    <w:p w14:paraId="2A2B4544" w14:textId="6BC6BD80" w:rsidR="00DD369D" w:rsidRPr="004A7810" w:rsidRDefault="00DD369D" w:rsidP="00DD369D">
      <w:pPr>
        <w:pStyle w:val="EndNoteBibliography"/>
        <w:spacing w:line="480" w:lineRule="auto"/>
        <w:ind w:left="720" w:hanging="720"/>
        <w:rPr>
          <w:noProof/>
          <w:sz w:val="24"/>
          <w:szCs w:val="24"/>
        </w:rPr>
      </w:pPr>
      <w:r w:rsidRPr="004A7810">
        <w:rPr>
          <w:noProof/>
          <w:sz w:val="24"/>
          <w:szCs w:val="24"/>
        </w:rPr>
        <w:t xml:space="preserve">Ratner, Lorman. </w:t>
      </w:r>
      <w:r w:rsidRPr="004A7810">
        <w:rPr>
          <w:i/>
          <w:noProof/>
          <w:sz w:val="24"/>
          <w:szCs w:val="24"/>
        </w:rPr>
        <w:t>Powder Keg: Northern Opposition to The Antislavery Movement, 1831-1840</w:t>
      </w:r>
      <w:r w:rsidRPr="004A7810">
        <w:rPr>
          <w:noProof/>
          <w:sz w:val="24"/>
          <w:szCs w:val="24"/>
        </w:rPr>
        <w:t>.  New York: Basic Books, 1968.</w:t>
      </w:r>
    </w:p>
    <w:p w14:paraId="590D1459" w14:textId="77777777" w:rsidR="00DD369D" w:rsidRPr="004A7810" w:rsidRDefault="00DD369D" w:rsidP="00DD369D">
      <w:pPr>
        <w:pStyle w:val="EndNoteBibliography"/>
        <w:spacing w:line="480" w:lineRule="auto"/>
        <w:ind w:left="720" w:hanging="720"/>
        <w:rPr>
          <w:noProof/>
          <w:sz w:val="24"/>
          <w:szCs w:val="24"/>
        </w:rPr>
      </w:pPr>
      <w:r w:rsidRPr="004A7810">
        <w:rPr>
          <w:noProof/>
          <w:sz w:val="24"/>
          <w:szCs w:val="24"/>
        </w:rPr>
        <w:t>Reese, David Meredith. "Humbugs of New York: Being a Remonstrance against Popular Delusion Whether in Science, Philosophy, or Religion." Boston: Weeks, Jordon &amp; Co., 1838.</w:t>
      </w:r>
    </w:p>
    <w:p w14:paraId="65D28195" w14:textId="77777777" w:rsidR="00DD369D" w:rsidRPr="004A7810" w:rsidRDefault="00DD369D" w:rsidP="00DD369D">
      <w:pPr>
        <w:pStyle w:val="EndNoteBibliography"/>
        <w:spacing w:line="480" w:lineRule="auto"/>
        <w:ind w:left="720" w:hanging="720"/>
        <w:rPr>
          <w:noProof/>
          <w:sz w:val="24"/>
          <w:szCs w:val="24"/>
        </w:rPr>
      </w:pPr>
      <w:r w:rsidRPr="004A7810">
        <w:rPr>
          <w:noProof/>
          <w:sz w:val="24"/>
          <w:szCs w:val="24"/>
        </w:rPr>
        <w:t xml:space="preserve">Richards, Leonard L. </w:t>
      </w:r>
      <w:r w:rsidRPr="004A7810">
        <w:rPr>
          <w:i/>
          <w:noProof/>
          <w:sz w:val="24"/>
          <w:szCs w:val="24"/>
        </w:rPr>
        <w:t>Gentlemen of Property and Standing: Anti-Abolition Mobs in Jacksonian America</w:t>
      </w:r>
      <w:r w:rsidRPr="004A7810">
        <w:rPr>
          <w:noProof/>
          <w:sz w:val="24"/>
          <w:szCs w:val="24"/>
        </w:rPr>
        <w:t>.  New York: Oxford University Press, 1970.</w:t>
      </w:r>
    </w:p>
    <w:p w14:paraId="57C21681" w14:textId="586F2742" w:rsidR="00DD369D" w:rsidRPr="004A7810" w:rsidRDefault="00DD369D" w:rsidP="00DD369D">
      <w:pPr>
        <w:pStyle w:val="EndNoteBibliography"/>
        <w:spacing w:line="480" w:lineRule="auto"/>
        <w:ind w:left="720" w:hanging="720"/>
        <w:rPr>
          <w:noProof/>
          <w:sz w:val="24"/>
          <w:szCs w:val="24"/>
        </w:rPr>
      </w:pPr>
      <w:r w:rsidRPr="004A7810">
        <w:rPr>
          <w:noProof/>
          <w:sz w:val="24"/>
          <w:szCs w:val="24"/>
        </w:rPr>
        <w:t xml:space="preserve">Risley, Ford. </w:t>
      </w:r>
      <w:r w:rsidRPr="004A7810">
        <w:rPr>
          <w:i/>
          <w:noProof/>
          <w:sz w:val="24"/>
          <w:szCs w:val="24"/>
        </w:rPr>
        <w:t>Abolition and the Press: The Moral Struggle Against Slavery</w:t>
      </w:r>
      <w:r w:rsidRPr="004A7810">
        <w:rPr>
          <w:noProof/>
          <w:sz w:val="24"/>
          <w:szCs w:val="24"/>
        </w:rPr>
        <w:t>.  Evanston, Ill: Northwestern University Press, 2008.</w:t>
      </w:r>
    </w:p>
    <w:p w14:paraId="4BE649D9" w14:textId="77777777" w:rsidR="00DD369D" w:rsidRPr="004A7810" w:rsidRDefault="00DD369D" w:rsidP="00DD369D">
      <w:pPr>
        <w:pStyle w:val="EndNoteBibliography"/>
        <w:spacing w:line="480" w:lineRule="auto"/>
        <w:ind w:left="720" w:hanging="720"/>
        <w:rPr>
          <w:noProof/>
          <w:sz w:val="24"/>
          <w:szCs w:val="24"/>
        </w:rPr>
      </w:pPr>
      <w:r w:rsidRPr="004A7810">
        <w:rPr>
          <w:noProof/>
          <w:sz w:val="24"/>
          <w:szCs w:val="24"/>
        </w:rPr>
        <w:t xml:space="preserve">Rosenberg, Norman L. </w:t>
      </w:r>
      <w:r w:rsidRPr="004A7810">
        <w:rPr>
          <w:i/>
          <w:noProof/>
          <w:sz w:val="24"/>
          <w:szCs w:val="24"/>
        </w:rPr>
        <w:t>Protecting the Best Men: An Interpretive History of the Law of Libel</w:t>
      </w:r>
      <w:r w:rsidRPr="004A7810">
        <w:rPr>
          <w:noProof/>
          <w:sz w:val="24"/>
          <w:szCs w:val="24"/>
        </w:rPr>
        <w:t>.  Chapel Hill and London: The University of North Carolina Press, 1986.</w:t>
      </w:r>
    </w:p>
    <w:p w14:paraId="5CABF4C1" w14:textId="77777777" w:rsidR="00DD369D" w:rsidRPr="004A7810" w:rsidRDefault="00DD369D" w:rsidP="00DD369D">
      <w:pPr>
        <w:pStyle w:val="EndNoteBibliography"/>
        <w:spacing w:line="480" w:lineRule="auto"/>
        <w:ind w:left="720" w:hanging="720"/>
        <w:rPr>
          <w:noProof/>
          <w:sz w:val="24"/>
          <w:szCs w:val="24"/>
        </w:rPr>
      </w:pPr>
      <w:r w:rsidRPr="004A7810">
        <w:rPr>
          <w:noProof/>
          <w:sz w:val="24"/>
          <w:szCs w:val="24"/>
        </w:rPr>
        <w:t xml:space="preserve">Sinha, Manisha. </w:t>
      </w:r>
      <w:r w:rsidRPr="004A7810">
        <w:rPr>
          <w:i/>
          <w:noProof/>
          <w:sz w:val="24"/>
          <w:szCs w:val="24"/>
        </w:rPr>
        <w:t>The Slave’s Cause: A History of Abolition</w:t>
      </w:r>
      <w:r w:rsidRPr="004A7810">
        <w:rPr>
          <w:noProof/>
          <w:sz w:val="24"/>
          <w:szCs w:val="24"/>
        </w:rPr>
        <w:t>.  New Haven &amp; London: Yale University Press, 2016.</w:t>
      </w:r>
    </w:p>
    <w:p w14:paraId="16227C31" w14:textId="77777777" w:rsidR="00DD369D" w:rsidRPr="004A7810" w:rsidRDefault="00DD369D" w:rsidP="00DD369D">
      <w:pPr>
        <w:pStyle w:val="EndNoteBibliography"/>
        <w:spacing w:line="480" w:lineRule="auto"/>
        <w:ind w:left="720" w:hanging="720"/>
        <w:rPr>
          <w:noProof/>
          <w:sz w:val="24"/>
          <w:szCs w:val="24"/>
        </w:rPr>
      </w:pPr>
      <w:r w:rsidRPr="004A7810">
        <w:rPr>
          <w:noProof/>
          <w:sz w:val="24"/>
          <w:szCs w:val="24"/>
        </w:rPr>
        <w:t xml:space="preserve">Starr, Paul. </w:t>
      </w:r>
      <w:r w:rsidRPr="004A7810">
        <w:rPr>
          <w:i/>
          <w:noProof/>
          <w:sz w:val="24"/>
          <w:szCs w:val="24"/>
        </w:rPr>
        <w:t>The Creation of the Media: Political Origins of Modern Communications</w:t>
      </w:r>
      <w:r w:rsidRPr="004A7810">
        <w:rPr>
          <w:noProof/>
          <w:sz w:val="24"/>
          <w:szCs w:val="24"/>
        </w:rPr>
        <w:t>.  New York: Basic Books, 2004.</w:t>
      </w:r>
    </w:p>
    <w:p w14:paraId="44033240" w14:textId="77777777" w:rsidR="00DD369D" w:rsidRPr="004A7810" w:rsidRDefault="00DD369D" w:rsidP="00DD369D">
      <w:pPr>
        <w:pStyle w:val="EndNoteBibliography"/>
        <w:spacing w:line="480" w:lineRule="auto"/>
        <w:ind w:left="720" w:hanging="720"/>
        <w:rPr>
          <w:noProof/>
          <w:sz w:val="24"/>
          <w:szCs w:val="24"/>
        </w:rPr>
      </w:pPr>
      <w:r w:rsidRPr="004A7810">
        <w:rPr>
          <w:noProof/>
          <w:sz w:val="24"/>
          <w:szCs w:val="24"/>
        </w:rPr>
        <w:t xml:space="preserve">Stewart, James Brewer. </w:t>
      </w:r>
      <w:r w:rsidRPr="004A7810">
        <w:rPr>
          <w:i/>
          <w:noProof/>
          <w:sz w:val="24"/>
          <w:szCs w:val="24"/>
        </w:rPr>
        <w:t>Holy Warriors: The Abolitionists and American Slavery</w:t>
      </w:r>
      <w:r w:rsidRPr="004A7810">
        <w:rPr>
          <w:noProof/>
          <w:sz w:val="24"/>
          <w:szCs w:val="24"/>
        </w:rPr>
        <w:t>.  New York: Hill and Wang, 1976.</w:t>
      </w:r>
    </w:p>
    <w:p w14:paraId="178FF916" w14:textId="77777777" w:rsidR="00514CA8" w:rsidRPr="004A7810" w:rsidRDefault="00514CA8" w:rsidP="00DD369D">
      <w:pPr>
        <w:spacing w:line="480" w:lineRule="auto"/>
      </w:pPr>
    </w:p>
    <w:sectPr w:rsidR="00514CA8" w:rsidRPr="004A7810" w:rsidSect="00305CB3">
      <w:headerReference w:type="even" r:id="rId13"/>
      <w:headerReference w:type="defaul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D46BE7" w14:textId="77777777" w:rsidR="008B07F0" w:rsidRDefault="008B07F0" w:rsidP="00305CB3">
      <w:r>
        <w:separator/>
      </w:r>
    </w:p>
  </w:endnote>
  <w:endnote w:type="continuationSeparator" w:id="0">
    <w:p w14:paraId="39B0616E" w14:textId="77777777" w:rsidR="008B07F0" w:rsidRDefault="008B07F0" w:rsidP="00305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3CE169" w14:textId="77777777" w:rsidR="008B07F0" w:rsidRDefault="008B07F0" w:rsidP="00305CB3">
      <w:r>
        <w:separator/>
      </w:r>
    </w:p>
  </w:footnote>
  <w:footnote w:type="continuationSeparator" w:id="0">
    <w:p w14:paraId="3BEA52BF" w14:textId="77777777" w:rsidR="008B07F0" w:rsidRDefault="008B07F0" w:rsidP="00305CB3">
      <w:r>
        <w:continuationSeparator/>
      </w:r>
    </w:p>
  </w:footnote>
  <w:footnote w:id="1">
    <w:p w14:paraId="6608BBC2" w14:textId="47F5EED2" w:rsidR="00281F97" w:rsidRDefault="00281F97">
      <w:pPr>
        <w:pStyle w:val="FootnoteText"/>
      </w:pPr>
      <w:r>
        <w:rPr>
          <w:rStyle w:val="FootnoteReference"/>
        </w:rPr>
        <w:footnoteRef/>
      </w:r>
      <w:r>
        <w:t xml:space="preserve"> </w:t>
      </w:r>
      <w:r>
        <w:fldChar w:fldCharType="begin"/>
      </w:r>
      <w:r>
        <w:instrText xml:space="preserve"> ADDIN EN.CITE &lt;EndNote&gt;&lt;Cite&gt;&lt;Author&gt;Coffin&lt;/Author&gt;&lt;Year&gt;1876&lt;/Year&gt;&lt;RecNum&gt;120&lt;/RecNum&gt;&lt;DisplayText&gt;Levi Coffin, The Mob Spirit in Cincinnati, (Cincinnati: Western Tract Society, 1876), http://utc.iath.virginia.edu/abolitn/abeslcat.html.&lt;/DisplayText&gt;&lt;record&gt;&lt;rec-number&gt;120&lt;/rec-number&gt;&lt;foreign-keys&gt;&lt;key app="EN" db-id="zsrseat5ww9t5devdf1prxd7r0errx92pd5v" timestamp="1554662723"&gt;120&lt;/key&gt;&lt;/foreign-keys&gt;&lt;ref-type name="Electronic Book"&gt;44&lt;/ref-type&gt;&lt;contributors&gt;&lt;authors&gt;&lt;author&gt;Levi Coffin&lt;/author&gt;&lt;/authors&gt;&lt;/contributors&gt;&lt;titles&gt;&lt;title&gt;The Mob Spirit in Cincinnati&lt;/title&gt;&lt;/titles&gt;&lt;dates&gt;&lt;year&gt;1876&lt;/year&gt;&lt;/dates&gt;&lt;pub-location&gt;Cincinnati&lt;/pub-location&gt;&lt;publisher&gt;Western Tract Society&lt;/publisher&gt;&lt;urls&gt;&lt;related-urls&gt;&lt;url&gt;http://utc.iath.virginia.edu/abolitn/abeslcat.html&lt;/url&gt;&lt;/related-urls&gt;&lt;/urls&gt;&lt;/record&gt;&lt;/Cite&gt;&lt;/EndNote&gt;</w:instrText>
      </w:r>
      <w:r>
        <w:fldChar w:fldCharType="separate"/>
      </w:r>
      <w:r>
        <w:rPr>
          <w:noProof/>
        </w:rPr>
        <w:t>Levi Coffin, The Mob Spirit in Cincinnati, (Cincinnati: Western Tract Society, 1876), http://utc.iath.virginia.edu/abolitn/abeslcat.html.</w:t>
      </w:r>
      <w:r>
        <w:fldChar w:fldCharType="end"/>
      </w:r>
    </w:p>
  </w:footnote>
  <w:footnote w:id="2">
    <w:p w14:paraId="3C3A1A29" w14:textId="3838C15F" w:rsidR="00281F97" w:rsidRDefault="00281F97" w:rsidP="0056308D">
      <w:pPr>
        <w:pStyle w:val="FootnoteText"/>
      </w:pPr>
      <w:r>
        <w:rPr>
          <w:rStyle w:val="FootnoteReference"/>
        </w:rPr>
        <w:footnoteRef/>
      </w:r>
      <w:r>
        <w:t xml:space="preserve"> </w:t>
      </w:r>
      <w:r>
        <w:fldChar w:fldCharType="begin"/>
      </w:r>
      <w:r>
        <w:instrText xml:space="preserve"> ADDIN EN.CITE &lt;EndNote&gt;&lt;Cite&gt;&lt;Year&gt;1836&lt;/Year&gt;&lt;RecNum&gt;121&lt;/RecNum&gt;&lt;DisplayText&gt;&amp;quot;Letter of the Executive Committee of the New York Anti-Slavery Society to the Executive Committee of the Ohio Anti-Slavery Society, at Cincinnati,&amp;quot; in &lt;style face="italic"&gt;A Collection of Valuable Documents&lt;/style&gt; (Boston: Isaac Knapp, 1836).&lt;/DisplayText&gt;&lt;record&gt;&lt;rec-number&gt;121&lt;/rec-number&gt;&lt;foreign-keys&gt;&lt;key app="EN" db-id="zsrseat5ww9t5devdf1prxd7r0errx92pd5v" timestamp="1554663618"&gt;121&lt;/key&gt;&lt;/foreign-keys&gt;&lt;ref-type name="Book Section"&gt;5&lt;/ref-type&gt;&lt;contributors&gt;&lt;/contributors&gt;&lt;titles&gt;&lt;title&gt;Letter of the Executive Committee of the New York Anti-Slavery Society to the Executive Committee of the Ohio Anti-Slavery Society, at Cincinnati&lt;/title&gt;&lt;secondary-title&gt;A Collection of Valuable Documents&lt;/secondary-title&gt;&lt;/titles&gt;&lt;dates&gt;&lt;year&gt;1836&lt;/year&gt;&lt;/dates&gt;&lt;pub-location&gt;Boston&lt;/pub-location&gt;&lt;publisher&gt;Isaac Knapp&lt;/publisher&gt;&lt;urls&gt;&lt;/urls&gt;&lt;/record&gt;&lt;/Cite&gt;&lt;/EndNote&gt;</w:instrText>
      </w:r>
      <w:r>
        <w:fldChar w:fldCharType="separate"/>
      </w:r>
      <w:r>
        <w:rPr>
          <w:noProof/>
        </w:rPr>
        <w:t xml:space="preserve">"Letter of the Executive Committee of the New York Anti-Slavery Society to the Executive Committee of the Ohio Anti-Slavery Society, at Cincinnati," in </w:t>
      </w:r>
      <w:r w:rsidRPr="0043220D">
        <w:rPr>
          <w:i/>
          <w:noProof/>
        </w:rPr>
        <w:t>A Collection of Valuable Documents</w:t>
      </w:r>
      <w:r>
        <w:rPr>
          <w:noProof/>
        </w:rPr>
        <w:t xml:space="preserve"> (Boston: Isaac Knapp, 1836).</w:t>
      </w:r>
      <w:r>
        <w:fldChar w:fldCharType="end"/>
      </w:r>
      <w:r>
        <w:t>, 70.</w:t>
      </w:r>
    </w:p>
  </w:footnote>
  <w:footnote w:id="3">
    <w:p w14:paraId="333C7706" w14:textId="77777777" w:rsidR="00281F97" w:rsidRDefault="00281F97">
      <w:pPr>
        <w:pStyle w:val="FootnoteText"/>
      </w:pPr>
      <w:r>
        <w:rPr>
          <w:rStyle w:val="FootnoteReference"/>
        </w:rPr>
        <w:footnoteRef/>
      </w:r>
      <w:r>
        <w:t xml:space="preserve"> </w:t>
      </w:r>
      <w:r>
        <w:fldChar w:fldCharType="begin"/>
      </w:r>
      <w:r>
        <w:instrText xml:space="preserve"> ADDIN EN.CITE &lt;EndNote&gt;&lt;Cite&gt;&lt;Author&gt;Stewart&lt;/Author&gt;&lt;Year&gt;1976&lt;/Year&gt;&lt;RecNum&gt;89&lt;/RecNum&gt;&lt;DisplayText&gt;James Brewer Stewart, &lt;style face="italic"&gt;Holy Warriors: The Abolitionists and American Slavery&lt;/style&gt; (New York: Hill and Wang, 1976).&lt;/DisplayText&gt;&lt;record&gt;&lt;rec-number&gt;89&lt;/rec-number&gt;&lt;foreign-keys&gt;&lt;key app="EN" db-id="zsrseat5ww9t5devdf1prxd7r0errx92pd5v" timestamp="1549916099"&gt;89&lt;/key&gt;&lt;/foreign-keys&gt;&lt;ref-type name="Book"&gt;6&lt;/ref-type&gt;&lt;contributors&gt;&lt;authors&gt;&lt;author&gt;James Brewer Stewart&lt;/author&gt;&lt;/authors&gt;&lt;/contributors&gt;&lt;titles&gt;&lt;title&gt;Holy Warriors: The Abolitionists and American Slavery&lt;/title&gt;&lt;/titles&gt;&lt;dates&gt;&lt;year&gt;1976&lt;/year&gt;&lt;/dates&gt;&lt;pub-location&gt;New York&lt;/pub-location&gt;&lt;publisher&gt;Hill and Wang&lt;/publisher&gt;&lt;urls&gt;&lt;/urls&gt;&lt;/record&gt;&lt;/Cite&gt;&lt;/EndNote&gt;</w:instrText>
      </w:r>
      <w:r>
        <w:fldChar w:fldCharType="separate"/>
      </w:r>
      <w:r>
        <w:rPr>
          <w:noProof/>
        </w:rPr>
        <w:t xml:space="preserve">James Brewer Stewart, </w:t>
      </w:r>
      <w:r w:rsidRPr="00E01FC9">
        <w:rPr>
          <w:i/>
          <w:noProof/>
        </w:rPr>
        <w:t>Holy Warriors: The Abolitionists and American Slavery</w:t>
      </w:r>
      <w:r>
        <w:rPr>
          <w:noProof/>
        </w:rPr>
        <w:t xml:space="preserve"> (New York: Hill and Wang, 1976).</w:t>
      </w:r>
      <w:r>
        <w:fldChar w:fldCharType="end"/>
      </w:r>
      <w:r>
        <w:t xml:space="preserve">, 36, 44.; </w:t>
      </w:r>
      <w:r>
        <w:fldChar w:fldCharType="begin"/>
      </w:r>
      <w:r>
        <w:instrText xml:space="preserve"> ADDIN EN.CITE &lt;EndNote&gt;&lt;Cite&gt;&lt;Author&gt;Risley&lt;/Author&gt;&lt;Year&gt;2008&lt;/Year&gt;&lt;RecNum&gt;91&lt;/RecNum&gt;&lt;DisplayText&gt;Ford Risley, &lt;style face="italic"&gt;Abolition and the Press: The Moral Struggle against Slavery&lt;/style&gt; (Evanston, Ill: Northwestern University Press, 2008).&lt;/DisplayText&gt;&lt;record&gt;&lt;rec-number&gt;91&lt;/rec-number&gt;&lt;foreign-keys&gt;&lt;key app="EN" db-id="zsrseat5ww9t5devdf1prxd7r0errx92pd5v" timestamp="1549916247"&gt;91&lt;/key&gt;&lt;/foreign-keys&gt;&lt;ref-type name="Book"&gt;6&lt;/ref-type&gt;&lt;contributors&gt;&lt;authors&gt;&lt;author&gt;Ford Risley&lt;/author&gt;&lt;/authors&gt;&lt;/contributors&gt;&lt;titles&gt;&lt;title&gt;Abolition and the Press: The Moral Struggle Against Slavery&lt;/title&gt;&lt;/titles&gt;&lt;dates&gt;&lt;year&gt;2008&lt;/year&gt;&lt;/dates&gt;&lt;pub-location&gt;Evanston, Ill&lt;/pub-location&gt;&lt;publisher&gt;Northwestern University Press&lt;/publisher&gt;&lt;urls&gt;&lt;/urls&gt;&lt;/record&gt;&lt;/Cite&gt;&lt;/EndNote&gt;</w:instrText>
      </w:r>
      <w:r>
        <w:fldChar w:fldCharType="separate"/>
      </w:r>
      <w:r>
        <w:rPr>
          <w:noProof/>
        </w:rPr>
        <w:t xml:space="preserve">Ford Risley, </w:t>
      </w:r>
      <w:r w:rsidRPr="009F1FA0">
        <w:rPr>
          <w:i/>
          <w:noProof/>
        </w:rPr>
        <w:t>Abolition and the Press: The Moral Struggle against Slavery</w:t>
      </w:r>
      <w:r>
        <w:rPr>
          <w:noProof/>
        </w:rPr>
        <w:t xml:space="preserve"> (Evanston, Ill: Northwestern University Press, 2008).</w:t>
      </w:r>
      <w:r>
        <w:fldChar w:fldCharType="end"/>
      </w:r>
      <w:r>
        <w:t>, 40.</w:t>
      </w:r>
    </w:p>
  </w:footnote>
  <w:footnote w:id="4">
    <w:p w14:paraId="31AF0117" w14:textId="77777777" w:rsidR="00281F97" w:rsidRDefault="00281F97">
      <w:pPr>
        <w:pStyle w:val="FootnoteText"/>
      </w:pPr>
      <w:r>
        <w:rPr>
          <w:rStyle w:val="FootnoteReference"/>
        </w:rPr>
        <w:footnoteRef/>
      </w:r>
      <w:r>
        <w:t xml:space="preserve"> </w:t>
      </w:r>
      <w:r>
        <w:fldChar w:fldCharType="begin"/>
      </w:r>
      <w:r>
        <w:instrText xml:space="preserve"> ADDIN EN.CITE &lt;EndNote&gt;&lt;Cite&gt;&lt;Author&gt;Nye&lt;/Author&gt;&lt;Year&gt;1949&lt;/Year&gt;&lt;RecNum&gt;90&lt;/RecNum&gt;&lt;DisplayText&gt;Russel B. Nye, &lt;style face="italic"&gt;Fettered Freedom: Civil Liberties and the Slavery Controversy, 1830-1860&lt;/style&gt; (East Lansing: Michigan State College Press, 1949).&lt;/DisplayText&gt;&lt;record&gt;&lt;rec-number&gt;90&lt;/rec-number&gt;&lt;foreign-keys&gt;&lt;key app="EN" db-id="zsrseat5ww9t5devdf1prxd7r0errx92pd5v" timestamp="1549916171"&gt;90&lt;/key&gt;&lt;/foreign-keys&gt;&lt;ref-type name="Book"&gt;6&lt;/ref-type&gt;&lt;contributors&gt;&lt;authors&gt;&lt;author&gt;Russel B. Nye&lt;/author&gt;&lt;/authors&gt;&lt;/contributors&gt;&lt;titles&gt;&lt;title&gt;Fettered Freedom: Civil Liberties and the Slavery Controversy, 1830-1860&lt;/title&gt;&lt;/titles&gt;&lt;dates&gt;&lt;year&gt;1949&lt;/year&gt;&lt;/dates&gt;&lt;pub-location&gt;East Lansing&lt;/pub-location&gt;&lt;publisher&gt;Michigan State College Press&lt;/publisher&gt;&lt;urls&gt;&lt;/urls&gt;&lt;/record&gt;&lt;/Cite&gt;&lt;/EndNote&gt;</w:instrText>
      </w:r>
      <w:r>
        <w:fldChar w:fldCharType="separate"/>
      </w:r>
      <w:r>
        <w:rPr>
          <w:noProof/>
        </w:rPr>
        <w:t xml:space="preserve">Russel B. Nye, </w:t>
      </w:r>
      <w:r w:rsidRPr="00400D98">
        <w:rPr>
          <w:i/>
          <w:noProof/>
        </w:rPr>
        <w:t>Fettered Freedom: Civil Liberties and the Slavery Controversy, 1830-1860</w:t>
      </w:r>
      <w:r>
        <w:rPr>
          <w:noProof/>
        </w:rPr>
        <w:t xml:space="preserve"> (East Lansing: Michigan State College Press, 1949).</w:t>
      </w:r>
      <w:r>
        <w:fldChar w:fldCharType="end"/>
      </w:r>
      <w:r>
        <w:t xml:space="preserve">, 6; </w:t>
      </w:r>
      <w:r>
        <w:fldChar w:fldCharType="begin"/>
      </w:r>
      <w:r>
        <w:instrText xml:space="preserve"> ADDIN EN.CITE &lt;EndNote&gt;&lt;Cite&gt;&lt;Author&gt;Sinha&lt;/Author&gt;&lt;Year&gt;2016&lt;/Year&gt;&lt;RecNum&gt;72&lt;/RecNum&gt;&lt;DisplayText&gt;Manisha Sinha, &lt;style face="italic"&gt;The Slave’s Cause: A History of Abolition&lt;/style&gt; (New Haven &amp;amp; London: Yale University Press, 2016).&lt;/DisplayText&gt;&lt;record&gt;&lt;rec-number&gt;72&lt;/rec-number&gt;&lt;foreign-keys&gt;&lt;key app="EN" db-id="zsrseat5ww9t5devdf1prxd7r0errx92pd5v" timestamp="1543522108"&gt;72&lt;/key&gt;&lt;/foreign-keys&gt;&lt;ref-type name="Book"&gt;6&lt;/ref-type&gt;&lt;contributors&gt;&lt;authors&gt;&lt;author&gt;Manisha Sinha&lt;/author&gt;&lt;/authors&gt;&lt;/contributors&gt;&lt;titles&gt;&lt;title&gt;The Slave’s Cause: A History of Abolition&lt;/title&gt;&lt;/titles&gt;&lt;dates&gt;&lt;year&gt;2016&lt;/year&gt;&lt;/dates&gt;&lt;pub-location&gt;New Haven &amp;amp; London&lt;/pub-location&gt;&lt;publisher&gt;Yale University Press&lt;/publisher&gt;&lt;urls&gt;&lt;/urls&gt;&lt;/record&gt;&lt;/Cite&gt;&lt;/EndNote&gt;</w:instrText>
      </w:r>
      <w:r>
        <w:fldChar w:fldCharType="separate"/>
      </w:r>
      <w:r>
        <w:rPr>
          <w:noProof/>
        </w:rPr>
        <w:t xml:space="preserve">Manisha Sinha, </w:t>
      </w:r>
      <w:r w:rsidRPr="00400D98">
        <w:rPr>
          <w:i/>
          <w:noProof/>
        </w:rPr>
        <w:t>The Slave’s Cause: A History of Abolition</w:t>
      </w:r>
      <w:r>
        <w:rPr>
          <w:noProof/>
        </w:rPr>
        <w:t xml:space="preserve"> (New Haven &amp; London: Yale University Press, 2016).</w:t>
      </w:r>
      <w:r>
        <w:fldChar w:fldCharType="end"/>
      </w:r>
      <w:r>
        <w:t>, 211, 228.</w:t>
      </w:r>
    </w:p>
  </w:footnote>
  <w:footnote w:id="5">
    <w:p w14:paraId="21C99604" w14:textId="77777777" w:rsidR="00281F97" w:rsidRDefault="00281F97">
      <w:pPr>
        <w:pStyle w:val="FootnoteText"/>
      </w:pPr>
      <w:r>
        <w:rPr>
          <w:rStyle w:val="FootnoteReference"/>
        </w:rPr>
        <w:footnoteRef/>
      </w:r>
      <w:r>
        <w:t xml:space="preserve"> </w:t>
      </w:r>
      <w:r>
        <w:fldChar w:fldCharType="begin"/>
      </w:r>
      <w:r>
        <w:instrText xml:space="preserve"> ADDIN EN.CITE &lt;EndNote&gt;&lt;Cite&gt;&lt;Author&gt;Starr&lt;/Author&gt;&lt;Year&gt;2004&lt;/Year&gt;&lt;RecNum&gt;93&lt;/RecNum&gt;&lt;DisplayText&gt;Paul Starr, &lt;style face="italic"&gt;The Creation of the Media: Political Origins of Modern Communications&lt;/style&gt; (New York: Basic Books, 2004).&lt;/DisplayText&gt;&lt;record&gt;&lt;rec-number&gt;93&lt;/rec-number&gt;&lt;foreign-keys&gt;&lt;key app="EN" db-id="zsrseat5ww9t5devdf1prxd7r0errx92pd5v" timestamp="1549916442"&gt;93&lt;/key&gt;&lt;/foreign-keys&gt;&lt;ref-type name="Book"&gt;6&lt;/ref-type&gt;&lt;contributors&gt;&lt;authors&gt;&lt;author&gt;Paul Starr&lt;/author&gt;&lt;/authors&gt;&lt;/contributors&gt;&lt;titles&gt;&lt;title&gt;The Creation of the Media: Political Origins of Modern Communications&lt;/title&gt;&lt;/titles&gt;&lt;dates&gt;&lt;year&gt;2004&lt;/year&gt;&lt;/dates&gt;&lt;pub-location&gt;New York&lt;/pub-location&gt;&lt;publisher&gt;Basic Books&lt;/publisher&gt;&lt;urls&gt;&lt;/urls&gt;&lt;/record&gt;&lt;/Cite&gt;&lt;/EndNote&gt;</w:instrText>
      </w:r>
      <w:r>
        <w:fldChar w:fldCharType="separate"/>
      </w:r>
      <w:r>
        <w:rPr>
          <w:noProof/>
        </w:rPr>
        <w:t xml:space="preserve">Paul Starr, </w:t>
      </w:r>
      <w:r w:rsidRPr="00FB6485">
        <w:rPr>
          <w:i/>
          <w:noProof/>
        </w:rPr>
        <w:t>The Creation of the Media: Political Origins of Modern Communications</w:t>
      </w:r>
      <w:r>
        <w:rPr>
          <w:noProof/>
        </w:rPr>
        <w:t xml:space="preserve"> (New York: Basic Books, 2004).</w:t>
      </w:r>
      <w:r>
        <w:fldChar w:fldCharType="end"/>
      </w:r>
      <w:r>
        <w:t xml:space="preserve">, 83-87.; </w:t>
      </w:r>
      <w:r>
        <w:fldChar w:fldCharType="begin"/>
      </w:r>
      <w:r>
        <w:instrText xml:space="preserve"> ADDIN EN.CITE &lt;EndNote&gt;&lt;Cite&gt;&lt;Author&gt;Loughran&lt;/Author&gt;&lt;Year&gt;2007&lt;/Year&gt;&lt;RecNum&gt;88&lt;/RecNum&gt;&lt;DisplayText&gt;Trish Loughran, &lt;style face="italic"&gt;The Republic in Print: Print Culture in the Age of U.S. Nation Building, 1770-1870&lt;/style&gt; (New York: Columbia University Press, 2007).&lt;/DisplayText&gt;&lt;record&gt;&lt;rec-number&gt;88&lt;/rec-number&gt;&lt;foreign-keys&gt;&lt;key app="EN" db-id="zsrseat5ww9t5devdf1prxd7r0errx92pd5v" timestamp="1549647124"&gt;88&lt;/key&gt;&lt;/foreign-keys&gt;&lt;ref-type name="Book"&gt;6&lt;/ref-type&gt;&lt;contributors&gt;&lt;authors&gt;&lt;author&gt;Trish Loughran&lt;/author&gt;&lt;/authors&gt;&lt;/contributors&gt;&lt;titles&gt;&lt;title&gt;The Republic in Print: Print Culture in the Age of U.S. Nation Building, 1770-1870&lt;/title&gt;&lt;/titles&gt;&lt;dates&gt;&lt;year&gt;2007&lt;/year&gt;&lt;/dates&gt;&lt;pub-location&gt;New York&lt;/pub-location&gt;&lt;publisher&gt;Columbia University Press&lt;/publisher&gt;&lt;urls&gt;&lt;/urls&gt;&lt;/record&gt;&lt;/Cite&gt;&lt;/EndNote&gt;</w:instrText>
      </w:r>
      <w:r>
        <w:fldChar w:fldCharType="separate"/>
      </w:r>
      <w:r>
        <w:rPr>
          <w:noProof/>
        </w:rPr>
        <w:t xml:space="preserve">Trish Loughran, </w:t>
      </w:r>
      <w:r w:rsidRPr="00FB6485">
        <w:rPr>
          <w:i/>
          <w:noProof/>
        </w:rPr>
        <w:t>The Republic in Print: Print Culture in the Age of U.S. Nation Building, 1770-1870</w:t>
      </w:r>
      <w:r>
        <w:rPr>
          <w:noProof/>
        </w:rPr>
        <w:t xml:space="preserve"> (New York: Columbia University Press, 2007).</w:t>
      </w:r>
      <w:r>
        <w:fldChar w:fldCharType="end"/>
      </w:r>
      <w:r>
        <w:t>, XIX, 345.</w:t>
      </w:r>
    </w:p>
  </w:footnote>
  <w:footnote w:id="6">
    <w:p w14:paraId="4D8CD5F1" w14:textId="77777777" w:rsidR="00281F97" w:rsidRDefault="00281F97">
      <w:pPr>
        <w:pStyle w:val="FootnoteText"/>
      </w:pPr>
      <w:r>
        <w:rPr>
          <w:rStyle w:val="FootnoteReference"/>
        </w:rPr>
        <w:footnoteRef/>
      </w:r>
      <w:r>
        <w:t xml:space="preserve"> </w:t>
      </w:r>
      <w:r>
        <w:fldChar w:fldCharType="begin"/>
      </w:r>
      <w:r>
        <w:instrText xml:space="preserve"> ADDIN EN.CITE &lt;EndNote&gt;&lt;Cite&gt;&lt;Author&gt;Risley&lt;/Author&gt;&lt;Year&gt;2008&lt;/Year&gt;&lt;RecNum&gt;91&lt;/RecNum&gt;&lt;DisplayText&gt;Risley.&lt;/DisplayText&gt;&lt;record&gt;&lt;rec-number&gt;91&lt;/rec-number&gt;&lt;foreign-keys&gt;&lt;key app="EN" db-id="zsrseat5ww9t5devdf1prxd7r0errx92pd5v" timestamp="1549916247"&gt;91&lt;/key&gt;&lt;/foreign-keys&gt;&lt;ref-type name="Book"&gt;6&lt;/ref-type&gt;&lt;contributors&gt;&lt;authors&gt;&lt;author&gt;Ford Risley&lt;/author&gt;&lt;/authors&gt;&lt;/contributors&gt;&lt;titles&gt;&lt;title&gt;Abolition and the Press: The Moral Struggle Against Slavery&lt;/title&gt;&lt;/titles&gt;&lt;dates&gt;&lt;year&gt;2008&lt;/year&gt;&lt;/dates&gt;&lt;pub-location&gt;Evanston, Ill&lt;/pub-location&gt;&lt;publisher&gt;Northwestern University Press&lt;/publisher&gt;&lt;urls&gt;&lt;/urls&gt;&lt;/record&gt;&lt;/Cite&gt;&lt;/EndNote&gt;</w:instrText>
      </w:r>
      <w:r>
        <w:fldChar w:fldCharType="separate"/>
      </w:r>
      <w:r>
        <w:rPr>
          <w:noProof/>
        </w:rPr>
        <w:t>Risley.</w:t>
      </w:r>
      <w:r>
        <w:fldChar w:fldCharType="end"/>
      </w:r>
      <w:r>
        <w:t xml:space="preserve">, </w:t>
      </w:r>
      <w:r>
        <w:rPr>
          <w:i/>
        </w:rPr>
        <w:t xml:space="preserve">Abolition and the Press, </w:t>
      </w:r>
      <w:r>
        <w:t xml:space="preserve">33-34, 41; </w:t>
      </w:r>
      <w:r>
        <w:fldChar w:fldCharType="begin"/>
      </w:r>
      <w:r>
        <w:instrText xml:space="preserve"> ADDIN EN.CITE &lt;EndNote&gt;&lt;Cite&gt;&lt;Author&gt;Loughran&lt;/Author&gt;&lt;Year&gt;2007&lt;/Year&gt;&lt;RecNum&gt;88&lt;/RecNum&gt;&lt;DisplayText&gt;Loughran.&lt;/DisplayText&gt;&lt;record&gt;&lt;rec-number&gt;88&lt;/rec-number&gt;&lt;foreign-keys&gt;&lt;key app="EN" db-id="zsrseat5ww9t5devdf1prxd7r0errx92pd5v" timestamp="1549647124"&gt;88&lt;/key&gt;&lt;/foreign-keys&gt;&lt;ref-type name="Book"&gt;6&lt;/ref-type&gt;&lt;contributors&gt;&lt;authors&gt;&lt;author&gt;Trish Loughran&lt;/author&gt;&lt;/authors&gt;&lt;/contributors&gt;&lt;titles&gt;&lt;title&gt;The Republic in Print: Print Culture in the Age of U.S. Nation Building, 1770-1870&lt;/title&gt;&lt;/titles&gt;&lt;dates&gt;&lt;year&gt;2007&lt;/year&gt;&lt;/dates&gt;&lt;pub-location&gt;New York&lt;/pub-location&gt;&lt;publisher&gt;Columbia University Press&lt;/publisher&gt;&lt;urls&gt;&lt;/urls&gt;&lt;/record&gt;&lt;/Cite&gt;&lt;/EndNote&gt;</w:instrText>
      </w:r>
      <w:r>
        <w:fldChar w:fldCharType="separate"/>
      </w:r>
      <w:r>
        <w:rPr>
          <w:noProof/>
        </w:rPr>
        <w:t>Loughran.</w:t>
      </w:r>
      <w:r>
        <w:fldChar w:fldCharType="end"/>
      </w:r>
      <w:r>
        <w:t xml:space="preserve">, </w:t>
      </w:r>
      <w:r>
        <w:rPr>
          <w:i/>
        </w:rPr>
        <w:t>Republic in Print,</w:t>
      </w:r>
      <w:r>
        <w:t xml:space="preserve"> 340.</w:t>
      </w:r>
    </w:p>
  </w:footnote>
  <w:footnote w:id="7">
    <w:p w14:paraId="2EF86B20" w14:textId="77777777" w:rsidR="00281F97" w:rsidRDefault="00281F97">
      <w:pPr>
        <w:pStyle w:val="FootnoteText"/>
      </w:pPr>
      <w:r>
        <w:rPr>
          <w:rStyle w:val="FootnoteReference"/>
        </w:rPr>
        <w:footnoteRef/>
      </w:r>
      <w:r>
        <w:t xml:space="preserve"> Quoted in </w:t>
      </w:r>
      <w:r>
        <w:fldChar w:fldCharType="begin"/>
      </w:r>
      <w:r>
        <w:instrText xml:space="preserve"> ADDIN EN.CITE &lt;EndNote&gt;&lt;Cite&gt;&lt;Author&gt;Risley&lt;/Author&gt;&lt;Year&gt;2008&lt;/Year&gt;&lt;RecNum&gt;91&lt;/RecNum&gt;&lt;DisplayText&gt;Risley.&lt;/DisplayText&gt;&lt;record&gt;&lt;rec-number&gt;91&lt;/rec-number&gt;&lt;foreign-keys&gt;&lt;key app="EN" db-id="zsrseat5ww9t5devdf1prxd7r0errx92pd5v" timestamp="1549916247"&gt;91&lt;/key&gt;&lt;/foreign-keys&gt;&lt;ref-type name="Book"&gt;6&lt;/ref-type&gt;&lt;contributors&gt;&lt;authors&gt;&lt;author&gt;Ford Risley&lt;/author&gt;&lt;/authors&gt;&lt;/contributors&gt;&lt;titles&gt;&lt;title&gt;Abolition and the Press: The Moral Struggle Against Slavery&lt;/title&gt;&lt;/titles&gt;&lt;dates&gt;&lt;year&gt;2008&lt;/year&gt;&lt;/dates&gt;&lt;pub-location&gt;Evanston, Ill&lt;/pub-location&gt;&lt;publisher&gt;Northwestern University Press&lt;/publisher&gt;&lt;urls&gt;&lt;/urls&gt;&lt;/record&gt;&lt;/Cite&gt;&lt;/EndNote&gt;</w:instrText>
      </w:r>
      <w:r>
        <w:fldChar w:fldCharType="separate"/>
      </w:r>
      <w:r>
        <w:rPr>
          <w:noProof/>
        </w:rPr>
        <w:t>Risley.</w:t>
      </w:r>
      <w:r>
        <w:fldChar w:fldCharType="end"/>
      </w:r>
      <w:r>
        <w:t xml:space="preserve">, </w:t>
      </w:r>
      <w:r>
        <w:rPr>
          <w:i/>
        </w:rPr>
        <w:t>Abolition and the Press,</w:t>
      </w:r>
      <w:r>
        <w:t xml:space="preserve"> 41.</w:t>
      </w:r>
    </w:p>
  </w:footnote>
  <w:footnote w:id="8">
    <w:p w14:paraId="0B3265AC" w14:textId="77777777" w:rsidR="00281F97" w:rsidRDefault="00281F97">
      <w:pPr>
        <w:pStyle w:val="FootnoteText"/>
      </w:pPr>
      <w:r>
        <w:rPr>
          <w:rStyle w:val="FootnoteReference"/>
        </w:rPr>
        <w:footnoteRef/>
      </w:r>
      <w:r>
        <w:t xml:space="preserve"> </w:t>
      </w:r>
      <w:r>
        <w:fldChar w:fldCharType="begin"/>
      </w:r>
      <w:r>
        <w:instrText xml:space="preserve"> ADDIN EN.CITE &lt;EndNote&gt;&lt;Cite&gt;&lt;Author&gt;Nye&lt;/Author&gt;&lt;Year&gt;1949&lt;/Year&gt;&lt;RecNum&gt;90&lt;/RecNum&gt;&lt;DisplayText&gt;Nye.&lt;/DisplayText&gt;&lt;record&gt;&lt;rec-number&gt;90&lt;/rec-number&gt;&lt;foreign-keys&gt;&lt;key app="EN" db-id="zsrseat5ww9t5devdf1prxd7r0errx92pd5v" timestamp="1549916171"&gt;90&lt;/key&gt;&lt;/foreign-keys&gt;&lt;ref-type name="Book"&gt;6&lt;/ref-type&gt;&lt;contributors&gt;&lt;authors&gt;&lt;author&gt;Russel B. Nye&lt;/author&gt;&lt;/authors&gt;&lt;/contributors&gt;&lt;titles&gt;&lt;title&gt;Fettered Freedom: Civil Liberties and the Slavery Controversy, 1830-1860&lt;/title&gt;&lt;/titles&gt;&lt;dates&gt;&lt;year&gt;1949&lt;/year&gt;&lt;/dates&gt;&lt;pub-location&gt;East Lansing&lt;/pub-location&gt;&lt;publisher&gt;Michigan State College Press&lt;/publisher&gt;&lt;urls&gt;&lt;/urls&gt;&lt;/record&gt;&lt;/Cite&gt;&lt;/EndNote&gt;</w:instrText>
      </w:r>
      <w:r>
        <w:fldChar w:fldCharType="separate"/>
      </w:r>
      <w:r>
        <w:rPr>
          <w:noProof/>
        </w:rPr>
        <w:t>Nye.</w:t>
      </w:r>
      <w:r>
        <w:fldChar w:fldCharType="end"/>
      </w:r>
      <w:r>
        <w:t xml:space="preserve">, </w:t>
      </w:r>
      <w:r>
        <w:rPr>
          <w:i/>
        </w:rPr>
        <w:t xml:space="preserve">Fettered Freedom, </w:t>
      </w:r>
      <w:r>
        <w:t>55-57.</w:t>
      </w:r>
    </w:p>
  </w:footnote>
  <w:footnote w:id="9">
    <w:p w14:paraId="2773300F" w14:textId="77777777" w:rsidR="00281F97" w:rsidRDefault="00281F97">
      <w:pPr>
        <w:pStyle w:val="FootnoteText"/>
      </w:pPr>
      <w:r>
        <w:rPr>
          <w:rStyle w:val="FootnoteReference"/>
        </w:rPr>
        <w:footnoteRef/>
      </w:r>
      <w:r>
        <w:t xml:space="preserve"> </w:t>
      </w:r>
      <w:r>
        <w:fldChar w:fldCharType="begin"/>
      </w:r>
      <w:r>
        <w:instrText xml:space="preserve"> ADDIN EN.CITE &lt;EndNote&gt;&lt;Cite&gt;&lt;Author&gt;Risley&lt;/Author&gt;&lt;Year&gt;2008&lt;/Year&gt;&lt;RecNum&gt;91&lt;/RecNum&gt;&lt;DisplayText&gt;Risley.&lt;/DisplayText&gt;&lt;record&gt;&lt;rec-number&gt;91&lt;/rec-number&gt;&lt;foreign-keys&gt;&lt;key app="EN" db-id="zsrseat5ww9t5devdf1prxd7r0errx92pd5v" timestamp="1549916247"&gt;91&lt;/key&gt;&lt;/foreign-keys&gt;&lt;ref-type name="Book"&gt;6&lt;/ref-type&gt;&lt;contributors&gt;&lt;authors&gt;&lt;author&gt;Ford Risley&lt;/author&gt;&lt;/authors&gt;&lt;/contributors&gt;&lt;titles&gt;&lt;title&gt;Abolition and the Press: The Moral Struggle Against Slavery&lt;/title&gt;&lt;/titles&gt;&lt;dates&gt;&lt;year&gt;2008&lt;/year&gt;&lt;/dates&gt;&lt;pub-location&gt;Evanston, Ill&lt;/pub-location&gt;&lt;publisher&gt;Northwestern University Press&lt;/publisher&gt;&lt;urls&gt;&lt;/urls&gt;&lt;/record&gt;&lt;/Cite&gt;&lt;/EndNote&gt;</w:instrText>
      </w:r>
      <w:r>
        <w:fldChar w:fldCharType="separate"/>
      </w:r>
      <w:r>
        <w:rPr>
          <w:noProof/>
        </w:rPr>
        <w:t>Risley.</w:t>
      </w:r>
      <w:r>
        <w:fldChar w:fldCharType="end"/>
      </w:r>
      <w:r>
        <w:t xml:space="preserve">, </w:t>
      </w:r>
      <w:r>
        <w:rPr>
          <w:i/>
        </w:rPr>
        <w:t xml:space="preserve">Abolition and the Press, </w:t>
      </w:r>
      <w:r>
        <w:t xml:space="preserve">42-45.; </w:t>
      </w:r>
      <w:r>
        <w:fldChar w:fldCharType="begin"/>
      </w:r>
      <w:r>
        <w:instrText xml:space="preserve"> ADDIN EN.CITE &lt;EndNote&gt;&lt;Cite&gt;&lt;Author&gt;Nye&lt;/Author&gt;&lt;Year&gt;1949&lt;/Year&gt;&lt;RecNum&gt;90&lt;/RecNum&gt;&lt;DisplayText&gt;Nye.&lt;/DisplayText&gt;&lt;record&gt;&lt;rec-number&gt;90&lt;/rec-number&gt;&lt;foreign-keys&gt;&lt;key app="EN" db-id="zsrseat5ww9t5devdf1prxd7r0errx92pd5v" timestamp="1549916171"&gt;90&lt;/key&gt;&lt;/foreign-keys&gt;&lt;ref-type name="Book"&gt;6&lt;/ref-type&gt;&lt;contributors&gt;&lt;authors&gt;&lt;author&gt;Russel B. Nye&lt;/author&gt;&lt;/authors&gt;&lt;/contributors&gt;&lt;titles&gt;&lt;title&gt;Fettered Freedom: Civil Liberties and the Slavery Controversy, 1830-1860&lt;/title&gt;&lt;/titles&gt;&lt;dates&gt;&lt;year&gt;1949&lt;/year&gt;&lt;/dates&gt;&lt;pub-location&gt;East Lansing&lt;/pub-location&gt;&lt;publisher&gt;Michigan State College Press&lt;/publisher&gt;&lt;urls&gt;&lt;/urls&gt;&lt;/record&gt;&lt;/Cite&gt;&lt;/EndNote&gt;</w:instrText>
      </w:r>
      <w:r>
        <w:fldChar w:fldCharType="separate"/>
      </w:r>
      <w:r>
        <w:rPr>
          <w:noProof/>
        </w:rPr>
        <w:t>Nye.</w:t>
      </w:r>
      <w:r>
        <w:fldChar w:fldCharType="end"/>
      </w:r>
      <w:r>
        <w:t xml:space="preserve">, </w:t>
      </w:r>
      <w:r>
        <w:rPr>
          <w:i/>
        </w:rPr>
        <w:t xml:space="preserve">Fettered Freedom, </w:t>
      </w:r>
      <w:r>
        <w:t>264.</w:t>
      </w:r>
    </w:p>
  </w:footnote>
  <w:footnote w:id="10">
    <w:p w14:paraId="115BC1B3" w14:textId="60D7A3BD" w:rsidR="00281F97" w:rsidRPr="00B86C00" w:rsidRDefault="00281F97" w:rsidP="003D71E0">
      <w:pPr>
        <w:rPr>
          <w:sz w:val="20"/>
          <w:szCs w:val="20"/>
        </w:rPr>
      </w:pPr>
      <w:r>
        <w:rPr>
          <w:rStyle w:val="FootnoteReference"/>
        </w:rPr>
        <w:footnoteRef/>
      </w:r>
      <w:r>
        <w:t xml:space="preserve"> </w:t>
      </w:r>
      <w:r w:rsidRPr="00B86C00">
        <w:rPr>
          <w:sz w:val="20"/>
          <w:szCs w:val="20"/>
        </w:rPr>
        <w:fldChar w:fldCharType="begin"/>
      </w:r>
      <w:r w:rsidRPr="00B86C00">
        <w:rPr>
          <w:sz w:val="20"/>
          <w:szCs w:val="20"/>
        </w:rPr>
        <w:instrText xml:space="preserve"> ADDIN EN.CITE &lt;EndNote&gt;&lt;Cite&gt;&lt;RecNum&gt;123&lt;/RecNum&gt;&lt;DisplayText&gt;&amp;quot;America’s First Direct Mail Campaign,&amp;quot;  https://postalmuseumblog.si.edu/2010/07/americas-first-direct-mail-campaign.html.&lt;/DisplayText&gt;&lt;record&gt;&lt;rec-number&gt;123&lt;/rec-number&gt;&lt;foreign-keys&gt;&lt;key app="EN" db-id="zsrseat5ww9t5devdf1prxd7r0errx92pd5v" timestamp="1555864861"&gt;123&lt;/key&gt;&lt;/foreign-keys&gt;&lt;ref-type name="Web Page"&gt;12&lt;/ref-type&gt;&lt;contributors&gt;&lt;/contributors&gt;&lt;titles&gt;&lt;title&gt;America’s First Direct Mail Campaign&lt;/title&gt;&lt;secondary-title&gt;National Postal Museum&lt;/secondary-title&gt;&lt;/titles&gt;&lt;number&gt;April 21, 2019&lt;/number&gt;&lt;dates&gt;&lt;/dates&gt;&lt;urls&gt;&lt;related-urls&gt;&lt;url&gt;https://postalmuseumblog.si.edu/2010/07/americas-first-direct-mail-campaign.html&lt;/url&gt;&lt;/related-urls&gt;&lt;/urls&gt;&lt;/record&gt;&lt;/Cite&gt;&lt;/EndNote&gt;</w:instrText>
      </w:r>
      <w:r w:rsidRPr="00B86C00">
        <w:rPr>
          <w:sz w:val="20"/>
          <w:szCs w:val="20"/>
        </w:rPr>
        <w:fldChar w:fldCharType="separate"/>
      </w:r>
      <w:r w:rsidRPr="00B86C00">
        <w:rPr>
          <w:noProof/>
          <w:sz w:val="20"/>
          <w:szCs w:val="20"/>
        </w:rPr>
        <w:t>"America’s First Direct Mail Campaign,"  https://postalmuseumblog.si.edu/2010/07/americas-first-direct-mail-campaign.html.</w:t>
      </w:r>
      <w:r w:rsidRPr="00B86C00">
        <w:rPr>
          <w:sz w:val="20"/>
          <w:szCs w:val="20"/>
        </w:rPr>
        <w:fldChar w:fldCharType="end"/>
      </w:r>
      <w:r w:rsidRPr="00B86C00">
        <w:rPr>
          <w:sz w:val="20"/>
          <w:szCs w:val="20"/>
        </w:rPr>
        <w:t xml:space="preserve">; </w:t>
      </w:r>
      <w:r w:rsidRPr="00B86C00">
        <w:rPr>
          <w:sz w:val="20"/>
          <w:szCs w:val="20"/>
        </w:rPr>
        <w:fldChar w:fldCharType="begin"/>
      </w:r>
      <w:r w:rsidRPr="00B86C00">
        <w:rPr>
          <w:sz w:val="20"/>
          <w:szCs w:val="20"/>
        </w:rPr>
        <w:instrText xml:space="preserve"> ADDIN EN.CITE &lt;EndNote&gt;&lt;Cite&gt;&lt;Author&gt;Kendall&lt;/Author&gt;&lt;RecNum&gt;122&lt;/RecNum&gt;&lt;DisplayText&gt;Amos Kendall, &amp;quot;Amos Kendall to Alfred Huger, August 4, 1835,&amp;quot; in &lt;style face="italic"&gt;Niles’ Weekly Register&lt;/style&gt;, ed. H. Niles (Baltimore: H. Niles).&lt;/DisplayText&gt;&lt;record&gt;&lt;rec-number&gt;122&lt;/rec-number&gt;&lt;foreign-keys&gt;&lt;key app="EN" db-id="zsrseat5ww9t5devdf1prxd7r0errx92pd5v" timestamp="1555864701"&gt;122&lt;/key&gt;&lt;/foreign-keys&gt;&lt;ref-type name="Book Section"&gt;5&lt;/ref-type&gt;&lt;contributors&gt;&lt;authors&gt;&lt;author&gt;Amos Kendall&lt;/author&gt;&lt;/authors&gt;&lt;secondary-authors&gt;&lt;author&gt;H. Niles&lt;/author&gt;&lt;/secondary-authors&gt;&lt;/contributors&gt;&lt;titles&gt;&lt;title&gt;Amos Kendall to Alfred Huger, August 4, 1835&lt;/title&gt;&lt;secondary-title&gt;Niles’ Weekly Register&lt;/secondary-title&gt;&lt;/titles&gt;&lt;volume&gt;48&lt;/volume&gt;&lt;dates&gt;&lt;/dates&gt;&lt;pub-location&gt;Baltimore&lt;/pub-location&gt;&lt;publisher&gt;H. Niles&lt;/publisher&gt;&lt;urls&gt;&lt;/urls&gt;&lt;/record&gt;&lt;/Cite&gt;&lt;/EndNote&gt;</w:instrText>
      </w:r>
      <w:r w:rsidRPr="00B86C00">
        <w:rPr>
          <w:sz w:val="20"/>
          <w:szCs w:val="20"/>
        </w:rPr>
        <w:fldChar w:fldCharType="separate"/>
      </w:r>
      <w:r w:rsidRPr="00B86C00">
        <w:rPr>
          <w:noProof/>
          <w:sz w:val="20"/>
          <w:szCs w:val="20"/>
        </w:rPr>
        <w:t xml:space="preserve">Amos Kendall, "Amos Kendall to Alfred Huger, August 4, 1835," in </w:t>
      </w:r>
      <w:r w:rsidRPr="00B86C00">
        <w:rPr>
          <w:i/>
          <w:noProof/>
          <w:sz w:val="20"/>
          <w:szCs w:val="20"/>
        </w:rPr>
        <w:t>Niles’ Weekly Register</w:t>
      </w:r>
      <w:r w:rsidRPr="00B86C00">
        <w:rPr>
          <w:noProof/>
          <w:sz w:val="20"/>
          <w:szCs w:val="20"/>
        </w:rPr>
        <w:t>, ed. H. Niles (Baltimore: H. Niles).</w:t>
      </w:r>
      <w:r w:rsidRPr="00B86C00">
        <w:rPr>
          <w:sz w:val="20"/>
          <w:szCs w:val="20"/>
        </w:rPr>
        <w:fldChar w:fldCharType="end"/>
      </w:r>
      <w:r w:rsidRPr="00B86C00">
        <w:rPr>
          <w:sz w:val="20"/>
          <w:szCs w:val="20"/>
        </w:rPr>
        <w:t xml:space="preserve">, 448.; </w:t>
      </w:r>
      <w:r w:rsidRPr="00B86C00">
        <w:rPr>
          <w:sz w:val="20"/>
          <w:szCs w:val="20"/>
        </w:rPr>
        <w:fldChar w:fldCharType="begin"/>
      </w:r>
      <w:r>
        <w:rPr>
          <w:sz w:val="20"/>
          <w:szCs w:val="20"/>
        </w:rPr>
        <w:instrText xml:space="preserve"> ADDIN EN.CITE &lt;EndNote&gt;&lt;Cite&gt;&lt;Year&gt;1835&lt;/Year&gt;&lt;RecNum&gt;125&lt;/RecNum&gt;&lt;DisplayText&gt;&amp;quot;New Method of Assorting the Mail, as Practised by Southern Slave-Holders, or Attack on the Post Office, Charleston, S.C.,&amp;quot;  (Boston1835).&lt;/DisplayText&gt;&lt;record&gt;&lt;rec-number&gt;125&lt;/rec-number&gt;&lt;foreign-keys&gt;&lt;key app="EN" db-id="zsrseat5ww9t5devdf1prxd7r0errx92pd5v" timestamp="1555868347"&gt;125&lt;/key&gt;&lt;/foreign-keys&gt;&lt;ref-type name="Figure"&gt;37&lt;/ref-type&gt;&lt;contributors&gt;&lt;/contributors&gt;&lt;titles&gt;&lt;title&gt;New method of assorting the mail, as practised by Southern slave-holders, or attack on the Post Office, Charleston, S.C.&lt;/title&gt;&lt;/titles&gt;&lt;dates&gt;&lt;year&gt;1835&lt;/year&gt;&lt;/dates&gt;&lt;pub-location&gt;Boston&lt;/pub-location&gt;&lt;work-type&gt;Lithograph&lt;/work-type&gt;&lt;urls&gt;&lt;related-urls&gt;&lt;url&gt;https://www.loc.gov/item/2008661779/&lt;/url&gt;&lt;/related-urls&gt;&lt;/urls&gt;&lt;remote-database-name&gt;American Cartoon Print Filing Series (Library of Congress)&lt;/remote-database-name&gt;&lt;remote-database-provider&gt;Library of Congress Prints and Photographs Division&lt;/remote-database-provider&gt;&lt;access-date&gt;April 21, 2019&lt;/access-date&gt;&lt;/record&gt;&lt;/Cite&gt;&lt;/EndNote&gt;</w:instrText>
      </w:r>
      <w:r w:rsidRPr="00B86C00">
        <w:rPr>
          <w:sz w:val="20"/>
          <w:szCs w:val="20"/>
        </w:rPr>
        <w:fldChar w:fldCharType="separate"/>
      </w:r>
      <w:r>
        <w:rPr>
          <w:noProof/>
          <w:sz w:val="20"/>
          <w:szCs w:val="20"/>
        </w:rPr>
        <w:t>"New Method of Assorting the Mail, as Practised by Southern Slave-Holders, or Attack on the Post Office, Charleston, S.C.,"  (Boston1835).</w:t>
      </w:r>
      <w:r w:rsidRPr="00B86C00">
        <w:rPr>
          <w:sz w:val="20"/>
          <w:szCs w:val="20"/>
        </w:rPr>
        <w:fldChar w:fldCharType="end"/>
      </w:r>
      <w:r w:rsidRPr="00B86C00">
        <w:rPr>
          <w:sz w:val="20"/>
          <w:szCs w:val="20"/>
        </w:rPr>
        <w:t xml:space="preserve"> </w:t>
      </w:r>
    </w:p>
  </w:footnote>
  <w:footnote w:id="11">
    <w:p w14:paraId="10A2BD1B" w14:textId="2103665E" w:rsidR="00281F97" w:rsidRDefault="00281F97" w:rsidP="00B86C00">
      <w:r>
        <w:rPr>
          <w:rStyle w:val="FootnoteReference"/>
        </w:rPr>
        <w:footnoteRef/>
      </w:r>
      <w:r>
        <w:t xml:space="preserve"> </w:t>
      </w:r>
      <w:r w:rsidRPr="00B86C00">
        <w:rPr>
          <w:sz w:val="20"/>
          <w:szCs w:val="20"/>
        </w:rPr>
        <w:fldChar w:fldCharType="begin"/>
      </w:r>
      <w:r w:rsidRPr="00B86C00">
        <w:rPr>
          <w:sz w:val="20"/>
          <w:szCs w:val="20"/>
        </w:rPr>
        <w:instrText xml:space="preserve"> ADDIN EN.CITE &lt;EndNote&gt;&lt;Cite&gt;&lt;Author&gt;Jackson&lt;/Author&gt;&lt;RecNum&gt;124&lt;/RecNum&gt;&lt;DisplayText&gt;Andrew Jackson, &amp;quot;Seventh Annual Message,&amp;quot;  https://www.presidency.ucsb.edu/documents/seventh-annual-message-2.&lt;/DisplayText&gt;&lt;record&gt;&lt;rec-number&gt;124&lt;/rec-number&gt;&lt;foreign-keys&gt;&lt;key app="EN" db-id="zsrseat5ww9t5devdf1prxd7r0errx92pd5v" timestamp="1555866667"&gt;124&lt;/key&gt;&lt;/foreign-keys&gt;&lt;ref-type name="Web Page"&gt;12&lt;/ref-type&gt;&lt;contributors&gt;&lt;authors&gt;&lt;author&gt;Andrew Jackson&lt;/author&gt;&lt;/authors&gt;&lt;secondary-authors&gt;&lt;author&gt;Gerhard Peters and John T. Woolley&lt;/author&gt;&lt;/secondary-authors&gt;&lt;/contributors&gt;&lt;titles&gt;&lt;title&gt;Seventh Annual Message&lt;/title&gt;&lt;secondary-title&gt;The American Presidency Project&lt;/secondary-title&gt;&lt;/titles&gt;&lt;dates&gt;&lt;/dates&gt;&lt;urls&gt;&lt;related-urls&gt;&lt;url&gt;https://www.presidency.ucsb.edu/documents/seventh-annual-message-2&lt;/url&gt;&lt;/related-urls&gt;&lt;/urls&gt;&lt;/record&gt;&lt;/Cite&gt;&lt;/EndNote&gt;</w:instrText>
      </w:r>
      <w:r w:rsidRPr="00B86C00">
        <w:rPr>
          <w:sz w:val="20"/>
          <w:szCs w:val="20"/>
        </w:rPr>
        <w:fldChar w:fldCharType="separate"/>
      </w:r>
      <w:r w:rsidRPr="00B86C00">
        <w:rPr>
          <w:noProof/>
          <w:sz w:val="20"/>
          <w:szCs w:val="20"/>
        </w:rPr>
        <w:t>Andrew Jackson, "Seventh Annual Message,"  https://www.presidency.ucsb.edu/documents/seventh-annual-message-2.</w:t>
      </w:r>
      <w:r w:rsidRPr="00B86C00">
        <w:rPr>
          <w:sz w:val="20"/>
          <w:szCs w:val="20"/>
        </w:rPr>
        <w:fldChar w:fldCharType="end"/>
      </w:r>
      <w:r w:rsidRPr="00B86C00">
        <w:rPr>
          <w:sz w:val="20"/>
          <w:szCs w:val="20"/>
        </w:rPr>
        <w:t xml:space="preserve">; </w:t>
      </w:r>
      <w:r w:rsidRPr="00B86C00">
        <w:rPr>
          <w:sz w:val="20"/>
          <w:szCs w:val="20"/>
        </w:rPr>
        <w:fldChar w:fldCharType="begin"/>
      </w:r>
      <w:r>
        <w:rPr>
          <w:sz w:val="20"/>
          <w:szCs w:val="20"/>
        </w:rPr>
        <w:instrText xml:space="preserve"> ADDIN EN.CITE &lt;EndNote&gt;&lt;Cite&gt;&lt;Year&gt;1835&lt;/Year&gt;&lt;RecNum&gt;126&lt;/RecNum&gt;&lt;DisplayText&gt;&amp;quot;Southern Ideas of Liberty,&amp;quot;  (Boston1835).&lt;/DisplayText&gt;&lt;record&gt;&lt;rec-number&gt;126&lt;/rec-number&gt;&lt;foreign-keys&gt;&lt;key app="EN" db-id="zsrseat5ww9t5devdf1prxd7r0errx92pd5v" timestamp="1555868698"&gt;126&lt;/key&gt;&lt;/foreign-keys&gt;&lt;ref-type name="Figure"&gt;37&lt;/ref-type&gt;&lt;contributors&gt;&lt;/contributors&gt;&lt;titles&gt;&lt;title&gt;Southern ideas of liberty&lt;/title&gt;&lt;/titles&gt;&lt;dates&gt;&lt;year&gt;1835&lt;/year&gt;&lt;/dates&gt;&lt;pub-location&gt;Boston&lt;/pub-location&gt;&lt;work-type&gt;Lithograph&lt;/work-type&gt;&lt;urls&gt;&lt;related-urls&gt;&lt;url&gt;http://www.loc.gov/pictures/item/2008661271/&lt;/url&gt;&lt;/related-urls&gt;&lt;/urls&gt;&lt;remote-database-name&gt;Library of Congress’ American Cartoon Print Filing Series&lt;/remote-database-name&gt;&lt;remote-database-provider&gt;Library of Congress&lt;/remote-database-provider&gt;&lt;access-date&gt;April 21, 2019&lt;/access-date&gt;&lt;/record&gt;&lt;/Cite&gt;&lt;/EndNote&gt;</w:instrText>
      </w:r>
      <w:r w:rsidRPr="00B86C00">
        <w:rPr>
          <w:sz w:val="20"/>
          <w:szCs w:val="20"/>
        </w:rPr>
        <w:fldChar w:fldCharType="separate"/>
      </w:r>
      <w:r>
        <w:rPr>
          <w:noProof/>
          <w:sz w:val="20"/>
          <w:szCs w:val="20"/>
        </w:rPr>
        <w:t>"Southern Ideas of Liberty,"  (Boston1835).</w:t>
      </w:r>
      <w:r w:rsidRPr="00B86C00">
        <w:rPr>
          <w:sz w:val="20"/>
          <w:szCs w:val="20"/>
        </w:rPr>
        <w:fldChar w:fldCharType="end"/>
      </w:r>
    </w:p>
  </w:footnote>
  <w:footnote w:id="12">
    <w:p w14:paraId="09076840" w14:textId="77777777" w:rsidR="00281F97" w:rsidRDefault="00281F97">
      <w:pPr>
        <w:pStyle w:val="FootnoteText"/>
      </w:pPr>
      <w:r>
        <w:rPr>
          <w:rStyle w:val="FootnoteReference"/>
        </w:rPr>
        <w:footnoteRef/>
      </w:r>
      <w:r>
        <w:t xml:space="preserve"> </w:t>
      </w:r>
      <w:r>
        <w:fldChar w:fldCharType="begin"/>
      </w:r>
      <w:r>
        <w:instrText xml:space="preserve"> ADDIN EN.CITE &lt;EndNote&gt;&lt;Cite&gt;&lt;Author&gt;Curtis&lt;/Author&gt;&lt;Year&gt;2000&lt;/Year&gt;&lt;RecNum&gt;98&lt;/RecNum&gt;&lt;DisplayText&gt;Michael Kent Curtis, &lt;style face="italic"&gt;Free Speech, the People’s Darling Privilege: Struggles for Freedom of Expression in American History&lt;/style&gt; (Durham: Duke University Press, 2000).&lt;/DisplayText&gt;&lt;record&gt;&lt;rec-number&gt;98&lt;/rec-number&gt;&lt;foreign-keys&gt;&lt;key app="EN" db-id="zsrseat5ww9t5devdf1prxd7r0errx92pd5v" timestamp="1550252577"&gt;98&lt;/key&gt;&lt;/foreign-keys&gt;&lt;ref-type name="Book"&gt;6&lt;/ref-type&gt;&lt;contributors&gt;&lt;authors&gt;&lt;author&gt;Michael Kent Curtis&lt;/author&gt;&lt;/authors&gt;&lt;/contributors&gt;&lt;titles&gt;&lt;title&gt;Free Speech, the People’s Darling Privilege: Struggles for Freedom of Expression in American History&lt;/title&gt;&lt;/titles&gt;&lt;dates&gt;&lt;year&gt;2000&lt;/year&gt;&lt;/dates&gt;&lt;pub-location&gt;Durham&lt;/pub-location&gt;&lt;publisher&gt;Duke University Press&lt;/publisher&gt;&lt;urls&gt;&lt;/urls&gt;&lt;/record&gt;&lt;/Cite&gt;&lt;/EndNote&gt;</w:instrText>
      </w:r>
      <w:r>
        <w:fldChar w:fldCharType="separate"/>
      </w:r>
      <w:r>
        <w:rPr>
          <w:noProof/>
        </w:rPr>
        <w:t xml:space="preserve">Michael Kent Curtis, </w:t>
      </w:r>
      <w:r w:rsidRPr="00722FA2">
        <w:rPr>
          <w:i/>
          <w:noProof/>
        </w:rPr>
        <w:t>Free Speech, the People’s Darling Privilege: Struggles for Freedom of Expression in American History</w:t>
      </w:r>
      <w:r>
        <w:rPr>
          <w:noProof/>
        </w:rPr>
        <w:t xml:space="preserve"> (Durham: Duke University Press, 2000).</w:t>
      </w:r>
      <w:r>
        <w:fldChar w:fldCharType="end"/>
      </w:r>
      <w:r>
        <w:t>, 183-14.</w:t>
      </w:r>
    </w:p>
  </w:footnote>
  <w:footnote w:id="13">
    <w:p w14:paraId="7C370696" w14:textId="77777777" w:rsidR="00281F97" w:rsidRDefault="00281F97">
      <w:pPr>
        <w:pStyle w:val="FootnoteText"/>
      </w:pPr>
      <w:r>
        <w:rPr>
          <w:rStyle w:val="FootnoteReference"/>
        </w:rPr>
        <w:footnoteRef/>
      </w:r>
      <w:r>
        <w:t xml:space="preserve"> </w:t>
      </w:r>
      <w:r>
        <w:fldChar w:fldCharType="begin"/>
      </w:r>
      <w:r>
        <w:instrText xml:space="preserve"> ADDIN EN.CITE &lt;EndNote&gt;&lt;Cite&gt;&lt;Author&gt;Richards&lt;/Author&gt;&lt;Year&gt;1970&lt;/Year&gt;&lt;RecNum&gt;96&lt;/RecNum&gt;&lt;DisplayText&gt;Leonard L. Richards, &lt;style face="italic"&gt;Gentlemen of Property and Standing: Anti-Abolition Mobs in Jacksonian America&lt;/style&gt; (New York: Oxford University Press, 1970).&lt;/DisplayText&gt;&lt;record&gt;&lt;rec-number&gt;96&lt;/rec-number&gt;&lt;foreign-keys&gt;&lt;key app="EN" db-id="zsrseat5ww9t5devdf1prxd7r0errx92pd5v" timestamp="1549916702"&gt;96&lt;/key&gt;&lt;/foreign-keys&gt;&lt;ref-type name="Book"&gt;6&lt;/ref-type&gt;&lt;contributors&gt;&lt;authors&gt;&lt;author&gt;Leonard L. Richards&lt;/author&gt;&lt;/authors&gt;&lt;/contributors&gt;&lt;titles&gt;&lt;title&gt;Gentlemen of Property and Standing: Anti-Abolition Mobs in Jacksonian America&lt;/title&gt;&lt;/titles&gt;&lt;dates&gt;&lt;year&gt;1970&lt;/year&gt;&lt;/dates&gt;&lt;pub-location&gt;New York&lt;/pub-location&gt;&lt;publisher&gt;Oxford University Press&lt;/publisher&gt;&lt;urls&gt;&lt;/urls&gt;&lt;/record&gt;&lt;/Cite&gt;&lt;/EndNote&gt;</w:instrText>
      </w:r>
      <w:r>
        <w:fldChar w:fldCharType="separate"/>
      </w:r>
      <w:r>
        <w:rPr>
          <w:noProof/>
        </w:rPr>
        <w:t xml:space="preserve">Leonard L. Richards, </w:t>
      </w:r>
      <w:r w:rsidRPr="00A02467">
        <w:rPr>
          <w:i/>
          <w:noProof/>
        </w:rPr>
        <w:t>Gentlemen of Property and Standing: Anti-Abolition Mobs in Jacksonian America</w:t>
      </w:r>
      <w:r>
        <w:rPr>
          <w:noProof/>
        </w:rPr>
        <w:t xml:space="preserve"> (New York: Oxford University Press, 1970).</w:t>
      </w:r>
      <w:r>
        <w:fldChar w:fldCharType="end"/>
      </w:r>
      <w:r>
        <w:t>, 5, 12-13.</w:t>
      </w:r>
    </w:p>
  </w:footnote>
  <w:footnote w:id="14">
    <w:p w14:paraId="03B52DE7" w14:textId="0F4576C6" w:rsidR="00281F97" w:rsidRDefault="00281F97" w:rsidP="000D2C61">
      <w:pPr>
        <w:pStyle w:val="FootnoteText"/>
      </w:pPr>
      <w:r>
        <w:rPr>
          <w:rStyle w:val="FootnoteReference"/>
        </w:rPr>
        <w:footnoteRef/>
      </w:r>
      <w:r>
        <w:t xml:space="preserve"> </w:t>
      </w:r>
      <w:r>
        <w:fldChar w:fldCharType="begin"/>
      </w:r>
      <w:r>
        <w:instrText xml:space="preserve"> ADDIN EN.CITE &lt;EndNote&gt;&lt;Cite&gt;&lt;Author&gt;Risley&lt;/Author&gt;&lt;Year&gt;2008&lt;/Year&gt;&lt;RecNum&gt;91&lt;/RecNum&gt;&lt;DisplayText&gt;Risley.&lt;/DisplayText&gt;&lt;record&gt;&lt;rec-number&gt;91&lt;/rec-number&gt;&lt;foreign-keys&gt;&lt;key app="EN" db-id="zsrseat5ww9t5devdf1prxd7r0errx92pd5v" timestamp="1549916247"&gt;91&lt;/key&gt;&lt;/foreign-keys&gt;&lt;ref-type name="Book"&gt;6&lt;/ref-type&gt;&lt;contributors&gt;&lt;authors&gt;&lt;author&gt;Ford Risley&lt;/author&gt;&lt;/authors&gt;&lt;/contributors&gt;&lt;titles&gt;&lt;title&gt;Abolition and the Press: The Moral Struggle Against Slavery&lt;/title&gt;&lt;/titles&gt;&lt;dates&gt;&lt;year&gt;2008&lt;/year&gt;&lt;/dates&gt;&lt;pub-location&gt;Evanston, Ill&lt;/pub-location&gt;&lt;publisher&gt;Northwestern University Press&lt;/publisher&gt;&lt;urls&gt;&lt;/urls&gt;&lt;/record&gt;&lt;/Cite&gt;&lt;/EndNote&gt;</w:instrText>
      </w:r>
      <w:r>
        <w:fldChar w:fldCharType="separate"/>
      </w:r>
      <w:r>
        <w:rPr>
          <w:noProof/>
        </w:rPr>
        <w:t>Risley.</w:t>
      </w:r>
      <w:r>
        <w:fldChar w:fldCharType="end"/>
      </w:r>
      <w:r>
        <w:t xml:space="preserve">, </w:t>
      </w:r>
      <w:r>
        <w:rPr>
          <w:i/>
        </w:rPr>
        <w:t>Abolition and the Press,</w:t>
      </w:r>
      <w:r>
        <w:t xml:space="preserve"> IX, 42-50.</w:t>
      </w:r>
    </w:p>
  </w:footnote>
  <w:footnote w:id="15">
    <w:p w14:paraId="58AE9CC1" w14:textId="7C472B8C" w:rsidR="00281F97" w:rsidRDefault="00281F97" w:rsidP="000D2C61">
      <w:pPr>
        <w:pStyle w:val="FootnoteText"/>
      </w:pPr>
      <w:r>
        <w:rPr>
          <w:rStyle w:val="FootnoteReference"/>
        </w:rPr>
        <w:footnoteRef/>
      </w:r>
      <w:r>
        <w:t xml:space="preserve"> </w:t>
      </w:r>
      <w:r>
        <w:fldChar w:fldCharType="begin"/>
      </w:r>
      <w:r>
        <w:instrText xml:space="preserve"> ADDIN EN.CITE &lt;EndNote&gt;&lt;Cite&gt;&lt;Author&gt;Loughran&lt;/Author&gt;&lt;Year&gt;2007&lt;/Year&gt;&lt;RecNum&gt;88&lt;/RecNum&gt;&lt;DisplayText&gt;Loughran.&lt;/DisplayText&gt;&lt;record&gt;&lt;rec-number&gt;88&lt;/rec-number&gt;&lt;foreign-keys&gt;&lt;key app="EN" db-id="zsrseat5ww9t5devdf1prxd7r0errx92pd5v" timestamp="1549647124"&gt;88&lt;/key&gt;&lt;/foreign-keys&gt;&lt;ref-type name="Book"&gt;6&lt;/ref-type&gt;&lt;contributors&gt;&lt;authors&gt;&lt;author&gt;Trish Loughran&lt;/author&gt;&lt;/authors&gt;&lt;/contributors&gt;&lt;titles&gt;&lt;title&gt;The Republic in Print: Print Culture in the Age of U.S. Nation Building, 1770-1870&lt;/title&gt;&lt;/titles&gt;&lt;dates&gt;&lt;year&gt;2007&lt;/year&gt;&lt;/dates&gt;&lt;pub-location&gt;New York&lt;/pub-location&gt;&lt;publisher&gt;Columbia University Press&lt;/publisher&gt;&lt;urls&gt;&lt;/urls&gt;&lt;/record&gt;&lt;/Cite&gt;&lt;/EndNote&gt;</w:instrText>
      </w:r>
      <w:r>
        <w:fldChar w:fldCharType="separate"/>
      </w:r>
      <w:r>
        <w:rPr>
          <w:noProof/>
        </w:rPr>
        <w:t>Loughran.</w:t>
      </w:r>
      <w:r>
        <w:fldChar w:fldCharType="end"/>
      </w:r>
      <w:r>
        <w:t xml:space="preserve">, </w:t>
      </w:r>
      <w:r>
        <w:rPr>
          <w:i/>
        </w:rPr>
        <w:t xml:space="preserve">The Republic in Print, </w:t>
      </w:r>
      <w:r>
        <w:t>XVIII, XIX, 346-352.</w:t>
      </w:r>
    </w:p>
  </w:footnote>
  <w:footnote w:id="16">
    <w:p w14:paraId="3DC08DE7" w14:textId="5F14A979" w:rsidR="00281F97" w:rsidRDefault="00281F97">
      <w:pPr>
        <w:pStyle w:val="FootnoteText"/>
      </w:pPr>
      <w:r>
        <w:rPr>
          <w:rStyle w:val="FootnoteReference"/>
        </w:rPr>
        <w:footnoteRef/>
      </w:r>
      <w:r>
        <w:t xml:space="preserve"> </w:t>
      </w:r>
      <w:r>
        <w:fldChar w:fldCharType="begin"/>
      </w:r>
      <w:r>
        <w:instrText xml:space="preserve"> ADDIN EN.CITE &lt;EndNote&gt;&lt;Cite&gt;&lt;Author&gt;Ratner&lt;/Author&gt;&lt;Year&gt;1968&lt;/Year&gt;&lt;RecNum&gt;97&lt;/RecNum&gt;&lt;DisplayText&gt;Lorman Ratner, &lt;style face="italic"&gt;Powder Keg: Northern Opposition to Teh Antislavery Movement, 1831-1840&lt;/style&gt; (New York: Basic Books, 1968).&lt;/DisplayText&gt;&lt;record&gt;&lt;rec-number&gt;97&lt;/rec-number&gt;&lt;foreign-keys&gt;&lt;key app="EN" db-id="zsrseat5ww9t5devdf1prxd7r0errx92pd5v" timestamp="1549916764"&gt;97&lt;/key&gt;&lt;/foreign-keys&gt;&lt;ref-type name="Book"&gt;6&lt;/ref-type&gt;&lt;contributors&gt;&lt;authors&gt;&lt;author&gt;Lorman Ratner&lt;/author&gt;&lt;/authors&gt;&lt;/contributors&gt;&lt;titles&gt;&lt;title&gt;Powder Keg: Northern Opposition to teh Antislavery Movement, 1831-1840&lt;/title&gt;&lt;/titles&gt;&lt;dates&gt;&lt;year&gt;1968&lt;/year&gt;&lt;/dates&gt;&lt;pub-location&gt;New York&lt;/pub-location&gt;&lt;publisher&gt;Basic Books&lt;/publisher&gt;&lt;urls&gt;&lt;/urls&gt;&lt;/record&gt;&lt;/Cite&gt;&lt;/EndNote&gt;</w:instrText>
      </w:r>
      <w:r>
        <w:fldChar w:fldCharType="separate"/>
      </w:r>
      <w:r>
        <w:rPr>
          <w:noProof/>
        </w:rPr>
        <w:t xml:space="preserve">Lorman Ratner, </w:t>
      </w:r>
      <w:r w:rsidRPr="007F6D02">
        <w:rPr>
          <w:i/>
          <w:noProof/>
        </w:rPr>
        <w:t>Powder Keg: Northern Opposition to Teh Antislavery Movement, 1831-1840</w:t>
      </w:r>
      <w:r>
        <w:rPr>
          <w:noProof/>
        </w:rPr>
        <w:t xml:space="preserve"> (New York: Basic Books, 1968).</w:t>
      </w:r>
      <w:r>
        <w:fldChar w:fldCharType="end"/>
      </w:r>
      <w:r>
        <w:t>, VII-VIII, IX.</w:t>
      </w:r>
    </w:p>
  </w:footnote>
  <w:footnote w:id="17">
    <w:p w14:paraId="1F109F14" w14:textId="4319A83D" w:rsidR="00281F97" w:rsidRDefault="00281F97">
      <w:pPr>
        <w:pStyle w:val="FootnoteText"/>
      </w:pPr>
      <w:r>
        <w:rPr>
          <w:rStyle w:val="FootnoteReference"/>
        </w:rPr>
        <w:footnoteRef/>
      </w:r>
      <w:r>
        <w:t xml:space="preserve"> </w:t>
      </w:r>
      <w:r>
        <w:fldChar w:fldCharType="begin"/>
      </w:r>
      <w:r>
        <w:instrText xml:space="preserve"> ADDIN EN.CITE &lt;EndNote&gt;&lt;Cite&gt;&lt;Author&gt;Richards&lt;/Author&gt;&lt;Year&gt;1970&lt;/Year&gt;&lt;RecNum&gt;96&lt;/RecNum&gt;&lt;DisplayText&gt;Richards.&lt;/DisplayText&gt;&lt;record&gt;&lt;rec-number&gt;96&lt;/rec-number&gt;&lt;foreign-keys&gt;&lt;key app="EN" db-id="zsrseat5ww9t5devdf1prxd7r0errx92pd5v" timestamp="1549916702"&gt;96&lt;/key&gt;&lt;/foreign-keys&gt;&lt;ref-type name="Book"&gt;6&lt;/ref-type&gt;&lt;contributors&gt;&lt;authors&gt;&lt;author&gt;Leonard L. Richards&lt;/author&gt;&lt;/authors&gt;&lt;/contributors&gt;&lt;titles&gt;&lt;title&gt;Gentlemen of Property and Standing: Anti-Abolition Mobs in Jacksonian America&lt;/title&gt;&lt;/titles&gt;&lt;dates&gt;&lt;year&gt;1970&lt;/year&gt;&lt;/dates&gt;&lt;pub-location&gt;New York&lt;/pub-location&gt;&lt;publisher&gt;Oxford University Press&lt;/publisher&gt;&lt;urls&gt;&lt;/urls&gt;&lt;/record&gt;&lt;/Cite&gt;&lt;/EndNote&gt;</w:instrText>
      </w:r>
      <w:r>
        <w:fldChar w:fldCharType="separate"/>
      </w:r>
      <w:r>
        <w:rPr>
          <w:noProof/>
        </w:rPr>
        <w:t>Richards.</w:t>
      </w:r>
      <w:r>
        <w:fldChar w:fldCharType="end"/>
      </w:r>
      <w:r>
        <w:t xml:space="preserve">, </w:t>
      </w:r>
      <w:r>
        <w:rPr>
          <w:i/>
        </w:rPr>
        <w:t xml:space="preserve">Gentlemen of Property and Standing, </w:t>
      </w:r>
      <w:r>
        <w:t>VII, 3-4, 10.</w:t>
      </w:r>
    </w:p>
  </w:footnote>
  <w:footnote w:id="18">
    <w:p w14:paraId="5BB372AB" w14:textId="7CD2828F" w:rsidR="00281F97" w:rsidRDefault="00281F97">
      <w:pPr>
        <w:pStyle w:val="FootnoteText"/>
      </w:pPr>
      <w:r>
        <w:rPr>
          <w:rStyle w:val="FootnoteReference"/>
        </w:rPr>
        <w:footnoteRef/>
      </w:r>
      <w:r>
        <w:t xml:space="preserve"> </w:t>
      </w:r>
      <w:r>
        <w:fldChar w:fldCharType="begin"/>
      </w:r>
      <w:r>
        <w:instrText xml:space="preserve"> ADDIN EN.CITE &lt;EndNote&gt;&lt;Cite&gt;&lt;Author&gt;Sinha&lt;/Author&gt;&lt;Year&gt;2016&lt;/Year&gt;&lt;RecNum&gt;72&lt;/RecNum&gt;&lt;DisplayText&gt;Sinha.&lt;/DisplayText&gt;&lt;record&gt;&lt;rec-number&gt;72&lt;/rec-number&gt;&lt;foreign-keys&gt;&lt;key app="EN" db-id="zsrseat5ww9t5devdf1prxd7r0errx92pd5v" timestamp="1543522108"&gt;72&lt;/key&gt;&lt;/foreign-keys&gt;&lt;ref-type name="Book"&gt;6&lt;/ref-type&gt;&lt;contributors&gt;&lt;authors&gt;&lt;author&gt;Manisha Sinha&lt;/author&gt;&lt;/authors&gt;&lt;/contributors&gt;&lt;titles&gt;&lt;title&gt;The Slave’s Cause: A History of Abolition&lt;/title&gt;&lt;/titles&gt;&lt;dates&gt;&lt;year&gt;2016&lt;/year&gt;&lt;/dates&gt;&lt;pub-location&gt;New Haven &amp;amp; London&lt;/pub-location&gt;&lt;publisher&gt;Yale University Press&lt;/publisher&gt;&lt;urls&gt;&lt;/urls&gt;&lt;/record&gt;&lt;/Cite&gt;&lt;/EndNote&gt;</w:instrText>
      </w:r>
      <w:r>
        <w:fldChar w:fldCharType="separate"/>
      </w:r>
      <w:r>
        <w:rPr>
          <w:noProof/>
        </w:rPr>
        <w:t>Sinha.</w:t>
      </w:r>
      <w:r>
        <w:fldChar w:fldCharType="end"/>
      </w:r>
      <w:r>
        <w:t xml:space="preserve">, </w:t>
      </w:r>
      <w:r>
        <w:rPr>
          <w:i/>
        </w:rPr>
        <w:t xml:space="preserve">The Slave’s Cause, </w:t>
      </w:r>
      <w:r>
        <w:t>228, 231-234</w:t>
      </w:r>
    </w:p>
  </w:footnote>
  <w:footnote w:id="19">
    <w:p w14:paraId="0E42F100" w14:textId="4D6C5DB3" w:rsidR="00281F97" w:rsidRDefault="00281F97">
      <w:pPr>
        <w:pStyle w:val="FootnoteText"/>
      </w:pPr>
      <w:r>
        <w:rPr>
          <w:rStyle w:val="FootnoteReference"/>
        </w:rPr>
        <w:footnoteRef/>
      </w:r>
      <w:r>
        <w:t xml:space="preserve"> </w:t>
      </w:r>
      <w:r>
        <w:fldChar w:fldCharType="begin"/>
      </w:r>
      <w:r>
        <w:instrText xml:space="preserve"> ADDIN EN.CITE &lt;EndNote&gt;&lt;Cite&gt;&lt;Author&gt;Nye&lt;/Author&gt;&lt;Year&gt;1949&lt;/Year&gt;&lt;RecNum&gt;90&lt;/RecNum&gt;&lt;DisplayText&gt;Nye.&lt;/DisplayText&gt;&lt;record&gt;&lt;rec-number&gt;90&lt;/rec-number&gt;&lt;foreign-keys&gt;&lt;key app="EN" db-id="zsrseat5ww9t5devdf1prxd7r0errx92pd5v" timestamp="1549916171"&gt;90&lt;/key&gt;&lt;/foreign-keys&gt;&lt;ref-type name="Book"&gt;6&lt;/ref-type&gt;&lt;contributors&gt;&lt;authors&gt;&lt;author&gt;Russel B. Nye&lt;/author&gt;&lt;/authors&gt;&lt;/contributors&gt;&lt;titles&gt;&lt;title&gt;Fettered Freedom: Civil Liberties and the Slavery Controversy, 1830-1860&lt;/title&gt;&lt;/titles&gt;&lt;dates&gt;&lt;year&gt;1949&lt;/year&gt;&lt;/dates&gt;&lt;pub-location&gt;East Lansing&lt;/pub-location&gt;&lt;publisher&gt;Michigan State College Press&lt;/publisher&gt;&lt;urls&gt;&lt;/urls&gt;&lt;/record&gt;&lt;/Cite&gt;&lt;/EndNote&gt;</w:instrText>
      </w:r>
      <w:r>
        <w:fldChar w:fldCharType="separate"/>
      </w:r>
      <w:r>
        <w:rPr>
          <w:noProof/>
        </w:rPr>
        <w:t>Nye.</w:t>
      </w:r>
      <w:r>
        <w:fldChar w:fldCharType="end"/>
      </w:r>
      <w:r>
        <w:t xml:space="preserve">, </w:t>
      </w:r>
      <w:r>
        <w:rPr>
          <w:i/>
        </w:rPr>
        <w:t xml:space="preserve">Fettered Freedom, </w:t>
      </w:r>
      <w:r>
        <w:t>119.</w:t>
      </w:r>
    </w:p>
  </w:footnote>
  <w:footnote w:id="20">
    <w:p w14:paraId="39244F89" w14:textId="77777777" w:rsidR="00281F97" w:rsidRDefault="00281F97">
      <w:pPr>
        <w:pStyle w:val="FootnoteText"/>
      </w:pPr>
      <w:r>
        <w:rPr>
          <w:rStyle w:val="FootnoteReference"/>
        </w:rPr>
        <w:footnoteRef/>
      </w:r>
      <w:r>
        <w:t xml:space="preserve"> </w:t>
      </w:r>
      <w:r>
        <w:fldChar w:fldCharType="begin"/>
      </w:r>
      <w:r>
        <w:instrText xml:space="preserve"> ADDIN EN.CITE &lt;EndNote&gt;&lt;Cite&gt;&lt;Author&gt;John&lt;/Author&gt;&lt;Year&gt;1995&lt;/Year&gt;&lt;RecNum&gt;25&lt;/RecNum&gt;&lt;DisplayText&gt;Richard R. John, &lt;style face="italic"&gt;Spreading the News: The American Postal System from Franklin to Morse&lt;/style&gt; (Cambridge, Massachusetts: Harvard University Press, 1995).&lt;/DisplayText&gt;&lt;record&gt;&lt;rec-number&gt;25&lt;/rec-number&gt;&lt;foreign-keys&gt;&lt;key app="EN" db-id="zsrseat5ww9t5devdf1prxd7r0errx92pd5v" timestamp="1521999290"&gt;25&lt;/key&gt;&lt;/foreign-keys&gt;&lt;ref-type name="Book"&gt;6&lt;/ref-type&gt;&lt;contributors&gt;&lt;authors&gt;&lt;author&gt;Richard R. John&lt;/author&gt;&lt;/authors&gt;&lt;/contributors&gt;&lt;titles&gt;&lt;title&gt;Spreading the News: The American Postal System from Franklin to Morse&lt;/title&gt;&lt;/titles&gt;&lt;dates&gt;&lt;year&gt;1995&lt;/year&gt;&lt;/dates&gt;&lt;pub-location&gt;Cambridge, Massachusetts&lt;/pub-location&gt;&lt;publisher&gt;Harvard University Press&lt;/publisher&gt;&lt;urls&gt;&lt;/urls&gt;&lt;/record&gt;&lt;/Cite&gt;&lt;/EndNote&gt;</w:instrText>
      </w:r>
      <w:r>
        <w:fldChar w:fldCharType="separate"/>
      </w:r>
      <w:r>
        <w:rPr>
          <w:noProof/>
        </w:rPr>
        <w:t xml:space="preserve">Richard R. John, </w:t>
      </w:r>
      <w:r w:rsidRPr="00E02491">
        <w:rPr>
          <w:i/>
          <w:noProof/>
        </w:rPr>
        <w:t>Spreading the News: The American Postal System from Franklin to Morse</w:t>
      </w:r>
      <w:r>
        <w:rPr>
          <w:noProof/>
        </w:rPr>
        <w:t xml:space="preserve"> (Cambridge, Massachusetts: Harvard University Press, 1995).</w:t>
      </w:r>
      <w:r>
        <w:fldChar w:fldCharType="end"/>
      </w:r>
      <w:r>
        <w:t>, 273-278.</w:t>
      </w:r>
    </w:p>
  </w:footnote>
  <w:footnote w:id="21">
    <w:p w14:paraId="410C1FFF" w14:textId="3F1E0294" w:rsidR="00281F97" w:rsidRDefault="00281F97">
      <w:pPr>
        <w:pStyle w:val="FootnoteText"/>
      </w:pPr>
      <w:r>
        <w:rPr>
          <w:rStyle w:val="FootnoteReference"/>
        </w:rPr>
        <w:footnoteRef/>
      </w:r>
      <w:r>
        <w:t xml:space="preserve"> </w:t>
      </w:r>
      <w:r>
        <w:fldChar w:fldCharType="begin"/>
      </w:r>
      <w:r>
        <w:instrText xml:space="preserve"> ADDIN EN.CITE &lt;EndNote&gt;&lt;Cite&gt;&lt;Author&gt;Starr&lt;/Author&gt;&lt;Year&gt;2004&lt;/Year&gt;&lt;RecNum&gt;93&lt;/RecNum&gt;&lt;DisplayText&gt;Starr.&lt;/DisplayText&gt;&lt;record&gt;&lt;rec-number&gt;93&lt;/rec-number&gt;&lt;foreign-keys&gt;&lt;key app="EN" db-id="zsrseat5ww9t5devdf1prxd7r0errx92pd5v" timestamp="1549916442"&gt;93&lt;/key&gt;&lt;/foreign-keys&gt;&lt;ref-type name="Book"&gt;6&lt;/ref-type&gt;&lt;contributors&gt;&lt;authors&gt;&lt;author&gt;Paul Starr&lt;/author&gt;&lt;/authors&gt;&lt;/contributors&gt;&lt;titles&gt;&lt;title&gt;The Creation of the Media: Political Origins of Modern Communications&lt;/title&gt;&lt;/titles&gt;&lt;dates&gt;&lt;year&gt;2004&lt;/year&gt;&lt;/dates&gt;&lt;pub-location&gt;New York&lt;/pub-location&gt;&lt;publisher&gt;Basic Books&lt;/publisher&gt;&lt;urls&gt;&lt;/urls&gt;&lt;/record&gt;&lt;/Cite&gt;&lt;/EndNote&gt;</w:instrText>
      </w:r>
      <w:r>
        <w:fldChar w:fldCharType="separate"/>
      </w:r>
      <w:r>
        <w:rPr>
          <w:noProof/>
        </w:rPr>
        <w:t>Starr.</w:t>
      </w:r>
      <w:r>
        <w:fldChar w:fldCharType="end"/>
      </w:r>
      <w:r>
        <w:t xml:space="preserve">, </w:t>
      </w:r>
      <w:r>
        <w:rPr>
          <w:i/>
        </w:rPr>
        <w:t xml:space="preserve">The Creation of the Media, </w:t>
      </w:r>
      <w:r>
        <w:t>96, 107-108.</w:t>
      </w:r>
    </w:p>
  </w:footnote>
  <w:footnote w:id="22">
    <w:p w14:paraId="093462B1" w14:textId="77777777" w:rsidR="00281F97" w:rsidRDefault="00281F97">
      <w:pPr>
        <w:pStyle w:val="FootnoteText"/>
      </w:pPr>
      <w:r>
        <w:rPr>
          <w:rStyle w:val="FootnoteReference"/>
        </w:rPr>
        <w:footnoteRef/>
      </w:r>
      <w:r>
        <w:t xml:space="preserve"> </w:t>
      </w:r>
      <w:r>
        <w:fldChar w:fldCharType="begin"/>
      </w:r>
      <w:r>
        <w:instrText xml:space="preserve"> ADDIN EN.CITE &lt;EndNote&gt;&lt;Cite&gt;&lt;Author&gt;Novak&lt;/Author&gt;&lt;Year&gt;1996&lt;/Year&gt;&lt;RecNum&gt;99&lt;/RecNum&gt;&lt;DisplayText&gt;William J. Novak, &lt;style face="italic"&gt;The People’s Welfare: Law &amp;amp; Regulation in Nineteenth-Century America&lt;/style&gt; (Chapel Hill and London: The University of North Carolina Press, 1996).&lt;/DisplayText&gt;&lt;record&gt;&lt;rec-number&gt;99&lt;/rec-number&gt;&lt;foreign-keys&gt;&lt;key app="EN" db-id="zsrseat5ww9t5devdf1prxd7r0errx92pd5v" timestamp="1551030933"&gt;99&lt;/key&gt;&lt;/foreign-keys&gt;&lt;ref-type name="Book"&gt;6&lt;/ref-type&gt;&lt;contributors&gt;&lt;authors&gt;&lt;author&gt;William J. Novak&lt;/author&gt;&lt;/authors&gt;&lt;/contributors&gt;&lt;titles&gt;&lt;title&gt;The People’s Welfare: Law &amp;amp; Regulation in Nineteenth-Century America&lt;/title&gt;&lt;/titles&gt;&lt;dates&gt;&lt;year&gt;1996&lt;/year&gt;&lt;/dates&gt;&lt;pub-location&gt;Chapel Hill and London&lt;/pub-location&gt;&lt;publisher&gt;The University of North Carolina Press&lt;/publisher&gt;&lt;urls&gt;&lt;/urls&gt;&lt;/record&gt;&lt;/Cite&gt;&lt;/EndNote&gt;</w:instrText>
      </w:r>
      <w:r>
        <w:fldChar w:fldCharType="separate"/>
      </w:r>
      <w:r>
        <w:rPr>
          <w:noProof/>
        </w:rPr>
        <w:t xml:space="preserve">William J. Novak, </w:t>
      </w:r>
      <w:r w:rsidRPr="00F84650">
        <w:rPr>
          <w:i/>
          <w:noProof/>
        </w:rPr>
        <w:t>The People’s Welfare: Law &amp; Regulation in Nineteenth-Century America</w:t>
      </w:r>
      <w:r>
        <w:rPr>
          <w:noProof/>
        </w:rPr>
        <w:t xml:space="preserve"> (Chapel Hill and London: The University of North Carolina Press, 1996).</w:t>
      </w:r>
      <w:r>
        <w:fldChar w:fldCharType="end"/>
      </w:r>
      <w:r>
        <w:t>, 11, 34-37.</w:t>
      </w:r>
    </w:p>
  </w:footnote>
  <w:footnote w:id="23">
    <w:p w14:paraId="39BAC6BD" w14:textId="77777777" w:rsidR="00281F97" w:rsidRDefault="00281F97">
      <w:pPr>
        <w:pStyle w:val="FootnoteText"/>
      </w:pPr>
      <w:r>
        <w:rPr>
          <w:rStyle w:val="FootnoteReference"/>
        </w:rPr>
        <w:footnoteRef/>
      </w:r>
      <w:r>
        <w:t xml:space="preserve"> </w:t>
      </w:r>
      <w:r>
        <w:fldChar w:fldCharType="begin"/>
      </w:r>
      <w:r>
        <w:instrText xml:space="preserve"> ADDIN EN.CITE &lt;EndNote&gt;&lt;Cite&gt;&lt;Author&gt;Novak&lt;/Author&gt;&lt;Year&gt;1996&lt;/Year&gt;&lt;RecNum&gt;99&lt;/RecNum&gt;&lt;DisplayText&gt;Ibid.&lt;/DisplayText&gt;&lt;record&gt;&lt;rec-number&gt;99&lt;/rec-number&gt;&lt;foreign-keys&gt;&lt;key app="EN" db-id="zsrseat5ww9t5devdf1prxd7r0errx92pd5v" timestamp="1551030933"&gt;99&lt;/key&gt;&lt;/foreign-keys&gt;&lt;ref-type name="Book"&gt;6&lt;/ref-type&gt;&lt;contributors&gt;&lt;authors&gt;&lt;author&gt;William J. Novak&lt;/author&gt;&lt;/authors&gt;&lt;/contributors&gt;&lt;titles&gt;&lt;title&gt;The People’s Welfare: Law &amp;amp; Regulation in Nineteenth-Century America&lt;/title&gt;&lt;/titles&gt;&lt;dates&gt;&lt;year&gt;1996&lt;/year&gt;&lt;/dates&gt;&lt;pub-location&gt;Chapel Hill and London&lt;/pub-location&gt;&lt;publisher&gt;The University of North Carolina Press&lt;/publisher&gt;&lt;urls&gt;&lt;/urls&gt;&lt;/record&gt;&lt;/Cite&gt;&lt;/EndNote&gt;</w:instrText>
      </w:r>
      <w:r>
        <w:fldChar w:fldCharType="separate"/>
      </w:r>
      <w:r>
        <w:rPr>
          <w:noProof/>
        </w:rPr>
        <w:t>Ibid.</w:t>
      </w:r>
      <w:r>
        <w:fldChar w:fldCharType="end"/>
      </w:r>
      <w:r>
        <w:t>, 244.</w:t>
      </w:r>
    </w:p>
  </w:footnote>
  <w:footnote w:id="24">
    <w:p w14:paraId="6518B23F" w14:textId="77777777" w:rsidR="00281F97" w:rsidRDefault="00281F97">
      <w:pPr>
        <w:pStyle w:val="FootnoteText"/>
      </w:pPr>
      <w:r>
        <w:rPr>
          <w:rStyle w:val="FootnoteReference"/>
        </w:rPr>
        <w:footnoteRef/>
      </w:r>
      <w:r>
        <w:t xml:space="preserve"> </w:t>
      </w:r>
      <w:r>
        <w:fldChar w:fldCharType="begin"/>
      </w:r>
      <w:r>
        <w:instrText xml:space="preserve"> ADDIN EN.CITE &lt;EndNote&gt;&lt;Cite&gt;&lt;Year&gt;1832&lt;/Year&gt;&lt;RecNum&gt;102&lt;/RecNum&gt;&lt;DisplayText&gt;&amp;quot;Art. Iv.—Incendiary Publications,&amp;quot; &lt;style face="italic"&gt;American Jurist and Law Magazine (1829-1843)&lt;/style&gt;, July 1832.&lt;/DisplayText&gt;&lt;record&gt;&lt;rec-number&gt;102&lt;/rec-number&gt;&lt;foreign-keys&gt;&lt;key app="EN" db-id="zsrseat5ww9t5devdf1prxd7r0errx92pd5v" timestamp="1551887614"&gt;102&lt;/key&gt;&lt;/foreign-keys&gt;&lt;ref-type name="Magazine Article"&gt;19&lt;/ref-type&gt;&lt;contributors&gt;&lt;/contributors&gt;&lt;titles&gt;&lt;title&gt;ART. IV.—Incendiary Publications&lt;/title&gt;&lt;secondary-title&gt;American Jurist and Law Magazine (1829-1843)&lt;/secondary-title&gt;&lt;/titles&gt;&lt;dates&gt;&lt;year&gt;1832&lt;/year&gt;&lt;pub-dates&gt;&lt;date&gt;July&lt;/date&gt;&lt;/pub-dates&gt;&lt;/dates&gt;&lt;urls&gt;&lt;/urls&gt;&lt;remote-database-name&gt;American Periodicals&lt;/remote-database-name&gt;&lt;/record&gt;&lt;/Cite&gt;&lt;/EndNote&gt;</w:instrText>
      </w:r>
      <w:r>
        <w:fldChar w:fldCharType="separate"/>
      </w:r>
      <w:r>
        <w:rPr>
          <w:noProof/>
        </w:rPr>
        <w:t xml:space="preserve">"Art. Iv.—Incendiary Publications," </w:t>
      </w:r>
      <w:r w:rsidRPr="005D08BD">
        <w:rPr>
          <w:i/>
          <w:noProof/>
        </w:rPr>
        <w:t>American Jurist and Law Magazine (1829-1843)</w:t>
      </w:r>
      <w:r>
        <w:rPr>
          <w:noProof/>
        </w:rPr>
        <w:t>, July 1832.</w:t>
      </w:r>
      <w:r>
        <w:fldChar w:fldCharType="end"/>
      </w:r>
    </w:p>
  </w:footnote>
  <w:footnote w:id="25">
    <w:p w14:paraId="7F7B0AE7" w14:textId="71BB7A5D" w:rsidR="00281F97" w:rsidRDefault="00281F97">
      <w:pPr>
        <w:pStyle w:val="FootnoteText"/>
      </w:pPr>
      <w:r>
        <w:rPr>
          <w:rStyle w:val="FootnoteReference"/>
        </w:rPr>
        <w:footnoteRef/>
      </w:r>
      <w:r>
        <w:t xml:space="preserve"> </w:t>
      </w:r>
      <w:r>
        <w:fldChar w:fldCharType="begin"/>
      </w:r>
      <w:r>
        <w:instrText xml:space="preserve"> ADDIN EN.CITE &lt;EndNote&gt;&lt;Cite&gt;&lt;Author&gt;Cooper&lt;/Author&gt;&lt;Year&gt;1838&lt;/Year&gt;&lt;RecNum&gt;108&lt;/RecNum&gt;&lt;DisplayText&gt;J. Fenimore Cooper, &lt;style face="italic"&gt;The American Democrat, or Hints on the Social and Civic Relations of the United States of America&lt;/style&gt; (Cooperstown: H. &amp;amp; E. Phinney, 1838); &amp;quot;Slavery and the Abolitionists,&amp;quot; in &lt;style face="italic"&gt;Niles’ Weekly Register&lt;/style&gt;, ed. H. Niles (Baltimore: H. Niles, 1836).&lt;/DisplayText&gt;&lt;record&gt;&lt;rec-number&gt;108&lt;/rec-number&gt;&lt;foreign-keys&gt;&lt;key app="EN" db-id="zsrseat5ww9t5devdf1prxd7r0errx92pd5v" timestamp="1552240752"&gt;108&lt;/key&gt;&lt;/foreign-keys&gt;&lt;ref-type name="Book"&gt;6&lt;/ref-type&gt;&lt;contributors&gt;&lt;authors&gt;&lt;author&gt;J. Fenimore Cooper&lt;/author&gt;&lt;/authors&gt;&lt;/contributors&gt;&lt;titles&gt;&lt;title&gt;The American Democrat, or Hints on the Social and Civic Relations of the United States of America&lt;/title&gt;&lt;/titles&gt;&lt;dates&gt;&lt;year&gt;1838&lt;/year&gt;&lt;/dates&gt;&lt;pub-location&gt;Cooperstown&lt;/pub-location&gt;&lt;publisher&gt;H. &amp;amp; E. Phinney&lt;/publisher&gt;&lt;urls&gt;&lt;/urls&gt;&lt;/record&gt;&lt;/Cite&gt;&lt;Cite&gt;&lt;Year&gt;1836&lt;/Year&gt;&lt;RecNum&gt;127&lt;/RecNum&gt;&lt;record&gt;&lt;rec-number&gt;127&lt;/rec-number&gt;&lt;foreign-keys&gt;&lt;key app="EN" db-id="zsrseat5ww9t5devdf1prxd7r0errx92pd5v" timestamp="1556386611"&gt;127&lt;/key&gt;&lt;/foreign-keys&gt;&lt;ref-type name="Book Section"&gt;5&lt;/ref-type&gt;&lt;contributors&gt;&lt;secondary-authors&gt;&lt;author&gt;H. Niles&lt;/author&gt;&lt;/secondary-authors&gt;&lt;/contributors&gt;&lt;titles&gt;&lt;title&gt;Slavery and the Abolitionists&lt;/title&gt;&lt;secondary-title&gt;Niles’ Weekly Register&lt;/secondary-title&gt;&lt;/titles&gt;&lt;volume&gt;49&lt;/volume&gt;&lt;dates&gt;&lt;year&gt;1836&lt;/year&gt;&lt;/dates&gt;&lt;pub-location&gt;Baltimore&lt;/pub-location&gt;&lt;publisher&gt;H. Niles&lt;/publisher&gt;&lt;urls&gt;&lt;/urls&gt;&lt;/record&gt;&lt;/Cite&gt;&lt;/EndNote&gt;</w:instrText>
      </w:r>
      <w:r>
        <w:fldChar w:fldCharType="separate"/>
      </w:r>
      <w:r>
        <w:rPr>
          <w:noProof/>
        </w:rPr>
        <w:t xml:space="preserve">J. Fenimore Cooper, </w:t>
      </w:r>
      <w:r w:rsidRPr="007F6D02">
        <w:rPr>
          <w:i/>
          <w:noProof/>
        </w:rPr>
        <w:t>The American Democrat, or Hints on the Social and Civic Relations of the United States of America</w:t>
      </w:r>
      <w:r>
        <w:rPr>
          <w:noProof/>
        </w:rPr>
        <w:t xml:space="preserve"> (Cooperstown: H. &amp; E. Phinney, 1838); "Slavery and the Abolitionists," in </w:t>
      </w:r>
      <w:r w:rsidRPr="007F6D02">
        <w:rPr>
          <w:i/>
          <w:noProof/>
        </w:rPr>
        <w:t>Niles’ Weekly Register</w:t>
      </w:r>
      <w:r>
        <w:rPr>
          <w:noProof/>
        </w:rPr>
        <w:t>, ed. H. Niles (Baltimore: H. Niles, 1836).</w:t>
      </w:r>
      <w:r>
        <w:fldChar w:fldCharType="end"/>
      </w:r>
      <w:r>
        <w:t>, 73.</w:t>
      </w:r>
    </w:p>
  </w:footnote>
  <w:footnote w:id="26">
    <w:p w14:paraId="2E5E2EF7" w14:textId="77777777" w:rsidR="00281F97" w:rsidRDefault="00281F97">
      <w:pPr>
        <w:pStyle w:val="FootnoteText"/>
      </w:pPr>
      <w:r>
        <w:rPr>
          <w:rStyle w:val="FootnoteReference"/>
        </w:rPr>
        <w:footnoteRef/>
      </w:r>
      <w:r>
        <w:t xml:space="preserve"> </w:t>
      </w:r>
      <w:r>
        <w:fldChar w:fldCharType="begin"/>
      </w:r>
      <w:r>
        <w:instrText xml:space="preserve"> ADDIN EN.CITE &lt;EndNote&gt;&lt;Cite&gt;&lt;RecNum&gt;118&lt;/RecNum&gt;&lt;DisplayText&gt;&amp;quot;Speech of the Rev. Cortland Van Rensselaer: At the Public Meeting Held at Albany, September 1835,&amp;quot; &lt;style face="italic"&gt;African Repository and Colonial Journal (1825-1849)&lt;/style&gt;, November 1835.&lt;/DisplayText&gt;&lt;record&gt;&lt;rec-number&gt;118&lt;/rec-number&gt;&lt;foreign-keys&gt;&lt;key app="EN" db-id="zsrseat5ww9t5devdf1prxd7r0errx92pd5v" timestamp="1553870888"&gt;118&lt;/key&gt;&lt;/foreign-keys&gt;&lt;ref-type name="Newspaper Article"&gt;23&lt;/ref-type&gt;&lt;contributors&gt;&lt;/contributors&gt;&lt;titles&gt;&lt;title&gt;Speech of the Rev. Cortland Van Rensselaer: At the Public Meeting held at Albany, September 1835&lt;/title&gt;&lt;secondary-title&gt;African Repository and Colonial Journal (1825-1849)&lt;/secondary-title&gt;&lt;/titles&gt;&lt;volume&gt;11&lt;/volume&gt;&lt;dates&gt;&lt;pub-dates&gt;&lt;date&gt;November 1835&lt;/date&gt;&lt;/pub-dates&gt;&lt;/dates&gt;&lt;pub-location&gt;Washington&lt;/pub-location&gt;&lt;urls&gt;&lt;/urls&gt;&lt;custom2&gt;11&lt;/custom2&gt;&lt;remote-database-name&gt;American Periodical&lt;/remote-database-name&gt;&lt;/record&gt;&lt;/Cite&gt;&lt;/EndNote&gt;</w:instrText>
      </w:r>
      <w:r>
        <w:fldChar w:fldCharType="separate"/>
      </w:r>
      <w:r>
        <w:rPr>
          <w:noProof/>
        </w:rPr>
        <w:t xml:space="preserve">"Speech of the Rev. Cortland Van Rensselaer: At the Public Meeting Held at Albany, September 1835," </w:t>
      </w:r>
      <w:r w:rsidRPr="00EC5B32">
        <w:rPr>
          <w:i/>
          <w:noProof/>
        </w:rPr>
        <w:t>African Repository and Colonial Journal (1825-1849)</w:t>
      </w:r>
      <w:r>
        <w:rPr>
          <w:noProof/>
        </w:rPr>
        <w:t>, November 1835.</w:t>
      </w:r>
      <w:r>
        <w:fldChar w:fldCharType="end"/>
      </w:r>
      <w:r>
        <w:t xml:space="preserve">; </w:t>
      </w:r>
      <w:r>
        <w:fldChar w:fldCharType="begin"/>
      </w:r>
      <w:r>
        <w:instrText xml:space="preserve"> ADDIN EN.CITE &lt;EndNote&gt;&lt;Cite&gt;&lt;Year&gt;1835&lt;/Year&gt;&lt;RecNum&gt;100&lt;/RecNum&gt;&lt;DisplayText&gt;&amp;quot;Another Warning,&amp;quot; &lt;style face="italic"&gt;New-York Spectator&lt;/style&gt;, Monday, August 31 1835.&lt;/DisplayText&gt;&lt;record&gt;&lt;rec-number&gt;100&lt;/rec-number&gt;&lt;foreign-keys&gt;&lt;key app="EN" db-id="zsrseat5ww9t5devdf1prxd7r0errx92pd5v" timestamp="1551886353"&gt;100&lt;/key&gt;&lt;/foreign-keys&gt;&lt;ref-type name="Newspaper Article"&gt;23&lt;/ref-type&gt;&lt;contributors&gt;&lt;/contributors&gt;&lt;titles&gt;&lt;title&gt;Another Warning&lt;/title&gt;&lt;secondary-title&gt;New-York Spectator&lt;/secondary-title&gt;&lt;/titles&gt;&lt;dates&gt;&lt;year&gt;1835&lt;/year&gt;&lt;pub-dates&gt;&lt;date&gt;Monday, August 31&lt;/date&gt;&lt;/pub-dates&gt;&lt;/dates&gt;&lt;pub-location&gt;New York, New York&lt;/pub-location&gt;&lt;urls&gt;&lt;/urls&gt;&lt;/record&gt;&lt;/Cite&gt;&lt;/EndNote&gt;</w:instrText>
      </w:r>
      <w:r>
        <w:fldChar w:fldCharType="separate"/>
      </w:r>
      <w:r>
        <w:rPr>
          <w:noProof/>
        </w:rPr>
        <w:t xml:space="preserve">"Another Warning," </w:t>
      </w:r>
      <w:r w:rsidRPr="00404601">
        <w:rPr>
          <w:i/>
          <w:noProof/>
        </w:rPr>
        <w:t>New-York Spectator</w:t>
      </w:r>
      <w:r>
        <w:rPr>
          <w:noProof/>
        </w:rPr>
        <w:t>, Monday, August 31 1835.</w:t>
      </w:r>
      <w:r>
        <w:fldChar w:fldCharType="end"/>
      </w:r>
      <w:r>
        <w:t xml:space="preserve">; </w:t>
      </w:r>
      <w:r>
        <w:fldChar w:fldCharType="begin"/>
      </w:r>
      <w:r>
        <w:instrText xml:space="preserve"> ADDIN EN.CITE &lt;EndNote&gt;&lt;Cite&gt;&lt;Year&gt;1838&lt;/Year&gt;&lt;RecNum&gt;101&lt;/RecNum&gt;&lt;DisplayText&gt;&amp;quot;Cause in Indiana,&amp;quot; &lt;style face="italic"&gt;Philanthropist (1836-1843)&lt;/style&gt;, July 24 1838.&lt;/DisplayText&gt;&lt;record&gt;&lt;rec-number&gt;101&lt;/rec-number&gt;&lt;foreign-keys&gt;&lt;key app="EN" db-id="zsrseat5ww9t5devdf1prxd7r0errx92pd5v" timestamp="1551886934"&gt;101&lt;/key&gt;&lt;/foreign-keys&gt;&lt;ref-type name="Newspaper Article"&gt;23&lt;/ref-type&gt;&lt;contributors&gt;&lt;/contributors&gt;&lt;titles&gt;&lt;title&gt;Cause in Indiana&lt;/title&gt;&lt;secondary-title&gt;Philanthropist (1836-1843)&lt;/secondary-title&gt;&lt;/titles&gt;&lt;dates&gt;&lt;year&gt;1838&lt;/year&gt;&lt;pub-dates&gt;&lt;date&gt;July 24&lt;/date&gt;&lt;/pub-dates&gt;&lt;/dates&gt;&lt;urls&gt;&lt;related-urls&gt;&lt;url&gt;https://search-proquest-com.gate.lib.buffalo.edu/docview/89832861?accountid=14169&lt;/url&gt;&lt;/related-urls&gt;&lt;/urls&gt;&lt;remote-database-name&gt;Proquest&lt;/remote-database-name&gt;&lt;/record&gt;&lt;/Cite&gt;&lt;/EndNote&gt;</w:instrText>
      </w:r>
      <w:r>
        <w:fldChar w:fldCharType="separate"/>
      </w:r>
      <w:r>
        <w:rPr>
          <w:noProof/>
        </w:rPr>
        <w:t xml:space="preserve">"Cause in Indiana," </w:t>
      </w:r>
      <w:r w:rsidRPr="00404601">
        <w:rPr>
          <w:i/>
          <w:noProof/>
        </w:rPr>
        <w:t>Philanthropist (1836-1843)</w:t>
      </w:r>
      <w:r>
        <w:rPr>
          <w:noProof/>
        </w:rPr>
        <w:t>, July 24 1838.</w:t>
      </w:r>
      <w:r>
        <w:fldChar w:fldCharType="end"/>
      </w:r>
      <w:r>
        <w:t xml:space="preserve">; </w:t>
      </w:r>
      <w:r>
        <w:fldChar w:fldCharType="begin"/>
      </w:r>
      <w:r>
        <w:instrText xml:space="preserve"> ADDIN EN.CITE &lt;EndNote&gt;&lt;Cite&gt;&lt;Author&gt;Marcy&lt;/Author&gt;&lt;Year&gt;1836&lt;/Year&gt;&lt;RecNum&gt;106&lt;/RecNum&gt;&lt;DisplayText&gt;W.L. Marcy, &amp;quot;Message from the Governor to the Senate and Assembly,&amp;quot; (Albany, New York1836).&lt;/DisplayText&gt;&lt;record&gt;&lt;rec-number&gt;106&lt;/rec-number&gt;&lt;foreign-keys&gt;&lt;key app="EN" db-id="zsrseat5ww9t5devdf1prxd7r0errx92pd5v" timestamp="1552238080"&gt;106&lt;/key&gt;&lt;/foreign-keys&gt;&lt;ref-type name="Government Document"&gt;46&lt;/ref-type&gt;&lt;contributors&gt;&lt;authors&gt;&lt;author&gt;W.L. Marcy&lt;/author&gt;&lt;/authors&gt;&lt;/contributors&gt;&lt;titles&gt;&lt;title&gt;Message from the Governor to the Senate and Assembly&lt;/title&gt;&lt;/titles&gt;&lt;number&gt;2&lt;/number&gt;&lt;dates&gt;&lt;year&gt;1836&lt;/year&gt;&lt;/dates&gt;&lt;pub-location&gt;Albany, New York&lt;/pub-location&gt;&lt;urls&gt;&lt;/urls&gt;&lt;remote-database-name&gt;New York State Library&lt;/remote-database-name&gt;&lt;/record&gt;&lt;/Cite&gt;&lt;/EndNote&gt;</w:instrText>
      </w:r>
      <w:r>
        <w:fldChar w:fldCharType="separate"/>
      </w:r>
      <w:r>
        <w:rPr>
          <w:noProof/>
        </w:rPr>
        <w:t>W.L. Marcy, "Message from the Governor to the Senate and Assembly," (Albany, New York1836).</w:t>
      </w:r>
      <w:r>
        <w:fldChar w:fldCharType="end"/>
      </w:r>
      <w:r>
        <w:t>, 29, 32-33.</w:t>
      </w:r>
    </w:p>
  </w:footnote>
  <w:footnote w:id="27">
    <w:p w14:paraId="6E3C74B2" w14:textId="37B318D9" w:rsidR="00281F97" w:rsidRPr="00714A91" w:rsidRDefault="00281F97">
      <w:pPr>
        <w:pStyle w:val="FootnoteText"/>
      </w:pPr>
      <w:r>
        <w:rPr>
          <w:rStyle w:val="FootnoteReference"/>
        </w:rPr>
        <w:footnoteRef/>
      </w:r>
      <w:r>
        <w:t xml:space="preserve"> </w:t>
      </w:r>
      <w:r>
        <w:fldChar w:fldCharType="begin"/>
      </w:r>
      <w:r>
        <w:instrText xml:space="preserve"> ADDIN EN.CITE &lt;EndNote&gt;&lt;Cite&gt;&lt;Author&gt;Kendall&lt;/Author&gt;&lt;Year&gt;1836&lt;/Year&gt;&lt;RecNum&gt;128&lt;/RecNum&gt;&lt;DisplayText&gt;Amos Kendall, &amp;quot;Letters from Mr. Kendall,&amp;quot; in &lt;style face="italic"&gt;Niles’ Weekly Register&lt;/style&gt;, ed. H. Niles (Baltimore: H. Niles, 1836).&lt;/DisplayText&gt;&lt;record&gt;&lt;rec-number&gt;128&lt;/rec-number&gt;&lt;foreign-keys&gt;&lt;key app="EN" db-id="zsrseat5ww9t5devdf1prxd7r0errx92pd5v" timestamp="1556386844"&gt;128&lt;/key&gt;&lt;/foreign-keys&gt;&lt;ref-type name="Book Section"&gt;5&lt;/ref-type&gt;&lt;contributors&gt;&lt;authors&gt;&lt;author&gt;Amos Kendall&lt;/author&gt;&lt;/authors&gt;&lt;secondary-authors&gt;&lt;author&gt;H. Niles&lt;/author&gt;&lt;/secondary-authors&gt;&lt;/contributors&gt;&lt;titles&gt;&lt;title&gt;Letters from Mr. Kendall&lt;/title&gt;&lt;secondary-title&gt;Niles’ Weekly Register&lt;/secondary-title&gt;&lt;/titles&gt;&lt;volume&gt;49&lt;/volume&gt;&lt;dates&gt;&lt;year&gt;1836&lt;/year&gt;&lt;/dates&gt;&lt;pub-location&gt;Baltimore&lt;/pub-location&gt;&lt;publisher&gt;H. Niles&lt;/publisher&gt;&lt;urls&gt;&lt;/urls&gt;&lt;/record&gt;&lt;/Cite&gt;&lt;/EndNote&gt;</w:instrText>
      </w:r>
      <w:r>
        <w:fldChar w:fldCharType="separate"/>
      </w:r>
      <w:r>
        <w:rPr>
          <w:noProof/>
        </w:rPr>
        <w:t xml:space="preserve">Amos Kendall, "Letters from Mr. Kendall," in </w:t>
      </w:r>
      <w:r w:rsidRPr="007F6D02">
        <w:rPr>
          <w:i/>
          <w:noProof/>
        </w:rPr>
        <w:t>Niles’ Weekly Register</w:t>
      </w:r>
      <w:r>
        <w:rPr>
          <w:noProof/>
        </w:rPr>
        <w:t>, ed. H. Niles (Baltimore: H. Niles, 1836).</w:t>
      </w:r>
      <w:r>
        <w:fldChar w:fldCharType="end"/>
      </w:r>
      <w:r>
        <w:t>, 8.</w:t>
      </w:r>
    </w:p>
  </w:footnote>
  <w:footnote w:id="28">
    <w:p w14:paraId="2055CEFF" w14:textId="001427FB" w:rsidR="00281F97" w:rsidRDefault="00281F97">
      <w:pPr>
        <w:pStyle w:val="FootnoteText"/>
      </w:pPr>
      <w:r>
        <w:rPr>
          <w:rStyle w:val="FootnoteReference"/>
        </w:rPr>
        <w:footnoteRef/>
      </w:r>
      <w:r>
        <w:t xml:space="preserve"> </w:t>
      </w:r>
      <w:r>
        <w:fldChar w:fldCharType="begin"/>
      </w:r>
      <w:r>
        <w:instrText xml:space="preserve"> ADDIN EN.CITE &lt;EndNote&gt;&lt;Cite&gt;&lt;Year&gt;1836&lt;/Year&gt;&lt;RecNum&gt;127&lt;/RecNum&gt;&lt;DisplayText&gt;&amp;quot;Slavery and the Abolitionists,&amp;quot; ibid.&lt;/DisplayText&gt;&lt;record&gt;&lt;rec-number&gt;127&lt;/rec-number&gt;&lt;foreign-keys&gt;&lt;key app="EN" db-id="zsrseat5ww9t5devdf1prxd7r0errx92pd5v" timestamp="1556386611"&gt;127&lt;/key&gt;&lt;/foreign-keys&gt;&lt;ref-type name="Book Section"&gt;5&lt;/ref-type&gt;&lt;contributors&gt;&lt;secondary-authors&gt;&lt;author&gt;H. Niles&lt;/author&gt;&lt;/secondary-authors&gt;&lt;/contributors&gt;&lt;titles&gt;&lt;title&gt;Slavery and the Abolitionists&lt;/title&gt;&lt;secondary-title&gt;Niles’ Weekly Register&lt;/secondary-title&gt;&lt;/titles&gt;&lt;volume&gt;49&lt;/volume&gt;&lt;dates&gt;&lt;year&gt;1836&lt;/year&gt;&lt;/dates&gt;&lt;pub-location&gt;Baltimore&lt;/pub-location&gt;&lt;publisher&gt;H. Niles&lt;/publisher&gt;&lt;urls&gt;&lt;/urls&gt;&lt;/record&gt;&lt;/Cite&gt;&lt;/EndNote&gt;</w:instrText>
      </w:r>
      <w:r>
        <w:fldChar w:fldCharType="separate"/>
      </w:r>
      <w:r>
        <w:rPr>
          <w:noProof/>
        </w:rPr>
        <w:t>"Slavery and the Abolitionists," ibid.</w:t>
      </w:r>
      <w:r>
        <w:fldChar w:fldCharType="end"/>
      </w:r>
      <w:r>
        <w:t>, 76.</w:t>
      </w:r>
    </w:p>
  </w:footnote>
  <w:footnote w:id="29">
    <w:p w14:paraId="16F2C9B5" w14:textId="77777777" w:rsidR="00281F97" w:rsidRDefault="00281F97">
      <w:pPr>
        <w:pStyle w:val="FootnoteText"/>
      </w:pPr>
      <w:r>
        <w:rPr>
          <w:rStyle w:val="FootnoteReference"/>
        </w:rPr>
        <w:footnoteRef/>
      </w:r>
      <w:r>
        <w:t xml:space="preserve"> </w:t>
      </w:r>
      <w:r>
        <w:fldChar w:fldCharType="begin"/>
      </w:r>
      <w:r>
        <w:instrText xml:space="preserve"> ADDIN EN.CITE &lt;EndNote&gt;&lt;Cite&gt;&lt;Year&gt;1835&lt;/Year&gt;&lt;RecNum&gt;100&lt;/RecNum&gt;&lt;DisplayText&gt;&amp;quot;Another Warning.&amp;quot;&lt;/DisplayText&gt;&lt;record&gt;&lt;rec-number&gt;100&lt;/rec-number&gt;&lt;foreign-keys&gt;&lt;key app="EN" db-id="zsrseat5ww9t5devdf1prxd7r0errx92pd5v" timestamp="1551886353"&gt;100&lt;/key&gt;&lt;/foreign-keys&gt;&lt;ref-type name="Newspaper Article"&gt;23&lt;/ref-type&gt;&lt;contributors&gt;&lt;/contributors&gt;&lt;titles&gt;&lt;title&gt;Another Warning&lt;/title&gt;&lt;secondary-title&gt;New-York Spectator&lt;/secondary-title&gt;&lt;/titles&gt;&lt;dates&gt;&lt;year&gt;1835&lt;/year&gt;&lt;pub-dates&gt;&lt;date&gt;Monday, August 31&lt;/date&gt;&lt;/pub-dates&gt;&lt;/dates&gt;&lt;pub-location&gt;New York, New York&lt;/pub-location&gt;&lt;urls&gt;&lt;/urls&gt;&lt;/record&gt;&lt;/Cite&gt;&lt;/EndNote&gt;</w:instrText>
      </w:r>
      <w:r>
        <w:fldChar w:fldCharType="separate"/>
      </w:r>
      <w:r>
        <w:rPr>
          <w:noProof/>
        </w:rPr>
        <w:t>"Another Warning."</w:t>
      </w:r>
      <w:r>
        <w:fldChar w:fldCharType="end"/>
      </w:r>
      <w:r>
        <w:t xml:space="preserve">; </w:t>
      </w:r>
      <w:r>
        <w:fldChar w:fldCharType="begin"/>
      </w:r>
      <w:r>
        <w:instrText xml:space="preserve"> ADDIN EN.CITE &lt;EndNote&gt;&lt;Cite&gt;&lt;Year&gt;1832&lt;/Year&gt;&lt;RecNum&gt;102&lt;/RecNum&gt;&lt;DisplayText&gt;&amp;quot;Art. Iv.—Incendiary Publications.&amp;quot;&lt;/DisplayText&gt;&lt;record&gt;&lt;rec-number&gt;102&lt;/rec-number&gt;&lt;foreign-keys&gt;&lt;key app="EN" db-id="zsrseat5ww9t5devdf1prxd7r0errx92pd5v" timestamp="1551887614"&gt;102&lt;/key&gt;&lt;/foreign-keys&gt;&lt;ref-type name="Magazine Article"&gt;19&lt;/ref-type&gt;&lt;contributors&gt;&lt;/contributors&gt;&lt;titles&gt;&lt;title&gt;ART. IV.—Incendiary Publications&lt;/title&gt;&lt;secondary-title&gt;American Jurist and Law Magazine (1829-1843)&lt;/secondary-title&gt;&lt;/titles&gt;&lt;dates&gt;&lt;year&gt;1832&lt;/year&gt;&lt;pub-dates&gt;&lt;date&gt;July&lt;/date&gt;&lt;/pub-dates&gt;&lt;/dates&gt;&lt;urls&gt;&lt;/urls&gt;&lt;remote-database-name&gt;American Periodicals&lt;/remote-database-name&gt;&lt;/record&gt;&lt;/Cite&gt;&lt;/EndNote&gt;</w:instrText>
      </w:r>
      <w:r>
        <w:fldChar w:fldCharType="separate"/>
      </w:r>
      <w:r>
        <w:rPr>
          <w:noProof/>
        </w:rPr>
        <w:t>"Art. Iv.—Incendiary Publications."</w:t>
      </w:r>
      <w:r>
        <w:fldChar w:fldCharType="end"/>
      </w:r>
      <w:r>
        <w:t xml:space="preserve">, 3-4.; </w:t>
      </w:r>
      <w:r>
        <w:fldChar w:fldCharType="begin"/>
      </w:r>
      <w:r>
        <w:instrText xml:space="preserve"> ADDIN EN.CITE &lt;EndNote&gt;&lt;Cite&gt;&lt;RecNum&gt;116&lt;/RecNum&gt;&lt;DisplayText&gt;&amp;quot;Abolitionists and Insurrections,&amp;quot; &lt;style face="italic"&gt;The Religious Intelligencer…Containing the Principal Transactions fo the Various Bible and Missionary Societies, with Particular Accounts of Revivals of Religion (1816-1837)&lt;/style&gt;, August 15, 1835.&lt;/DisplayText&gt;&lt;record&gt;&lt;rec-number&gt;116&lt;/rec-number&gt;&lt;foreign-keys&gt;&lt;key app="EN" db-id="zsrseat5ww9t5devdf1prxd7r0errx92pd5v" timestamp="1553700419"&gt;116&lt;/key&gt;&lt;/foreign-keys&gt;&lt;ref-type name="Newspaper Article"&gt;23&lt;/ref-type&gt;&lt;contributors&gt;&lt;/contributors&gt;&lt;titles&gt;&lt;title&gt;Abolitionists and Insurrections&lt;/title&gt;&lt;secondary-title&gt;The Religious Intelligencer…Containing the Principal Transactions fo the Various Bible and Missionary Societies, with Particular Accounts of Revivals of Religion (1816-1837)&lt;/secondary-title&gt;&lt;/titles&gt;&lt;volume&gt;20&lt;/volume&gt;&lt;dates&gt;&lt;pub-dates&gt;&lt;date&gt;August 15, 1835&lt;/date&gt;&lt;/pub-dates&gt;&lt;/dates&gt;&lt;pub-location&gt;New Haven&lt;/pub-location&gt;&lt;urls&gt;&lt;/urls&gt;&lt;custom2&gt;11&lt;/custom2&gt;&lt;/record&gt;&lt;/Cite&gt;&lt;/EndNote&gt;</w:instrText>
      </w:r>
      <w:r>
        <w:fldChar w:fldCharType="separate"/>
      </w:r>
      <w:r>
        <w:rPr>
          <w:noProof/>
        </w:rPr>
        <w:t xml:space="preserve">"Abolitionists and Insurrections," </w:t>
      </w:r>
      <w:r w:rsidRPr="00AA49A3">
        <w:rPr>
          <w:i/>
          <w:noProof/>
        </w:rPr>
        <w:t>The Religious Intelligencer…Containing the Principal Transactions fo the Various Bible and Missionary Societies, with Particular Accounts of Revivals of Religion (1816-1837)</w:t>
      </w:r>
      <w:r>
        <w:rPr>
          <w:noProof/>
        </w:rPr>
        <w:t>, August 15, 1835.</w:t>
      </w:r>
      <w:r>
        <w:fldChar w:fldCharType="end"/>
      </w:r>
    </w:p>
  </w:footnote>
  <w:footnote w:id="30">
    <w:p w14:paraId="7B30D9A6" w14:textId="77777777" w:rsidR="00281F97" w:rsidRDefault="00281F97">
      <w:pPr>
        <w:pStyle w:val="FootnoteText"/>
      </w:pPr>
      <w:r>
        <w:rPr>
          <w:rStyle w:val="FootnoteReference"/>
        </w:rPr>
        <w:footnoteRef/>
      </w:r>
      <w:r>
        <w:t xml:space="preserve"> </w:t>
      </w:r>
      <w:r>
        <w:fldChar w:fldCharType="begin"/>
      </w:r>
      <w:r>
        <w:instrText xml:space="preserve"> ADDIN EN.CITE &lt;EndNote&gt;&lt;Cite&gt;&lt;Year&gt;1835-‘36&lt;/Year&gt;&lt;RecNum&gt;104&lt;/RecNum&gt;&lt;DisplayText&gt;&amp;quot;Journal of the Senate of the Commonwealth of Pennsylvania,&amp;quot;  (Harrisburg: Crabb &amp;amp; Barrett, 1835-‘36).&lt;/DisplayText&gt;&lt;record&gt;&lt;rec-number&gt;104&lt;/rec-number&gt;&lt;foreign-keys&gt;&lt;key app="EN" db-id="zsrseat5ww9t5devdf1prxd7r0errx92pd5v" timestamp="1552237249"&gt;104&lt;/key&gt;&lt;/foreign-keys&gt;&lt;ref-type name="Government Document"&gt;46&lt;/ref-type&gt;&lt;contributors&gt;&lt;/contributors&gt;&lt;titles&gt;&lt;title&gt;Journal of the Senate of the Commonwealth of Pennsylvania&lt;/title&gt;&lt;/titles&gt;&lt;volume&gt;2&lt;/volume&gt;&lt;section&gt;Communication from the Governor of Ohio, transmitting a Report and Resolutions of the Legislature of that state respecting Slavery&lt;/section&gt;&lt;dates&gt;&lt;year&gt;1835-‘36&lt;/year&gt;&lt;/dates&gt;&lt;pub-location&gt;Harrisburg&lt;/pub-location&gt;&lt;publisher&gt;Crabb &amp;amp; Barrett&lt;/publisher&gt;&lt;urls&gt;&lt;/urls&gt;&lt;/record&gt;&lt;/Cite&gt;&lt;/EndNote&gt;</w:instrText>
      </w:r>
      <w:r>
        <w:fldChar w:fldCharType="separate"/>
      </w:r>
      <w:r>
        <w:rPr>
          <w:noProof/>
        </w:rPr>
        <w:t>"Journal of the Senate of the Commonwealth of Pennsylvania,"  (Harrisburg: Crabb &amp; Barrett, 1835-‘36).</w:t>
      </w:r>
      <w:r>
        <w:fldChar w:fldCharType="end"/>
      </w:r>
      <w:r>
        <w:t xml:space="preserve">, 417.; </w:t>
      </w:r>
      <w:r>
        <w:fldChar w:fldCharType="begin"/>
      </w:r>
      <w:r>
        <w:instrText xml:space="preserve"> ADDIN EN.CITE &lt;EndNote&gt;&lt;Cite&gt;&lt;RecNum&gt;115&lt;/RecNum&gt;&lt;DisplayText&gt;&amp;quot;Incendiary Publications,&amp;quot; &lt;style face="italic"&gt;Western Christian Advocate (1834-1883)&lt;/style&gt;, September 18, 1835.&lt;/DisplayText&gt;&lt;record&gt;&lt;rec-number&gt;115&lt;/rec-number&gt;&lt;foreign-keys&gt;&lt;key app="EN" db-id="zsrseat5ww9t5devdf1prxd7r0errx92pd5v" timestamp="1553699330"&gt;115&lt;/key&gt;&lt;/foreign-keys&gt;&lt;ref-type name="Newspaper Article"&gt;23&lt;/ref-type&gt;&lt;contributors&gt;&lt;/contributors&gt;&lt;titles&gt;&lt;title&gt;Incendiary Publications&lt;/title&gt;&lt;secondary-title&gt;Western Christian Advocate (1834-1883)&lt;/secondary-title&gt;&lt;/titles&gt;&lt;volume&gt;2&lt;/volume&gt;&lt;dates&gt;&lt;pub-dates&gt;&lt;date&gt;September 18, 1835&lt;/date&gt;&lt;/pub-dates&gt;&lt;/dates&gt;&lt;pub-location&gt;Cincinnati&lt;/pub-location&gt;&lt;urls&gt;&lt;/urls&gt;&lt;custom2&gt;21&lt;/custom2&gt;&lt;/record&gt;&lt;/Cite&gt;&lt;/EndNote&gt;</w:instrText>
      </w:r>
      <w:r>
        <w:fldChar w:fldCharType="separate"/>
      </w:r>
      <w:r>
        <w:rPr>
          <w:noProof/>
        </w:rPr>
        <w:t xml:space="preserve">"Incendiary Publications," </w:t>
      </w:r>
      <w:r w:rsidRPr="0077739D">
        <w:rPr>
          <w:i/>
          <w:noProof/>
        </w:rPr>
        <w:t>Western Christian Advocate (1834-1883)</w:t>
      </w:r>
      <w:r>
        <w:rPr>
          <w:noProof/>
        </w:rPr>
        <w:t>, September 18, 1835.</w:t>
      </w:r>
      <w:r>
        <w:fldChar w:fldCharType="end"/>
      </w:r>
      <w:r>
        <w:t xml:space="preserve">; </w:t>
      </w:r>
      <w:r>
        <w:fldChar w:fldCharType="begin"/>
      </w:r>
      <w:r>
        <w:instrText xml:space="preserve"> ADDIN EN.CITE &lt;EndNote&gt;&lt;Cite&gt;&lt;RecNum&gt;118&lt;/RecNum&gt;&lt;DisplayText&gt;&amp;quot;Speech of the Rev. Cortland Van Rensselaer: At the Public Meeting Held at Albany, September 1835.&amp;quot;&lt;/DisplayText&gt;&lt;record&gt;&lt;rec-number&gt;118&lt;/rec-number&gt;&lt;foreign-keys&gt;&lt;key app="EN" db-id="zsrseat5ww9t5devdf1prxd7r0errx92pd5v" timestamp="1553870888"&gt;118&lt;/key&gt;&lt;/foreign-keys&gt;&lt;ref-type name="Newspaper Article"&gt;23&lt;/ref-type&gt;&lt;contributors&gt;&lt;/contributors&gt;&lt;titles&gt;&lt;title&gt;Speech of the Rev. Cortland Van Rensselaer: At the Public Meeting held at Albany, September 1835&lt;/title&gt;&lt;secondary-title&gt;African Repository and Colonial Journal (1825-1849)&lt;/secondary-title&gt;&lt;/titles&gt;&lt;volume&gt;11&lt;/volume&gt;&lt;dates&gt;&lt;pub-dates&gt;&lt;date&gt;November 1835&lt;/date&gt;&lt;/pub-dates&gt;&lt;/dates&gt;&lt;pub-location&gt;Washington&lt;/pub-location&gt;&lt;urls&gt;&lt;/urls&gt;&lt;custom2&gt;11&lt;/custom2&gt;&lt;remote-database-name&gt;American Periodical&lt;/remote-database-name&gt;&lt;/record&gt;&lt;/Cite&gt;&lt;/EndNote&gt;</w:instrText>
      </w:r>
      <w:r>
        <w:fldChar w:fldCharType="separate"/>
      </w:r>
      <w:r>
        <w:rPr>
          <w:noProof/>
        </w:rPr>
        <w:t>"Speech of the Rev. Cortland Van Rensselaer: At the Public Meeting Held at Albany, September 1835."</w:t>
      </w:r>
      <w:r>
        <w:fldChar w:fldCharType="end"/>
      </w:r>
      <w:r>
        <w:t xml:space="preserve">; </w:t>
      </w:r>
      <w:r>
        <w:fldChar w:fldCharType="begin"/>
      </w:r>
      <w:r>
        <w:instrText xml:space="preserve"> ADDIN EN.CITE &lt;EndNote&gt;&lt;Cite&gt;&lt;Author&gt;Gabrial&lt;/Author&gt;&lt;Year&gt;2016&lt;/Year&gt;&lt;RecNum&gt;119&lt;/RecNum&gt;&lt;DisplayText&gt;Brian Gabrial, &lt;style face="italic"&gt;The Press and Slavery in America, 1791-1859: The Melancholy Effect of Popular Excitement&lt;/style&gt; (Columbia, South Carolina: The University of South Carolina Press, 2016).&lt;/DisplayText&gt;&lt;record&gt;&lt;rec-number&gt;119&lt;/rec-number&gt;&lt;foreign-keys&gt;&lt;key app="EN" db-id="zsrseat5ww9t5devdf1prxd7r0errx92pd5v" timestamp="1553871995"&gt;119&lt;/key&gt;&lt;/foreign-keys&gt;&lt;ref-type name="Book"&gt;6&lt;/ref-type&gt;&lt;contributors&gt;&lt;authors&gt;&lt;author&gt;Brian Gabrial&lt;/author&gt;&lt;/authors&gt;&lt;/contributors&gt;&lt;titles&gt;&lt;title&gt;The Press and Slavery in America, 1791-1859: The Melancholy Effect of Popular Excitement&lt;/title&gt;&lt;/titles&gt;&lt;dates&gt;&lt;year&gt;2016&lt;/year&gt;&lt;/dates&gt;&lt;pub-location&gt;Columbia, South Carolina&lt;/pub-location&gt;&lt;publisher&gt;The University of South Carolina Press&lt;/publisher&gt;&lt;urls&gt;&lt;/urls&gt;&lt;/record&gt;&lt;/Cite&gt;&lt;/EndNote&gt;</w:instrText>
      </w:r>
      <w:r>
        <w:fldChar w:fldCharType="separate"/>
      </w:r>
      <w:r>
        <w:rPr>
          <w:noProof/>
        </w:rPr>
        <w:t xml:space="preserve">Brian Gabrial, </w:t>
      </w:r>
      <w:r w:rsidRPr="002F773F">
        <w:rPr>
          <w:i/>
          <w:noProof/>
        </w:rPr>
        <w:t>The Press and Slavery in America, 1791-1859: The Melancholy Effect of Popular Excitement</w:t>
      </w:r>
      <w:r>
        <w:rPr>
          <w:noProof/>
        </w:rPr>
        <w:t xml:space="preserve"> (Columbia, South Carolina: The University of South Carolina Press, 2016).</w:t>
      </w:r>
      <w:r>
        <w:fldChar w:fldCharType="end"/>
      </w:r>
      <w:r>
        <w:t>, 53.</w:t>
      </w:r>
    </w:p>
  </w:footnote>
  <w:footnote w:id="31">
    <w:p w14:paraId="1C1ABEA7" w14:textId="77777777" w:rsidR="00281F97" w:rsidRDefault="00281F97">
      <w:pPr>
        <w:pStyle w:val="FootnoteText"/>
      </w:pPr>
      <w:r>
        <w:rPr>
          <w:rStyle w:val="FootnoteReference"/>
        </w:rPr>
        <w:footnoteRef/>
      </w:r>
      <w:r>
        <w:t xml:space="preserve"> </w:t>
      </w:r>
      <w:r>
        <w:fldChar w:fldCharType="begin"/>
      </w:r>
      <w:r>
        <w:instrText xml:space="preserve"> ADDIN EN.CITE &lt;EndNote&gt;&lt;Cite&gt;&lt;Year&gt;1835&lt;/Year&gt;&lt;RecNum&gt;100&lt;/RecNum&gt;&lt;DisplayText&gt;&amp;quot;Another Warning.&amp;quot;&lt;/DisplayText&gt;&lt;record&gt;&lt;rec-number&gt;100&lt;/rec-number&gt;&lt;foreign-keys&gt;&lt;key app="EN" db-id="zsrseat5ww9t5devdf1prxd7r0errx92pd5v" timestamp="1551886353"&gt;100&lt;/key&gt;&lt;/foreign-keys&gt;&lt;ref-type name="Newspaper Article"&gt;23&lt;/ref-type&gt;&lt;contributors&gt;&lt;/contributors&gt;&lt;titles&gt;&lt;title&gt;Another Warning&lt;/title&gt;&lt;secondary-title&gt;New-York Spectator&lt;/secondary-title&gt;&lt;/titles&gt;&lt;dates&gt;&lt;year&gt;1835&lt;/year&gt;&lt;pub-dates&gt;&lt;date&gt;Monday, August 31&lt;/date&gt;&lt;/pub-dates&gt;&lt;/dates&gt;&lt;pub-location&gt;New York, New York&lt;/pub-location&gt;&lt;urls&gt;&lt;/urls&gt;&lt;/record&gt;&lt;/Cite&gt;&lt;/EndNote&gt;</w:instrText>
      </w:r>
      <w:r>
        <w:fldChar w:fldCharType="separate"/>
      </w:r>
      <w:r>
        <w:rPr>
          <w:noProof/>
        </w:rPr>
        <w:t>"Another Warning."</w:t>
      </w:r>
      <w:r>
        <w:fldChar w:fldCharType="end"/>
      </w:r>
      <w:r>
        <w:t xml:space="preserve">; </w:t>
      </w:r>
      <w:r>
        <w:fldChar w:fldCharType="begin"/>
      </w:r>
      <w:r>
        <w:instrText xml:space="preserve"> ADDIN EN.CITE &lt;EndNote&gt;&lt;Cite&gt;&lt;Year&gt;1838&lt;/Year&gt;&lt;RecNum&gt;101&lt;/RecNum&gt;&lt;DisplayText&gt;&amp;quot;Cause in Indiana.&amp;quot;&lt;/DisplayText&gt;&lt;record&gt;&lt;rec-number&gt;101&lt;/rec-number&gt;&lt;foreign-keys&gt;&lt;key app="EN" db-id="zsrseat5ww9t5devdf1prxd7r0errx92pd5v" timestamp="1551886934"&gt;101&lt;/key&gt;&lt;/foreign-keys&gt;&lt;ref-type name="Newspaper Article"&gt;23&lt;/ref-type&gt;&lt;contributors&gt;&lt;/contributors&gt;&lt;titles&gt;&lt;title&gt;Cause in Indiana&lt;/title&gt;&lt;secondary-title&gt;Philanthropist (1836-1843)&lt;/secondary-title&gt;&lt;/titles&gt;&lt;dates&gt;&lt;year&gt;1838&lt;/year&gt;&lt;pub-dates&gt;&lt;date&gt;July 24&lt;/date&gt;&lt;/pub-dates&gt;&lt;/dates&gt;&lt;urls&gt;&lt;related-urls&gt;&lt;url&gt;https://search-proquest-com.gate.lib.buffalo.edu/docview/89832861?accountid=14169&lt;/url&gt;&lt;/related-urls&gt;&lt;/urls&gt;&lt;remote-database-name&gt;Proquest&lt;/remote-database-name&gt;&lt;/record&gt;&lt;/Cite&gt;&lt;/EndNote&gt;</w:instrText>
      </w:r>
      <w:r>
        <w:fldChar w:fldCharType="separate"/>
      </w:r>
      <w:r>
        <w:rPr>
          <w:noProof/>
        </w:rPr>
        <w:t>"Cause in Indiana."</w:t>
      </w:r>
      <w:r>
        <w:fldChar w:fldCharType="end"/>
      </w:r>
      <w:r>
        <w:t xml:space="preserve">; </w:t>
      </w:r>
      <w:r>
        <w:fldChar w:fldCharType="begin"/>
      </w:r>
      <w:r>
        <w:instrText xml:space="preserve"> ADDIN EN.CITE &lt;EndNote&gt;&lt;Cite&gt;&lt;Author&gt;Marcy&lt;/Author&gt;&lt;Year&gt;1836&lt;/Year&gt;&lt;RecNum&gt;106&lt;/RecNum&gt;&lt;DisplayText&gt;Marcy.&lt;/DisplayText&gt;&lt;record&gt;&lt;rec-number&gt;106&lt;/rec-number&gt;&lt;foreign-keys&gt;&lt;key app="EN" db-id="zsrseat5ww9t5devdf1prxd7r0errx92pd5v" timestamp="1552238080"&gt;106&lt;/key&gt;&lt;/foreign-keys&gt;&lt;ref-type name="Government Document"&gt;46&lt;/ref-type&gt;&lt;contributors&gt;&lt;authors&gt;&lt;author&gt;W.L. Marcy&lt;/author&gt;&lt;/authors&gt;&lt;/contributors&gt;&lt;titles&gt;&lt;title&gt;Message from the Governor to the Senate and Assembly&lt;/title&gt;&lt;/titles&gt;&lt;number&gt;2&lt;/number&gt;&lt;dates&gt;&lt;year&gt;1836&lt;/year&gt;&lt;/dates&gt;&lt;pub-location&gt;Albany, New York&lt;/pub-location&gt;&lt;urls&gt;&lt;/urls&gt;&lt;remote-database-name&gt;New York State Library&lt;/remote-database-name&gt;&lt;/record&gt;&lt;/Cite&gt;&lt;/EndNote&gt;</w:instrText>
      </w:r>
      <w:r>
        <w:fldChar w:fldCharType="separate"/>
      </w:r>
      <w:r>
        <w:rPr>
          <w:noProof/>
        </w:rPr>
        <w:t>Marcy.</w:t>
      </w:r>
      <w:r>
        <w:fldChar w:fldCharType="end"/>
      </w:r>
      <w:r>
        <w:t>, “Message from the Governor to the Senate and Assembly,” 30.</w:t>
      </w:r>
    </w:p>
  </w:footnote>
  <w:footnote w:id="32">
    <w:p w14:paraId="4910BE32" w14:textId="77777777" w:rsidR="00281F97" w:rsidRDefault="00281F97">
      <w:pPr>
        <w:pStyle w:val="FootnoteText"/>
      </w:pPr>
      <w:r>
        <w:rPr>
          <w:rStyle w:val="FootnoteReference"/>
        </w:rPr>
        <w:footnoteRef/>
      </w:r>
      <w:r>
        <w:t xml:space="preserve"> </w:t>
      </w:r>
      <w:r>
        <w:fldChar w:fldCharType="begin"/>
      </w:r>
      <w:r>
        <w:instrText xml:space="preserve"> ADDIN EN.CITE &lt;EndNote&gt;&lt;Cite&gt;&lt;Author&gt;Drayton&lt;/Author&gt;&lt;Year&gt;1836&lt;/Year&gt;&lt;RecNum&gt;110&lt;/RecNum&gt;&lt;DisplayText&gt;William Drayton, &lt;style face="italic"&gt;The South Vindicated from the Treason and Fanaticism of the Northern Abolitionists&lt;/style&gt; (Philadelphia: H. Manly, 1836).&lt;/DisplayText&gt;&lt;record&gt;&lt;rec-number&gt;110&lt;/rec-number&gt;&lt;foreign-keys&gt;&lt;key app="EN" db-id="zsrseat5ww9t5devdf1prxd7r0errx92pd5v" timestamp="1552241521"&gt;110&lt;/key&gt;&lt;/foreign-keys&gt;&lt;ref-type name="Book"&gt;6&lt;/ref-type&gt;&lt;contributors&gt;&lt;authors&gt;&lt;author&gt;William Drayton&lt;/author&gt;&lt;/authors&gt;&lt;/contributors&gt;&lt;titles&gt;&lt;title&gt;The South Vindicated from the Treason and Fanaticism of the Northern Abolitionists&lt;/title&gt;&lt;/titles&gt;&lt;dates&gt;&lt;year&gt;1836&lt;/year&gt;&lt;/dates&gt;&lt;pub-location&gt;Philadelphia&lt;/pub-location&gt;&lt;publisher&gt;H. Manly&lt;/publisher&gt;&lt;urls&gt;&lt;/urls&gt;&lt;/record&gt;&lt;/Cite&gt;&lt;/EndNote&gt;</w:instrText>
      </w:r>
      <w:r>
        <w:fldChar w:fldCharType="separate"/>
      </w:r>
      <w:r>
        <w:rPr>
          <w:noProof/>
        </w:rPr>
        <w:t xml:space="preserve">William Drayton, </w:t>
      </w:r>
      <w:r w:rsidRPr="005E3E0C">
        <w:rPr>
          <w:i/>
          <w:noProof/>
        </w:rPr>
        <w:t>The South Vindicated from the Treason and Fanaticism of the Northern Abolitionists</w:t>
      </w:r>
      <w:r>
        <w:rPr>
          <w:noProof/>
        </w:rPr>
        <w:t xml:space="preserve"> (Philadelphia: H. Manly, 1836).</w:t>
      </w:r>
      <w:r>
        <w:fldChar w:fldCharType="end"/>
      </w:r>
      <w:r>
        <w:t>, 312.</w:t>
      </w:r>
    </w:p>
  </w:footnote>
  <w:footnote w:id="33">
    <w:p w14:paraId="225D607A" w14:textId="77777777" w:rsidR="00281F97" w:rsidRDefault="00281F97" w:rsidP="000D2C61">
      <w:pPr>
        <w:pStyle w:val="FootnoteText"/>
      </w:pPr>
      <w:r>
        <w:rPr>
          <w:rStyle w:val="FootnoteReference"/>
        </w:rPr>
        <w:footnoteRef/>
      </w:r>
      <w:r>
        <w:t xml:space="preserve"> </w:t>
      </w:r>
      <w:r>
        <w:fldChar w:fldCharType="begin"/>
      </w:r>
      <w:r>
        <w:instrText xml:space="preserve"> ADDIN EN.CITE &lt;EndNote&gt;&lt;Cite&gt;&lt;Author&gt;Labunski&lt;/Author&gt;&lt;Year&gt;1987&lt;/Year&gt;&lt;RecNum&gt;41&lt;/RecNum&gt;&lt;DisplayText&gt;Richard Labunski, &lt;style face="italic"&gt;Libel and the First Amendment: Legal History and Practice in Print and Broadcasting&lt;/style&gt; (New Brunswick and Oxford: Transaction Books, 1987).&lt;/DisplayText&gt;&lt;record&gt;&lt;rec-number&gt;41&lt;/rec-number&gt;&lt;foreign-keys&gt;&lt;key app="EN" db-id="zsrseat5ww9t5devdf1prxd7r0errx92pd5v" timestamp="1522602849"&gt;41&lt;/key&gt;&lt;/foreign-keys&gt;&lt;ref-type name="Book"&gt;6&lt;/ref-type&gt;&lt;contributors&gt;&lt;authors&gt;&lt;author&gt;Richard Labunski&lt;/author&gt;&lt;/authors&gt;&lt;/contributors&gt;&lt;titles&gt;&lt;title&gt;Libel and the First Amendment: Legal History and Practice in Print and Broadcasting&lt;/title&gt;&lt;/titles&gt;&lt;dates&gt;&lt;year&gt;1987&lt;/year&gt;&lt;/dates&gt;&lt;pub-location&gt;New Brunswick and Oxford&lt;/pub-location&gt;&lt;publisher&gt;Transaction Books&lt;/publisher&gt;&lt;urls&gt;&lt;/urls&gt;&lt;/record&gt;&lt;/Cite&gt;&lt;/EndNote&gt;</w:instrText>
      </w:r>
      <w:r>
        <w:fldChar w:fldCharType="separate"/>
      </w:r>
      <w:r>
        <w:rPr>
          <w:noProof/>
        </w:rPr>
        <w:t xml:space="preserve">Richard Labunski, </w:t>
      </w:r>
      <w:r w:rsidRPr="005D6720">
        <w:rPr>
          <w:i/>
          <w:noProof/>
        </w:rPr>
        <w:t>Libel and the First Amendment: Legal History and Practice in Print and Broadcasting</w:t>
      </w:r>
      <w:r>
        <w:rPr>
          <w:noProof/>
        </w:rPr>
        <w:t xml:space="preserve"> (New Brunswick and Oxford: Transaction Books, 1987).</w:t>
      </w:r>
      <w:r>
        <w:fldChar w:fldCharType="end"/>
      </w:r>
      <w:r>
        <w:t>, 30.</w:t>
      </w:r>
    </w:p>
  </w:footnote>
  <w:footnote w:id="34">
    <w:p w14:paraId="734AF9C4" w14:textId="77777777" w:rsidR="00281F97" w:rsidRDefault="00281F97" w:rsidP="000D2C61">
      <w:pPr>
        <w:pStyle w:val="FootnoteText"/>
      </w:pPr>
      <w:r>
        <w:rPr>
          <w:rStyle w:val="FootnoteReference"/>
        </w:rPr>
        <w:footnoteRef/>
      </w:r>
      <w:r>
        <w:t xml:space="preserve"> </w:t>
      </w:r>
      <w:r>
        <w:fldChar w:fldCharType="begin"/>
      </w:r>
      <w:r>
        <w:instrText xml:space="preserve"> ADDIN EN.CITE &lt;EndNote&gt;&lt;Cite&gt;&lt;Author&gt;Rosenberg&lt;/Author&gt;&lt;Year&gt;1986&lt;/Year&gt;&lt;RecNum&gt;29&lt;/RecNum&gt;&lt;DisplayText&gt;Norman L. Rosenberg, &lt;style face="italic"&gt;Protecting the Best Men: An Interpretive History of the Law of Libel&lt;/style&gt; (Chapel Hill and London: The University of North Carolina Press, 1986).&lt;/DisplayText&gt;&lt;record&gt;&lt;rec-number&gt;29&lt;/rec-number&gt;&lt;foreign-keys&gt;&lt;key app="EN" db-id="zsrseat5ww9t5devdf1prxd7r0errx92pd5v" timestamp="1522602742"&gt;29&lt;/key&gt;&lt;key app="ENWeb" db-id=""&gt;0&lt;/key&gt;&lt;/foreign-keys&gt;&lt;ref-type name="Book"&gt;6&lt;/ref-type&gt;&lt;contributors&gt;&lt;authors&gt;&lt;author&gt;Norman L. Rosenberg&lt;/author&gt;&lt;/authors&gt;&lt;/contributors&gt;&lt;titles&gt;&lt;title&gt;Protecting the Best Men: An Interpretive History of the Law of Libel&lt;/title&gt;&lt;/titles&gt;&lt;dates&gt;&lt;year&gt;1986&lt;/year&gt;&lt;/dates&gt;&lt;pub-location&gt;Chapel Hill and London&lt;/pub-location&gt;&lt;publisher&gt;The University of North Carolina Press&lt;/publisher&gt;&lt;urls&gt;&lt;/urls&gt;&lt;/record&gt;&lt;/Cite&gt;&lt;/EndNote&gt;</w:instrText>
      </w:r>
      <w:r>
        <w:fldChar w:fldCharType="separate"/>
      </w:r>
      <w:r>
        <w:rPr>
          <w:noProof/>
        </w:rPr>
        <w:t xml:space="preserve">Norman L. Rosenberg, </w:t>
      </w:r>
      <w:r w:rsidRPr="00FE58CC">
        <w:rPr>
          <w:i/>
          <w:noProof/>
        </w:rPr>
        <w:t>Protecting the Best Men: An Interpretive History of the Law of Libel</w:t>
      </w:r>
      <w:r>
        <w:rPr>
          <w:noProof/>
        </w:rPr>
        <w:t xml:space="preserve"> (Chapel Hill and London: The University of North Carolina Press, 1986).</w:t>
      </w:r>
      <w:r>
        <w:fldChar w:fldCharType="end"/>
      </w:r>
    </w:p>
  </w:footnote>
  <w:footnote w:id="35">
    <w:p w14:paraId="1E5CBF0E" w14:textId="77777777" w:rsidR="00281F97" w:rsidRDefault="00281F97" w:rsidP="000D2C61">
      <w:pPr>
        <w:pStyle w:val="FootnoteText"/>
      </w:pPr>
      <w:r>
        <w:rPr>
          <w:rStyle w:val="FootnoteReference"/>
        </w:rPr>
        <w:footnoteRef/>
      </w:r>
      <w:r>
        <w:t xml:space="preserve"> </w:t>
      </w:r>
      <w:r>
        <w:fldChar w:fldCharType="begin"/>
      </w:r>
      <w:r>
        <w:instrText xml:space="preserve"> ADDIN EN.CITE &lt;EndNote&gt;&lt;Cite&gt;&lt;Author&gt;Rosenberg&lt;/Author&gt;&lt;Year&gt;1986&lt;/Year&gt;&lt;RecNum&gt;29&lt;/RecNum&gt;&lt;DisplayText&gt;Ibid.&lt;/DisplayText&gt;&lt;record&gt;&lt;rec-number&gt;29&lt;/rec-number&gt;&lt;foreign-keys&gt;&lt;key app="EN" db-id="zsrseat5ww9t5devdf1prxd7r0errx92pd5v" timestamp="1522602742"&gt;29&lt;/key&gt;&lt;key app="ENWeb" db-id=""&gt;0&lt;/key&gt;&lt;/foreign-keys&gt;&lt;ref-type name="Book"&gt;6&lt;/ref-type&gt;&lt;contributors&gt;&lt;authors&gt;&lt;author&gt;Norman L. Rosenberg&lt;/author&gt;&lt;/authors&gt;&lt;/contributors&gt;&lt;titles&gt;&lt;title&gt;Protecting the Best Men: An Interpretive History of the Law of Libel&lt;/title&gt;&lt;/titles&gt;&lt;dates&gt;&lt;year&gt;1986&lt;/year&gt;&lt;/dates&gt;&lt;pub-location&gt;Chapel Hill and London&lt;/pub-location&gt;&lt;publisher&gt;The University of North Carolina Press&lt;/publisher&gt;&lt;urls&gt;&lt;/urls&gt;&lt;/record&gt;&lt;/Cite&gt;&lt;/EndNote&gt;</w:instrText>
      </w:r>
      <w:r>
        <w:fldChar w:fldCharType="separate"/>
      </w:r>
      <w:r>
        <w:rPr>
          <w:noProof/>
        </w:rPr>
        <w:t>Ibid.</w:t>
      </w:r>
      <w:r>
        <w:fldChar w:fldCharType="end"/>
      </w:r>
      <w:r>
        <w:t>, 6, 111.</w:t>
      </w:r>
    </w:p>
  </w:footnote>
  <w:footnote w:id="36">
    <w:p w14:paraId="671A3075" w14:textId="77777777" w:rsidR="00281F97" w:rsidRDefault="00281F97" w:rsidP="000D2C61">
      <w:pPr>
        <w:pStyle w:val="FootnoteText"/>
      </w:pPr>
      <w:r>
        <w:rPr>
          <w:rStyle w:val="FootnoteReference"/>
        </w:rPr>
        <w:footnoteRef/>
      </w:r>
      <w:r>
        <w:t xml:space="preserve"> </w:t>
      </w:r>
      <w:r>
        <w:fldChar w:fldCharType="begin"/>
      </w:r>
      <w:r>
        <w:instrText xml:space="preserve"> ADDIN EN.CITE &lt;EndNote&gt;&lt;Cite&gt;&lt;Author&gt;Cooper&lt;/Author&gt;&lt;Year&gt;1830&lt;/Year&gt;&lt;RecNum&gt;52&lt;/RecNum&gt;&lt;DisplayText&gt;Thomas Cooper, &lt;style face="italic"&gt;Treatise on the Law of Libel and the Liberty of the Press; Showing the Origins, Use, and Abuse of the Law of Libel&lt;/style&gt; (New York: G.F. Hopkins &amp;amp; Son, 1830).&lt;/DisplayText&gt;&lt;record&gt;&lt;rec-number&gt;52&lt;/rec-number&gt;&lt;foreign-keys&gt;&lt;key app="EN" db-id="zsrseat5ww9t5devdf1prxd7r0errx92pd5v" timestamp="1525729169"&gt;52&lt;/key&gt;&lt;/foreign-keys&gt;&lt;ref-type name="Book"&gt;6&lt;/ref-type&gt;&lt;contributors&gt;&lt;authors&gt;&lt;author&gt;Thomas Cooper&lt;/author&gt;&lt;/authors&gt;&lt;/contributors&gt;&lt;titles&gt;&lt;title&gt;Treatise on the Law of Libel and the Liberty of the Press; Showing the Origins, Use, and Abuse of the Law of Libel&lt;/title&gt;&lt;/titles&gt;&lt;dates&gt;&lt;year&gt;1830&lt;/year&gt;&lt;/dates&gt;&lt;pub-location&gt;New York&lt;/pub-location&gt;&lt;publisher&gt;G.F. Hopkins &amp;amp; Son&lt;/publisher&gt;&lt;urls&gt;&lt;/urls&gt;&lt;/record&gt;&lt;/Cite&gt;&lt;/EndNote&gt;</w:instrText>
      </w:r>
      <w:r>
        <w:fldChar w:fldCharType="separate"/>
      </w:r>
      <w:r>
        <w:rPr>
          <w:noProof/>
        </w:rPr>
        <w:t xml:space="preserve">Thomas Cooper, </w:t>
      </w:r>
      <w:r w:rsidRPr="00884C2C">
        <w:rPr>
          <w:i/>
          <w:noProof/>
        </w:rPr>
        <w:t>Treatise on the Law of Libel and the Liberty of the Press; Showing the Origins, Use, and Abuse of the Law of Libel</w:t>
      </w:r>
      <w:r>
        <w:rPr>
          <w:noProof/>
        </w:rPr>
        <w:t xml:space="preserve"> (New York: G.F. Hopkins &amp; Son, 1830).</w:t>
      </w:r>
      <w:r>
        <w:fldChar w:fldCharType="end"/>
      </w:r>
      <w:r>
        <w:t>, 81.</w:t>
      </w:r>
    </w:p>
  </w:footnote>
  <w:footnote w:id="37">
    <w:p w14:paraId="72C1F76E" w14:textId="77777777" w:rsidR="00281F97" w:rsidRDefault="00281F97">
      <w:pPr>
        <w:pStyle w:val="FootnoteText"/>
      </w:pPr>
      <w:r>
        <w:rPr>
          <w:rStyle w:val="FootnoteReference"/>
        </w:rPr>
        <w:footnoteRef/>
      </w:r>
      <w:r>
        <w:t xml:space="preserve"> </w:t>
      </w:r>
      <w:r>
        <w:fldChar w:fldCharType="begin"/>
      </w:r>
      <w:r>
        <w:instrText xml:space="preserve"> ADDIN EN.CITE &lt;EndNote&gt;&lt;Cite&gt;&lt;Year&gt;1832&lt;/Year&gt;&lt;RecNum&gt;102&lt;/RecNum&gt;&lt;DisplayText&gt;&amp;quot;Art. Iv.—Incendiary Publications.&amp;quot;&lt;/DisplayText&gt;&lt;record&gt;&lt;rec-number&gt;102&lt;/rec-number&gt;&lt;foreign-keys&gt;&lt;key app="EN" db-id="zsrseat5ww9t5devdf1prxd7r0errx92pd5v" timestamp="1551887614"&gt;102&lt;/key&gt;&lt;/foreign-keys&gt;&lt;ref-type name="Magazine Article"&gt;19&lt;/ref-type&gt;&lt;contributors&gt;&lt;/contributors&gt;&lt;titles&gt;&lt;title&gt;ART. IV.—Incendiary Publications&lt;/title&gt;&lt;secondary-title&gt;American Jurist and Law Magazine (1829-1843)&lt;/secondary-title&gt;&lt;/titles&gt;&lt;dates&gt;&lt;year&gt;1832&lt;/year&gt;&lt;pub-dates&gt;&lt;date&gt;July&lt;/date&gt;&lt;/pub-dates&gt;&lt;/dates&gt;&lt;urls&gt;&lt;/urls&gt;&lt;remote-database-name&gt;American Periodicals&lt;/remote-database-name&gt;&lt;/record&gt;&lt;/Cite&gt;&lt;/EndNote&gt;</w:instrText>
      </w:r>
      <w:r>
        <w:fldChar w:fldCharType="separate"/>
      </w:r>
      <w:r>
        <w:rPr>
          <w:noProof/>
        </w:rPr>
        <w:t>"Art. Iv.—Incendiary Publications."</w:t>
      </w:r>
      <w:r>
        <w:fldChar w:fldCharType="end"/>
      </w:r>
      <w:r>
        <w:t>, 2-3.</w:t>
      </w:r>
    </w:p>
  </w:footnote>
  <w:footnote w:id="38">
    <w:p w14:paraId="5FB52647" w14:textId="77777777" w:rsidR="00281F97" w:rsidRDefault="00281F97" w:rsidP="006A25E6">
      <w:pPr>
        <w:pStyle w:val="FootnoteText"/>
      </w:pPr>
      <w:r>
        <w:rPr>
          <w:rStyle w:val="FootnoteReference"/>
        </w:rPr>
        <w:footnoteRef/>
      </w:r>
      <w:r>
        <w:t xml:space="preserve"> </w:t>
      </w:r>
      <w:r>
        <w:fldChar w:fldCharType="begin"/>
      </w:r>
      <w:r>
        <w:instrText xml:space="preserve"> ADDIN EN.CITE &lt;EndNote&gt;&lt;Cite&gt;&lt;Year&gt;1835-‘36&lt;/Year&gt;&lt;RecNum&gt;105&lt;/RecNum&gt;&lt;DisplayText&gt;&amp;quot;Journal of the Senate of the Commonwealth of Pennsylvania.&amp;quot;&lt;/DisplayText&gt;&lt;record&gt;&lt;rec-number&gt;105&lt;/rec-number&gt;&lt;foreign-keys&gt;&lt;key app="EN" db-id="zsrseat5ww9t5devdf1prxd7r0errx92pd5v" timestamp="1552237375"&gt;105&lt;/key&gt;&lt;/foreign-keys&gt;&lt;ref-type name="Government Document"&gt;46&lt;/ref-type&gt;&lt;contributors&gt;&lt;/contributors&gt;&lt;titles&gt;&lt;title&gt;Journal of the Senate of the Commonwealth of Pennsylvania&lt;/title&gt;&lt;/titles&gt;&lt;volume&gt;2&lt;/volume&gt;&lt;section&gt;Communication from the Governor of Maine, transmitting a Report and Resolutions of the Legislture of that state respecting Slavery&lt;/section&gt;&lt;dates&gt;&lt;year&gt;1835-‘36&lt;/year&gt;&lt;/dates&gt;&lt;pub-location&gt;Harrisburg&lt;/pub-location&gt;&lt;publisher&gt;Crabb &amp;amp; Barrett&lt;/publisher&gt;&lt;urls&gt;&lt;/urls&gt;&lt;/record&gt;&lt;/Cite&gt;&lt;/EndNote&gt;</w:instrText>
      </w:r>
      <w:r>
        <w:fldChar w:fldCharType="separate"/>
      </w:r>
      <w:r>
        <w:rPr>
          <w:noProof/>
        </w:rPr>
        <w:t>"Journal of the Senate of the Commonwealth of Pennsylvania."</w:t>
      </w:r>
      <w:r>
        <w:fldChar w:fldCharType="end"/>
      </w:r>
      <w:r>
        <w:t>, 419.</w:t>
      </w:r>
    </w:p>
  </w:footnote>
  <w:footnote w:id="39">
    <w:p w14:paraId="163E2BA1" w14:textId="7F90029F" w:rsidR="00281F97" w:rsidRDefault="00281F97">
      <w:pPr>
        <w:pStyle w:val="FootnoteText"/>
      </w:pPr>
      <w:r>
        <w:rPr>
          <w:rStyle w:val="FootnoteReference"/>
        </w:rPr>
        <w:footnoteRef/>
      </w:r>
      <w:r>
        <w:t xml:space="preserve"> </w:t>
      </w:r>
      <w:r>
        <w:fldChar w:fldCharType="begin"/>
      </w:r>
      <w:r>
        <w:instrText xml:space="preserve"> ADDIN EN.CITE &lt;EndNote&gt;&lt;Cite&gt;&lt;Year&gt;1836&lt;/Year&gt;&lt;RecNum&gt;129&lt;/RecNum&gt;&lt;DisplayText&gt;&amp;quot;The Voice of New York,&amp;quot; in &lt;style face="italic"&gt;Niles’ Weekly Register&lt;/style&gt;, ed. H. Niles (Baltimore: H. Niles, 1836).&lt;/DisplayText&gt;&lt;record&gt;&lt;rec-number&gt;129&lt;/rec-number&gt;&lt;foreign-keys&gt;&lt;key app="EN" db-id="zsrseat5ww9t5devdf1prxd7r0errx92pd5v" timestamp="1556387007"&gt;129&lt;/key&gt;&lt;/foreign-keys&gt;&lt;ref-type name="Book Section"&gt;5&lt;/ref-type&gt;&lt;contributors&gt;&lt;secondary-authors&gt;&lt;author&gt;H. Niles&lt;/author&gt;&lt;/secondary-authors&gt;&lt;/contributors&gt;&lt;titles&gt;&lt;title&gt;The Voice of New York&lt;/title&gt;&lt;secondary-title&gt;Niles’ Weekly Register&lt;/secondary-title&gt;&lt;/titles&gt;&lt;volume&gt;49&lt;/volume&gt;&lt;dates&gt;&lt;year&gt;1836&lt;/year&gt;&lt;/dates&gt;&lt;pub-location&gt;Baltimore&lt;/pub-location&gt;&lt;publisher&gt;H. Niles&lt;/publisher&gt;&lt;urls&gt;&lt;/urls&gt;&lt;/record&gt;&lt;/Cite&gt;&lt;/EndNote&gt;</w:instrText>
      </w:r>
      <w:r>
        <w:fldChar w:fldCharType="separate"/>
      </w:r>
      <w:r>
        <w:rPr>
          <w:noProof/>
        </w:rPr>
        <w:t xml:space="preserve">"The Voice of New York," in </w:t>
      </w:r>
      <w:r w:rsidRPr="00D802D5">
        <w:rPr>
          <w:i/>
          <w:noProof/>
        </w:rPr>
        <w:t>Niles’ Weekly Register</w:t>
      </w:r>
      <w:r>
        <w:rPr>
          <w:noProof/>
        </w:rPr>
        <w:t>, ed. H. Niles (Baltimore: H. Niles, 1836).</w:t>
      </w:r>
      <w:r>
        <w:fldChar w:fldCharType="end"/>
      </w:r>
      <w:r>
        <w:t>, 9.</w:t>
      </w:r>
    </w:p>
  </w:footnote>
  <w:footnote w:id="40">
    <w:p w14:paraId="5F650B8F" w14:textId="08A14AC2" w:rsidR="00281F97" w:rsidRDefault="00281F97">
      <w:pPr>
        <w:pStyle w:val="FootnoteText"/>
      </w:pPr>
      <w:r>
        <w:rPr>
          <w:rStyle w:val="FootnoteReference"/>
        </w:rPr>
        <w:footnoteRef/>
      </w:r>
      <w:r>
        <w:t xml:space="preserve"> </w:t>
      </w:r>
      <w:r>
        <w:fldChar w:fldCharType="begin"/>
      </w:r>
      <w:r>
        <w:instrText xml:space="preserve"> ADDIN EN.CITE &lt;EndNote&gt;&lt;Cite&gt;&lt;Author&gt;Kendall&lt;/Author&gt;&lt;Year&gt;1836&lt;/Year&gt;&lt;RecNum&gt;128&lt;/RecNum&gt;&lt;DisplayText&gt;Amos Kendall, &amp;quot;Letters from Mr. Kendall,&amp;quot; ibid.&lt;/DisplayText&gt;&lt;record&gt;&lt;rec-number&gt;128&lt;/rec-number&gt;&lt;foreign-keys&gt;&lt;key app="EN" db-id="zsrseat5ww9t5devdf1prxd7r0errx92pd5v" timestamp="1556386844"&gt;128&lt;/key&gt;&lt;/foreign-keys&gt;&lt;ref-type name="Book Section"&gt;5&lt;/ref-type&gt;&lt;contributors&gt;&lt;authors&gt;&lt;author&gt;Amos Kendall&lt;/author&gt;&lt;/authors&gt;&lt;secondary-authors&gt;&lt;author&gt;H. Niles&lt;/author&gt;&lt;/secondary-authors&gt;&lt;/contributors&gt;&lt;titles&gt;&lt;title&gt;Letters from Mr. Kendall&lt;/title&gt;&lt;secondary-title&gt;Niles’ Weekly Register&lt;/secondary-title&gt;&lt;/titles&gt;&lt;volume&gt;49&lt;/volume&gt;&lt;dates&gt;&lt;year&gt;1836&lt;/year&gt;&lt;/dates&gt;&lt;pub-location&gt;Baltimore&lt;/pub-location&gt;&lt;publisher&gt;H. Niles&lt;/publisher&gt;&lt;urls&gt;&lt;/urls&gt;&lt;/record&gt;&lt;/Cite&gt;&lt;/EndNote&gt;</w:instrText>
      </w:r>
      <w:r>
        <w:fldChar w:fldCharType="separate"/>
      </w:r>
      <w:r>
        <w:rPr>
          <w:noProof/>
        </w:rPr>
        <w:t>Amos Kendall, "Letters from Mr. Kendall," ibid.</w:t>
      </w:r>
      <w:r>
        <w:fldChar w:fldCharType="end"/>
      </w:r>
      <w:r>
        <w:t xml:space="preserve">, 8; </w:t>
      </w:r>
      <w:r>
        <w:fldChar w:fldCharType="begin"/>
      </w:r>
      <w:r>
        <w:instrText xml:space="preserve"> ADDIN EN.CITE &lt;EndNote&gt;&lt;Cite&gt;&lt;Year&gt;1836&lt;/Year&gt;&lt;RecNum&gt;127&lt;/RecNum&gt;&lt;DisplayText&gt;&amp;quot;Slavery and the Abolitionists,&amp;quot; ibid.&lt;/DisplayText&gt;&lt;record&gt;&lt;rec-number&gt;127&lt;/rec-number&gt;&lt;foreign-keys&gt;&lt;key app="EN" db-id="zsrseat5ww9t5devdf1prxd7r0errx92pd5v" timestamp="1556386611"&gt;127&lt;/key&gt;&lt;/foreign-keys&gt;&lt;ref-type name="Book Section"&gt;5&lt;/ref-type&gt;&lt;contributors&gt;&lt;secondary-authors&gt;&lt;author&gt;H. Niles&lt;/author&gt;&lt;/secondary-authors&gt;&lt;/contributors&gt;&lt;titles&gt;&lt;title&gt;Slavery and the Abolitionists&lt;/title&gt;&lt;secondary-title&gt;Niles’ Weekly Register&lt;/secondary-title&gt;&lt;/titles&gt;&lt;volume&gt;49&lt;/volume&gt;&lt;dates&gt;&lt;year&gt;1836&lt;/year&gt;&lt;/dates&gt;&lt;pub-location&gt;Baltimore&lt;/pub-location&gt;&lt;publisher&gt;H. Niles&lt;/publisher&gt;&lt;urls&gt;&lt;/urls&gt;&lt;/record&gt;&lt;/Cite&gt;&lt;/EndNote&gt;</w:instrText>
      </w:r>
      <w:r>
        <w:fldChar w:fldCharType="separate"/>
      </w:r>
      <w:r>
        <w:rPr>
          <w:noProof/>
        </w:rPr>
        <w:t>"Slavery and the Abolitionists," ibid.</w:t>
      </w:r>
      <w:r>
        <w:fldChar w:fldCharType="end"/>
      </w:r>
      <w:r>
        <w:t>, 73.</w:t>
      </w:r>
    </w:p>
  </w:footnote>
  <w:footnote w:id="41">
    <w:p w14:paraId="42794A16" w14:textId="305FCFA6" w:rsidR="00281F97" w:rsidRDefault="00281F97">
      <w:pPr>
        <w:pStyle w:val="FootnoteText"/>
      </w:pPr>
      <w:r>
        <w:rPr>
          <w:rStyle w:val="FootnoteReference"/>
        </w:rPr>
        <w:footnoteRef/>
      </w:r>
      <w:r>
        <w:t xml:space="preserve"> </w:t>
      </w:r>
      <w:r>
        <w:fldChar w:fldCharType="begin"/>
      </w:r>
      <w:r>
        <w:instrText xml:space="preserve"> ADDIN EN.CITE &lt;EndNote&gt;&lt;Cite&gt;&lt;Author&gt;Marcy&lt;/Author&gt;&lt;Year&gt;1836&lt;/Year&gt;&lt;RecNum&gt;106&lt;/RecNum&gt;&lt;DisplayText&gt;Marcy.&lt;/DisplayText&gt;&lt;record&gt;&lt;rec-number&gt;106&lt;/rec-number&gt;&lt;foreign-keys&gt;&lt;key app="EN" db-id="zsrseat5ww9t5devdf1prxd7r0errx92pd5v" timestamp="1552238080"&gt;106&lt;/key&gt;&lt;/foreign-keys&gt;&lt;ref-type name="Government Document"&gt;46&lt;/ref-type&gt;&lt;contributors&gt;&lt;authors&gt;&lt;author&gt;W.L. Marcy&lt;/author&gt;&lt;/authors&gt;&lt;/contributors&gt;&lt;titles&gt;&lt;title&gt;Message from the Governor to the Senate and Assembly&lt;/title&gt;&lt;/titles&gt;&lt;number&gt;2&lt;/number&gt;&lt;dates&gt;&lt;year&gt;1836&lt;/year&gt;&lt;/dates&gt;&lt;pub-location&gt;Albany, New York&lt;/pub-location&gt;&lt;urls&gt;&lt;/urls&gt;&lt;remote-database-name&gt;New York State Library&lt;/remote-database-name&gt;&lt;/record&gt;&lt;/Cite&gt;&lt;/EndNote&gt;</w:instrText>
      </w:r>
      <w:r>
        <w:fldChar w:fldCharType="separate"/>
      </w:r>
      <w:r>
        <w:rPr>
          <w:noProof/>
        </w:rPr>
        <w:t>Marcy.</w:t>
      </w:r>
      <w:r>
        <w:fldChar w:fldCharType="end"/>
      </w:r>
      <w:r>
        <w:t xml:space="preserve">, “Message from the Governor to the Senate and Assembly,” 29, 34.; </w:t>
      </w:r>
      <w:r>
        <w:fldChar w:fldCharType="begin"/>
      </w:r>
      <w:r>
        <w:instrText xml:space="preserve"> ADDIN EN.CITE &lt;EndNote&gt;&lt;Cite&gt;&lt;Year&gt;1836&lt;/Year&gt;&lt;RecNum&gt;127&lt;/RecNum&gt;&lt;DisplayText&gt;&amp;quot;Slavery and the Abolitionists.&amp;quot;&lt;/DisplayText&gt;&lt;record&gt;&lt;rec-number&gt;127&lt;/rec-number&gt;&lt;foreign-keys&gt;&lt;key app="EN" db-id="zsrseat5ww9t5devdf1prxd7r0errx92pd5v" timestamp="1556386611"&gt;127&lt;/key&gt;&lt;/foreign-keys&gt;&lt;ref-type name="Book Section"&gt;5&lt;/ref-type&gt;&lt;contributors&gt;&lt;secondary-authors&gt;&lt;author&gt;H. Niles&lt;/author&gt;&lt;/secondary-authors&gt;&lt;/contributors&gt;&lt;titles&gt;&lt;title&gt;Slavery and the Abolitionists&lt;/title&gt;&lt;secondary-title&gt;Niles’ Weekly Register&lt;/secondary-title&gt;&lt;/titles&gt;&lt;volume&gt;49&lt;/volume&gt;&lt;dates&gt;&lt;year&gt;1836&lt;/year&gt;&lt;/dates&gt;&lt;pub-location&gt;Baltimore&lt;/pub-location&gt;&lt;publisher&gt;H. Niles&lt;/publisher&gt;&lt;urls&gt;&lt;/urls&gt;&lt;/record&gt;&lt;/Cite&gt;&lt;/EndNote&gt;</w:instrText>
      </w:r>
      <w:r>
        <w:fldChar w:fldCharType="separate"/>
      </w:r>
      <w:r>
        <w:rPr>
          <w:noProof/>
        </w:rPr>
        <w:t>"Slavery and the Abolitionists."</w:t>
      </w:r>
      <w:r>
        <w:fldChar w:fldCharType="end"/>
      </w:r>
      <w:r>
        <w:t>, 75.</w:t>
      </w:r>
    </w:p>
  </w:footnote>
  <w:footnote w:id="42">
    <w:p w14:paraId="421BFF5D" w14:textId="53DE69B9" w:rsidR="00281F97" w:rsidRPr="005501BF" w:rsidRDefault="00281F97">
      <w:pPr>
        <w:pStyle w:val="FootnoteText"/>
      </w:pPr>
      <w:r>
        <w:rPr>
          <w:rStyle w:val="FootnoteReference"/>
        </w:rPr>
        <w:footnoteRef/>
      </w:r>
      <w:r>
        <w:t xml:space="preserve"> </w:t>
      </w:r>
      <w:r>
        <w:fldChar w:fldCharType="begin"/>
      </w:r>
      <w:r>
        <w:instrText xml:space="preserve"> ADDIN EN.CITE &lt;EndNote&gt;&lt;Cite&gt;&lt;RecNum&gt;112&lt;/RecNum&gt;&lt;DisplayText&gt;&amp;quot;The Bill of Rights: A Transcription,&amp;quot; National Archives and Records Administration, https://www.archives.gov/founding-docs/bill-of-rights-transcript.&lt;/DisplayText&gt;&lt;record&gt;&lt;rec-number&gt;112&lt;/rec-number&gt;&lt;foreign-keys&gt;&lt;key app="EN" db-id="zsrseat5ww9t5devdf1prxd7r0errx92pd5v" timestamp="1552670260"&gt;112&lt;/key&gt;&lt;/foreign-keys&gt;&lt;ref-type name="Web Page"&gt;12&lt;/ref-type&gt;&lt;contributors&gt;&lt;/contributors&gt;&lt;titles&gt;&lt;title&gt;The Bill of Rights: A Transcription&lt;/title&gt;&lt;/titles&gt;&lt;number&gt;March 15, 2019&lt;/number&gt;&lt;dates&gt;&lt;/dates&gt;&lt;publisher&gt;National Archives and Records Administration&lt;/publisher&gt;&lt;urls&gt;&lt;related-urls&gt;&lt;url&gt;https://www.archives.gov/founding-docs/bill-of-rights-transcript&lt;/url&gt;&lt;/related-urls&gt;&lt;/urls&gt;&lt;/record&gt;&lt;/Cite&gt;&lt;/EndNote&gt;</w:instrText>
      </w:r>
      <w:r>
        <w:fldChar w:fldCharType="separate"/>
      </w:r>
      <w:r>
        <w:rPr>
          <w:noProof/>
        </w:rPr>
        <w:t>"The Bill of Rights: A Transcription," National Archives and Records Administration, https://www.archives.gov/founding-docs/bill-of-rights-transcript.</w:t>
      </w:r>
      <w:r>
        <w:fldChar w:fldCharType="end"/>
      </w:r>
      <w:r>
        <w:t xml:space="preserve">; </w:t>
      </w:r>
      <w:r>
        <w:fldChar w:fldCharType="begin"/>
      </w:r>
      <w:r>
        <w:instrText xml:space="preserve"> ADDIN EN.CITE &lt;EndNote&gt;&lt;Cite&gt;&lt;Author&gt;Cooper&lt;/Author&gt;&lt;Year&gt;1838&lt;/Year&gt;&lt;RecNum&gt;108&lt;/RecNum&gt;&lt;DisplayText&gt;Cooper.&lt;/DisplayText&gt;&lt;record&gt;&lt;rec-number&gt;108&lt;/rec-number&gt;&lt;foreign-keys&gt;&lt;key app="EN" db-id="zsrseat5ww9t5devdf1prxd7r0errx92pd5v" timestamp="1552240752"&gt;108&lt;/key&gt;&lt;/foreign-keys&gt;&lt;ref-type name="Book"&gt;6&lt;/ref-type&gt;&lt;contributors&gt;&lt;authors&gt;&lt;author&gt;J. Fenimore Cooper&lt;/author&gt;&lt;/authors&gt;&lt;/contributors&gt;&lt;titles&gt;&lt;title&gt;The American Democrat, or Hints on the Social and Civic Relations of the United States of America&lt;/title&gt;&lt;/titles&gt;&lt;dates&gt;&lt;year&gt;1838&lt;/year&gt;&lt;/dates&gt;&lt;pub-location&gt;Cooperstown&lt;/pub-location&gt;&lt;publisher&gt;H. &amp;amp; E. Phinney&lt;/publisher&gt;&lt;urls&gt;&lt;/urls&gt;&lt;/record&gt;&lt;/Cite&gt;&lt;/EndNote&gt;</w:instrText>
      </w:r>
      <w:r>
        <w:fldChar w:fldCharType="separate"/>
      </w:r>
      <w:r>
        <w:rPr>
          <w:noProof/>
        </w:rPr>
        <w:t>Cooper.</w:t>
      </w:r>
      <w:r>
        <w:fldChar w:fldCharType="end"/>
      </w:r>
      <w:r>
        <w:t xml:space="preserve">, </w:t>
      </w:r>
      <w:r>
        <w:rPr>
          <w:i/>
        </w:rPr>
        <w:t xml:space="preserve">The American Democrat, </w:t>
      </w:r>
      <w:r>
        <w:t>24.</w:t>
      </w:r>
    </w:p>
  </w:footnote>
  <w:footnote w:id="43">
    <w:p w14:paraId="472076AA" w14:textId="5864E5BB" w:rsidR="00281F97" w:rsidRDefault="00281F97">
      <w:pPr>
        <w:pStyle w:val="FootnoteText"/>
      </w:pPr>
      <w:r>
        <w:rPr>
          <w:rStyle w:val="FootnoteReference"/>
        </w:rPr>
        <w:footnoteRef/>
      </w:r>
      <w:r>
        <w:t xml:space="preserve"> </w:t>
      </w:r>
      <w:r>
        <w:fldChar w:fldCharType="begin"/>
      </w:r>
      <w:r>
        <w:instrText xml:space="preserve"> ADDIN EN.CITE &lt;EndNote&gt;&lt;Cite&gt;&lt;Author&gt;Curtis&lt;/Author&gt;&lt;Year&gt;2000&lt;/Year&gt;&lt;RecNum&gt;98&lt;/RecNum&gt;&lt;DisplayText&gt;Curtis.&lt;/DisplayText&gt;&lt;record&gt;&lt;rec-number&gt;98&lt;/rec-number&gt;&lt;foreign-keys&gt;&lt;key app="EN" db-id="zsrseat5ww9t5devdf1prxd7r0errx92pd5v" timestamp="1550252577"&gt;98&lt;/key&gt;&lt;/foreign-keys&gt;&lt;ref-type name="Book"&gt;6&lt;/ref-type&gt;&lt;contributors&gt;&lt;authors&gt;&lt;author&gt;Michael Kent Curtis&lt;/author&gt;&lt;/authors&gt;&lt;/contributors&gt;&lt;titles&gt;&lt;title&gt;Free Speech, the People’s Darling Privilege: Struggles for Freedom of Expression in American History&lt;/title&gt;&lt;/titles&gt;&lt;dates&gt;&lt;year&gt;2000&lt;/year&gt;&lt;/dates&gt;&lt;pub-location&gt;Durham&lt;/pub-location&gt;&lt;publisher&gt;Duke University Press&lt;/publisher&gt;&lt;urls&gt;&lt;/urls&gt;&lt;/record&gt;&lt;/Cite&gt;&lt;/EndNote&gt;</w:instrText>
      </w:r>
      <w:r>
        <w:fldChar w:fldCharType="separate"/>
      </w:r>
      <w:r>
        <w:rPr>
          <w:noProof/>
        </w:rPr>
        <w:t>Curtis.</w:t>
      </w:r>
      <w:r>
        <w:fldChar w:fldCharType="end"/>
      </w:r>
      <w:r>
        <w:t xml:space="preserve">, </w:t>
      </w:r>
      <w:r>
        <w:rPr>
          <w:i/>
        </w:rPr>
        <w:t xml:space="preserve">Free Speech, </w:t>
      </w:r>
      <w:r>
        <w:t>133-139.</w:t>
      </w:r>
    </w:p>
  </w:footnote>
  <w:footnote w:id="44">
    <w:p w14:paraId="43753678" w14:textId="5E05FE4F" w:rsidR="00281F97" w:rsidRPr="0090498A" w:rsidRDefault="00281F97" w:rsidP="000D2C61">
      <w:pPr>
        <w:pStyle w:val="FootnoteText"/>
      </w:pPr>
      <w:r>
        <w:rPr>
          <w:rStyle w:val="FootnoteReference"/>
        </w:rPr>
        <w:footnoteRef/>
      </w:r>
      <w:r>
        <w:t xml:space="preserve"> </w:t>
      </w:r>
      <w:r>
        <w:fldChar w:fldCharType="begin"/>
      </w:r>
      <w:r>
        <w:instrText xml:space="preserve"> ADDIN EN.CITE &lt;EndNote&gt;&lt;Cite&gt;&lt;Year&gt;1836&lt;/Year&gt;&lt;RecNum&gt;127&lt;/RecNum&gt;&lt;DisplayText&gt;&amp;quot;Slavery and the Abolitionists.&amp;quot;&lt;/DisplayText&gt;&lt;record&gt;&lt;rec-number&gt;127&lt;/rec-number&gt;&lt;foreign-keys&gt;&lt;key app="EN" db-id="zsrseat5ww9t5devdf1prxd7r0errx92pd5v" timestamp="1556386611"&gt;127&lt;/key&gt;&lt;/foreign-keys&gt;&lt;ref-type name="Book Section"&gt;5&lt;/ref-type&gt;&lt;contributors&gt;&lt;secondary-authors&gt;&lt;author&gt;H. Niles&lt;/author&gt;&lt;/secondary-authors&gt;&lt;/contributors&gt;&lt;titles&gt;&lt;title&gt;Slavery and the Abolitionists&lt;/title&gt;&lt;secondary-title&gt;Niles’ Weekly Register&lt;/secondary-title&gt;&lt;/titles&gt;&lt;volume&gt;49&lt;/volume&gt;&lt;dates&gt;&lt;year&gt;1836&lt;/year&gt;&lt;/dates&gt;&lt;pub-location&gt;Baltimore&lt;/pub-location&gt;&lt;publisher&gt;H. Niles&lt;/publisher&gt;&lt;urls&gt;&lt;/urls&gt;&lt;/record&gt;&lt;/Cite&gt;&lt;/EndNote&gt;</w:instrText>
      </w:r>
      <w:r>
        <w:fldChar w:fldCharType="separate"/>
      </w:r>
      <w:r>
        <w:rPr>
          <w:noProof/>
        </w:rPr>
        <w:t>"Slavery and the Abolitionists."</w:t>
      </w:r>
      <w:r>
        <w:fldChar w:fldCharType="end"/>
      </w:r>
      <w:r>
        <w:t xml:space="preserve">, 75.; </w:t>
      </w:r>
      <w:r>
        <w:fldChar w:fldCharType="begin"/>
      </w:r>
      <w:r>
        <w:instrText xml:space="preserve"> ADDIN EN.CITE &lt;EndNote&gt;&lt;Cite&gt;&lt;Author&gt;Drayton&lt;/Author&gt;&lt;Year&gt;1836&lt;/Year&gt;&lt;RecNum&gt;110&lt;/RecNum&gt;&lt;DisplayText&gt;Drayton.&lt;/DisplayText&gt;&lt;record&gt;&lt;rec-number&gt;110&lt;/rec-number&gt;&lt;foreign-keys&gt;&lt;key app="EN" db-id="zsrseat5ww9t5devdf1prxd7r0errx92pd5v" timestamp="1552241521"&gt;110&lt;/key&gt;&lt;/foreign-keys&gt;&lt;ref-type name="Book"&gt;6&lt;/ref-type&gt;&lt;contributors&gt;&lt;authors&gt;&lt;author&gt;William Drayton&lt;/author&gt;&lt;/authors&gt;&lt;/contributors&gt;&lt;titles&gt;&lt;title&gt;The South Vindicated from the Treason and Fanaticism of the Northern Abolitionists&lt;/title&gt;&lt;/titles&gt;&lt;dates&gt;&lt;year&gt;1836&lt;/year&gt;&lt;/dates&gt;&lt;pub-location&gt;Philadelphia&lt;/pub-location&gt;&lt;publisher&gt;H. Manly&lt;/publisher&gt;&lt;urls&gt;&lt;/urls&gt;&lt;/record&gt;&lt;/Cite&gt;&lt;/EndNote&gt;</w:instrText>
      </w:r>
      <w:r>
        <w:fldChar w:fldCharType="separate"/>
      </w:r>
      <w:r>
        <w:rPr>
          <w:noProof/>
        </w:rPr>
        <w:t>Drayton.</w:t>
      </w:r>
      <w:r>
        <w:fldChar w:fldCharType="end"/>
      </w:r>
      <w:r>
        <w:t xml:space="preserve"> </w:t>
      </w:r>
      <w:r>
        <w:rPr>
          <w:i/>
        </w:rPr>
        <w:t xml:space="preserve">The South Vindicated, </w:t>
      </w:r>
      <w:r>
        <w:t>310-312.</w:t>
      </w:r>
    </w:p>
  </w:footnote>
  <w:footnote w:id="45">
    <w:p w14:paraId="02B763DA" w14:textId="77777777" w:rsidR="00281F97" w:rsidRDefault="00281F97">
      <w:pPr>
        <w:pStyle w:val="FootnoteText"/>
      </w:pPr>
      <w:r>
        <w:rPr>
          <w:rStyle w:val="FootnoteReference"/>
        </w:rPr>
        <w:footnoteRef/>
      </w:r>
      <w:r>
        <w:t xml:space="preserve"> </w:t>
      </w:r>
      <w:r>
        <w:fldChar w:fldCharType="begin"/>
      </w:r>
      <w:r>
        <w:instrText xml:space="preserve"> ADDIN EN.CITE &lt;EndNote&gt;&lt;Cite&gt;&lt;RecNum&gt;117&lt;/RecNum&gt;&lt;DisplayText&gt;&amp;quot;Liberty of the Press. From the National Intelligencer. Proposed Report by Mr. Hall, of Vermont. On Incendiary Publications.,&amp;quot; &lt;style face="italic"&gt;The State Journal&lt;/style&gt;, 26 April 1836.&lt;/DisplayText&gt;&lt;record&gt;&lt;rec-number&gt;117&lt;/rec-number&gt;&lt;foreign-keys&gt;&lt;key app="EN" db-id="zsrseat5ww9t5devdf1prxd7r0errx92pd5v" timestamp="1553870160"&gt;117&lt;/key&gt;&lt;/foreign-keys&gt;&lt;ref-type name="Newspaper Article"&gt;23&lt;/ref-type&gt;&lt;contributors&gt;&lt;/contributors&gt;&lt;titles&gt;&lt;title&gt;Liberty of the Press. From the National Intelligencer. Proposed Report by Mr. Hall, of Vermont. On Incendiary Publications.&lt;/title&gt;&lt;secondary-title&gt;The State Journal&lt;/secondary-title&gt;&lt;/titles&gt;&lt;dates&gt;&lt;pub-dates&gt;&lt;date&gt;26 April 1836&lt;/date&gt;&lt;/pub-dates&gt;&lt;/dates&gt;&lt;pub-location&gt;Montpelier, Vermont&lt;/pub-location&gt;&lt;publisher&gt;Knapp &amp;amp; Jewett&lt;/publisher&gt;&lt;urls&gt;&lt;related-urls&gt;&lt;url&gt;https://chroniclingamerica.loc.gov/lccn/sn84023199/1836-04-26/ed-1/seq-1/&lt;/url&gt;&lt;/related-urls&gt;&lt;/urls&gt;&lt;remote-database-name&gt;Chronicling America: Historic American Newspapers. Lib of Congress.&lt;/remote-database-name&gt;&lt;/record&gt;&lt;/Cite&gt;&lt;/EndNote&gt;</w:instrText>
      </w:r>
      <w:r>
        <w:fldChar w:fldCharType="separate"/>
      </w:r>
      <w:r>
        <w:rPr>
          <w:noProof/>
        </w:rPr>
        <w:t xml:space="preserve">"Liberty of the Press. From the National Intelligencer. Proposed Report by Mr. Hall, of Vermont. On Incendiary Publications.," </w:t>
      </w:r>
      <w:r w:rsidRPr="00D97898">
        <w:rPr>
          <w:i/>
          <w:noProof/>
        </w:rPr>
        <w:t>The State Journal</w:t>
      </w:r>
      <w:r>
        <w:rPr>
          <w:noProof/>
        </w:rPr>
        <w:t>, 26 April 1836.</w:t>
      </w:r>
      <w:r>
        <w:fldChar w:fldCharType="end"/>
      </w:r>
    </w:p>
  </w:footnote>
  <w:footnote w:id="46">
    <w:p w14:paraId="4B74EA5E" w14:textId="2E833A2C" w:rsidR="00281F97" w:rsidRDefault="00281F97">
      <w:pPr>
        <w:pStyle w:val="FootnoteText"/>
      </w:pPr>
      <w:r>
        <w:rPr>
          <w:rStyle w:val="FootnoteReference"/>
        </w:rPr>
        <w:footnoteRef/>
      </w:r>
      <w:r>
        <w:t xml:space="preserve"> </w:t>
      </w:r>
      <w:r>
        <w:fldChar w:fldCharType="begin"/>
      </w:r>
      <w:r>
        <w:instrText xml:space="preserve"> ADDIN EN.CITE &lt;EndNote&gt;&lt;Cite&gt;&lt;Year&gt;1835&lt;/Year&gt;&lt;RecNum&gt;103&lt;/RecNum&gt;&lt;DisplayText&gt;&amp;quot;Northern Legislation,&amp;quot; &lt;style face="italic"&gt;United States’ Telegraph&lt;/style&gt;, October 02 1835.&lt;/DisplayText&gt;&lt;record&gt;&lt;rec-number&gt;103&lt;/rec-number&gt;&lt;foreign-keys&gt;&lt;key app="EN" db-id="zsrseat5ww9t5devdf1prxd7r0errx92pd5v" timestamp="1551888406"&gt;103&lt;/key&gt;&lt;/foreign-keys&gt;&lt;ref-type name="Newspaper Article"&gt;23&lt;/ref-type&gt;&lt;contributors&gt;&lt;/contributors&gt;&lt;titles&gt;&lt;title&gt;Northern Legislation&lt;/title&gt;&lt;secondary-title&gt;United States’ Telegraph&lt;/secondary-title&gt;&lt;/titles&gt;&lt;dates&gt;&lt;year&gt;1835&lt;/year&gt;&lt;pub-dates&gt;&lt;date&gt;October 02&lt;/date&gt;&lt;/pub-dates&gt;&lt;/dates&gt;&lt;pub-location&gt;Washington, District of Columbia&lt;/pub-location&gt;&lt;work-type&gt;Editorial&lt;/work-type&gt;&lt;urls&gt;&lt;/urls&gt;&lt;custom2&gt;261&lt;/custom2&gt;&lt;/record&gt;&lt;/Cite&gt;&lt;/EndNote&gt;</w:instrText>
      </w:r>
      <w:r>
        <w:fldChar w:fldCharType="separate"/>
      </w:r>
      <w:r>
        <w:rPr>
          <w:noProof/>
        </w:rPr>
        <w:t xml:space="preserve">"Northern Legislation," </w:t>
      </w:r>
      <w:r w:rsidRPr="006A25E6">
        <w:rPr>
          <w:i/>
          <w:noProof/>
        </w:rPr>
        <w:t>United States’ Telegraph</w:t>
      </w:r>
      <w:r>
        <w:rPr>
          <w:noProof/>
        </w:rPr>
        <w:t>, October 02 1835.</w:t>
      </w:r>
      <w:r>
        <w:fldChar w:fldCharType="end"/>
      </w:r>
    </w:p>
  </w:footnote>
  <w:footnote w:id="47">
    <w:p w14:paraId="507E55E5" w14:textId="2F656726" w:rsidR="00281F97" w:rsidRDefault="00281F97">
      <w:pPr>
        <w:pStyle w:val="FootnoteText"/>
      </w:pPr>
      <w:r>
        <w:rPr>
          <w:rStyle w:val="FootnoteReference"/>
        </w:rPr>
        <w:footnoteRef/>
      </w:r>
      <w:r>
        <w:t xml:space="preserve"> </w:t>
      </w:r>
      <w:r>
        <w:fldChar w:fldCharType="begin"/>
      </w:r>
      <w:r>
        <w:instrText xml:space="preserve"> ADDIN EN.CITE &lt;EndNote&gt;&lt;Cite&gt;&lt;Year&gt;1835&lt;/Year&gt;&lt;RecNum&gt;103&lt;/RecNum&gt;&lt;DisplayText&gt;Ibid.&lt;/DisplayText&gt;&lt;record&gt;&lt;rec-number&gt;103&lt;/rec-number&gt;&lt;foreign-keys&gt;&lt;key app="EN" db-id="zsrseat5ww9t5devdf1prxd7r0errx92pd5v" timestamp="1551888406"&gt;103&lt;/key&gt;&lt;/foreign-keys&gt;&lt;ref-type name="Newspaper Article"&gt;23&lt;/ref-type&gt;&lt;contributors&gt;&lt;/contributors&gt;&lt;titles&gt;&lt;title&gt;Northern Legislation&lt;/title&gt;&lt;secondary-title&gt;United States’ Telegraph&lt;/secondary-title&gt;&lt;/titles&gt;&lt;dates&gt;&lt;year&gt;1835&lt;/year&gt;&lt;pub-dates&gt;&lt;date&gt;October 02&lt;/date&gt;&lt;/pub-dates&gt;&lt;/dates&gt;&lt;pub-location&gt;Washington, District of Columbia&lt;/pub-location&gt;&lt;work-type&gt;Editorial&lt;/work-type&gt;&lt;urls&gt;&lt;/urls&gt;&lt;custom2&gt;261&lt;/custom2&gt;&lt;/record&gt;&lt;/Cite&gt;&lt;/EndNote&gt;</w:instrText>
      </w:r>
      <w:r>
        <w:fldChar w:fldCharType="separate"/>
      </w:r>
      <w:r>
        <w:rPr>
          <w:noProof/>
        </w:rPr>
        <w:t>Ibid.</w:t>
      </w:r>
      <w:r>
        <w:fldChar w:fldCharType="end"/>
      </w:r>
    </w:p>
  </w:footnote>
  <w:footnote w:id="48">
    <w:p w14:paraId="19B218C6" w14:textId="4F9E9952" w:rsidR="00281F97" w:rsidRDefault="00281F97">
      <w:pPr>
        <w:pStyle w:val="FootnoteText"/>
      </w:pPr>
      <w:r>
        <w:rPr>
          <w:rStyle w:val="FootnoteReference"/>
        </w:rPr>
        <w:footnoteRef/>
      </w:r>
      <w:r>
        <w:t xml:space="preserve"> </w:t>
      </w:r>
      <w:r>
        <w:fldChar w:fldCharType="begin"/>
      </w:r>
      <w:r>
        <w:instrText xml:space="preserve"> ADDIN EN.CITE &lt;EndNote&gt;&lt;Cite&gt;&lt;Year&gt;1835-‘36&lt;/Year&gt;&lt;RecNum&gt;104&lt;/RecNum&gt;&lt;DisplayText&gt;&amp;quot;Journal of the Senate of the Commonwealth of Pennsylvania.&amp;quot;&lt;/DisplayText&gt;&lt;record&gt;&lt;rec-number&gt;104&lt;/rec-number&gt;&lt;foreign-keys&gt;&lt;key app="EN" db-id="zsrseat5ww9t5devdf1prxd7r0errx92pd5v" timestamp="1552237249"&gt;104&lt;/key&gt;&lt;/foreign-keys&gt;&lt;ref-type name="Government Document"&gt;46&lt;/ref-type&gt;&lt;contributors&gt;&lt;/contributors&gt;&lt;titles&gt;&lt;title&gt;Journal of the Senate of the Commonwealth of Pennsylvania&lt;/title&gt;&lt;/titles&gt;&lt;volume&gt;2&lt;/volume&gt;&lt;section&gt;Communication from the Governor of Ohio, transmitting a Report and Resolutions of the Legislature of that state respecting Slavery&lt;/section&gt;&lt;dates&gt;&lt;year&gt;1835-‘36&lt;/year&gt;&lt;/dates&gt;&lt;pub-location&gt;Harrisburg&lt;/pub-location&gt;&lt;publisher&gt;Crabb &amp;amp; Barrett&lt;/publisher&gt;&lt;urls&gt;&lt;/urls&gt;&lt;/record&gt;&lt;/Cite&gt;&lt;/EndNote&gt;</w:instrText>
      </w:r>
      <w:r>
        <w:fldChar w:fldCharType="separate"/>
      </w:r>
      <w:r>
        <w:rPr>
          <w:noProof/>
        </w:rPr>
        <w:t>"Journal of the Senate of the Commonwealth of Pennsylvania."</w:t>
      </w:r>
      <w:r>
        <w:fldChar w:fldCharType="end"/>
      </w:r>
      <w:r>
        <w:t xml:space="preserve">, 423-424; </w:t>
      </w:r>
      <w:r>
        <w:fldChar w:fldCharType="begin"/>
      </w:r>
      <w:r>
        <w:instrText xml:space="preserve"> ADDIN EN.CITE &lt;EndNote&gt;&lt;Cite&gt;&lt;Author&gt;Marcy&lt;/Author&gt;&lt;Year&gt;1836&lt;/Year&gt;&lt;RecNum&gt;106&lt;/RecNum&gt;&lt;DisplayText&gt;Marcy.&lt;/DisplayText&gt;&lt;record&gt;&lt;rec-number&gt;106&lt;/rec-number&gt;&lt;foreign-keys&gt;&lt;key app="EN" db-id="zsrseat5ww9t5devdf1prxd7r0errx92pd5v" timestamp="1552238080"&gt;106&lt;/key&gt;&lt;/foreign-keys&gt;&lt;ref-type name="Government Document"&gt;46&lt;/ref-type&gt;&lt;contributors&gt;&lt;authors&gt;&lt;author&gt;W.L. Marcy&lt;/author&gt;&lt;/authors&gt;&lt;/contributors&gt;&lt;titles&gt;&lt;title&gt;Message from the Governor to the Senate and Assembly&lt;/title&gt;&lt;/titles&gt;&lt;number&gt;2&lt;/number&gt;&lt;dates&gt;&lt;year&gt;1836&lt;/year&gt;&lt;/dates&gt;&lt;pub-location&gt;Albany, New York&lt;/pub-location&gt;&lt;urls&gt;&lt;/urls&gt;&lt;remote-database-name&gt;New York State Library&lt;/remote-database-name&gt;&lt;/record&gt;&lt;/Cite&gt;&lt;/EndNote&gt;</w:instrText>
      </w:r>
      <w:r>
        <w:fldChar w:fldCharType="separate"/>
      </w:r>
      <w:r>
        <w:rPr>
          <w:noProof/>
        </w:rPr>
        <w:t>Marcy.</w:t>
      </w:r>
      <w:r>
        <w:fldChar w:fldCharType="end"/>
      </w:r>
      <w:r>
        <w:t xml:space="preserve"> “Message from the Governor to the Senate and Assembly,” 36-37.; </w:t>
      </w:r>
      <w:r>
        <w:fldChar w:fldCharType="begin"/>
      </w:r>
      <w:r>
        <w:instrText xml:space="preserve"> ADDIN EN.CITE &lt;EndNote&gt;&lt;Cite&gt;&lt;Year&gt;1836&lt;/Year&gt;&lt;RecNum&gt;130&lt;/RecNum&gt;&lt;DisplayText&gt;&amp;quot;Interesting Articles,&amp;quot; in &lt;style face="italic"&gt;Niles’ Weekly Register&lt;/style&gt;, ed. H. Niles (Baltimore: H. Niles, 1836).&lt;/DisplayText&gt;&lt;record&gt;&lt;rec-number&gt;130&lt;/rec-number&gt;&lt;foreign-keys&gt;&lt;key app="EN" db-id="zsrseat5ww9t5devdf1prxd7r0errx92pd5v" timestamp="1556387316"&gt;130&lt;/key&gt;&lt;/foreign-keys&gt;&lt;ref-type name="Book Section"&gt;5&lt;/ref-type&gt;&lt;contributors&gt;&lt;secondary-authors&gt;&lt;author&gt;H. Niles&lt;/author&gt;&lt;/secondary-authors&gt;&lt;/contributors&gt;&lt;titles&gt;&lt;title&gt;Interesting Articles&lt;/title&gt;&lt;secondary-title&gt;Niles’ Weekly Register&lt;/secondary-title&gt;&lt;/titles&gt;&lt;volume&gt;49&lt;/volume&gt;&lt;dates&gt;&lt;year&gt;1836&lt;/year&gt;&lt;/dates&gt;&lt;pub-location&gt;Baltimore&lt;/pub-location&gt;&lt;publisher&gt;H. Niles&lt;/publisher&gt;&lt;urls&gt;&lt;/urls&gt;&lt;/record&gt;&lt;/Cite&gt;&lt;/EndNote&gt;</w:instrText>
      </w:r>
      <w:r>
        <w:fldChar w:fldCharType="separate"/>
      </w:r>
      <w:r>
        <w:rPr>
          <w:noProof/>
        </w:rPr>
        <w:t xml:space="preserve">"Interesting Articles," in </w:t>
      </w:r>
      <w:r w:rsidRPr="00D802D5">
        <w:rPr>
          <w:i/>
          <w:noProof/>
        </w:rPr>
        <w:t>Niles’ Weekly Register</w:t>
      </w:r>
      <w:r>
        <w:rPr>
          <w:noProof/>
        </w:rPr>
        <w:t>, ed. H. Niles (Baltimore: H. Niles, 1836).</w:t>
      </w:r>
      <w:r>
        <w:fldChar w:fldCharType="end"/>
      </w:r>
      <w:r>
        <w:t xml:space="preserve">, 40-41.; </w:t>
      </w:r>
      <w:r>
        <w:fldChar w:fldCharType="begin"/>
      </w:r>
      <w:r>
        <w:instrText xml:space="preserve"> ADDIN EN.CITE &lt;EndNote&gt;&lt;Cite&gt;&lt;RecNum&gt;118&lt;/RecNum&gt;&lt;DisplayText&gt;&amp;quot;Speech of the Rev. Cortland Van Rensselaer: At the Public Meeting Held at Albany, September 1835.&amp;quot;&lt;/DisplayText&gt;&lt;record&gt;&lt;rec-number&gt;118&lt;/rec-number&gt;&lt;foreign-keys&gt;&lt;key app="EN" db-id="zsrseat5ww9t5devdf1prxd7r0errx92pd5v" timestamp="1553870888"&gt;118&lt;/key&gt;&lt;/foreign-keys&gt;&lt;ref-type name="Newspaper Article"&gt;23&lt;/ref-type&gt;&lt;contributors&gt;&lt;/contributors&gt;&lt;titles&gt;&lt;title&gt;Speech of the Rev. Cortland Van Rensselaer: At the Public Meeting held at Albany, September 1835&lt;/title&gt;&lt;secondary-title&gt;African Repository and Colonial Journal (1825-1849)&lt;/secondary-title&gt;&lt;/titles&gt;&lt;volume&gt;11&lt;/volume&gt;&lt;dates&gt;&lt;pub-dates&gt;&lt;date&gt;November 1835&lt;/date&gt;&lt;/pub-dates&gt;&lt;/dates&gt;&lt;pub-location&gt;Washington&lt;/pub-location&gt;&lt;urls&gt;&lt;/urls&gt;&lt;custom2&gt;11&lt;/custom2&gt;&lt;remote-database-name&gt;American Periodical&lt;/remote-database-name&gt;&lt;/record&gt;&lt;/Cite&gt;&lt;/EndNote&gt;</w:instrText>
      </w:r>
      <w:r>
        <w:fldChar w:fldCharType="separate"/>
      </w:r>
      <w:r>
        <w:rPr>
          <w:noProof/>
        </w:rPr>
        <w:t>"Speech of the Rev. Cortland Van Rensselaer: At the Public Meeting Held at Albany, September 1835."</w:t>
      </w:r>
      <w:r>
        <w:fldChar w:fldCharType="end"/>
      </w:r>
    </w:p>
  </w:footnote>
  <w:footnote w:id="49">
    <w:p w14:paraId="606D2198" w14:textId="1E47DD24" w:rsidR="00281F97" w:rsidRDefault="00281F97">
      <w:pPr>
        <w:pStyle w:val="FootnoteText"/>
      </w:pPr>
      <w:r>
        <w:rPr>
          <w:rStyle w:val="FootnoteReference"/>
        </w:rPr>
        <w:footnoteRef/>
      </w:r>
      <w:r>
        <w:t xml:space="preserve"> Marcy</w:t>
      </w:r>
      <w:r>
        <w:fldChar w:fldCharType="begin"/>
      </w:r>
      <w:r>
        <w:instrText xml:space="preserve"> ADDIN EN.CITE &lt;EndNote&gt;&lt;Cite&gt;&lt;Author&gt;Marcy&lt;/Author&gt;&lt;Year&gt;1836&lt;/Year&gt;&lt;RecNum&gt;106&lt;/RecNum&gt;&lt;DisplayText&gt;.&lt;/DisplayText&gt;&lt;record&gt;&lt;rec-number&gt;106&lt;/rec-number&gt;&lt;foreign-keys&gt;&lt;key app="EN" db-id="zsrseat5ww9t5devdf1prxd7r0errx92pd5v" timestamp="1552238080"&gt;106&lt;/key&gt;&lt;/foreign-keys&gt;&lt;ref-type name="Government Document"&gt;46&lt;/ref-type&gt;&lt;contributors&gt;&lt;authors&gt;&lt;author&gt;W.L. Marcy&lt;/author&gt;&lt;/authors&gt;&lt;/contributors&gt;&lt;titles&gt;&lt;title&gt;Message from the Governor to the Senate and Assembly&lt;/title&gt;&lt;/titles&gt;&lt;number&gt;2&lt;/number&gt;&lt;dates&gt;&lt;year&gt;1836&lt;/year&gt;&lt;/dates&gt;&lt;pub-location&gt;Albany, New York&lt;/pub-location&gt;&lt;urls&gt;&lt;/urls&gt;&lt;remote-database-name&gt;New York State Library&lt;/remote-database-name&gt;&lt;/record&gt;&lt;/Cite&gt;&lt;/EndNote&gt;</w:instrText>
      </w:r>
      <w:r>
        <w:fldChar w:fldCharType="separate"/>
      </w:r>
      <w:r>
        <w:rPr>
          <w:noProof/>
        </w:rPr>
        <w:t>.</w:t>
      </w:r>
      <w:r>
        <w:fldChar w:fldCharType="end"/>
      </w:r>
      <w:r>
        <w:t>, “Message from the Governor to the Senate and Assembly,” 36-37.</w:t>
      </w:r>
    </w:p>
  </w:footnote>
  <w:footnote w:id="50">
    <w:p w14:paraId="55AEB0DD" w14:textId="77777777" w:rsidR="00281F97" w:rsidRDefault="00281F97">
      <w:pPr>
        <w:pStyle w:val="FootnoteText"/>
      </w:pPr>
      <w:r>
        <w:rPr>
          <w:rStyle w:val="FootnoteReference"/>
        </w:rPr>
        <w:footnoteRef/>
      </w:r>
      <w:r>
        <w:t xml:space="preserve"> </w:t>
      </w:r>
      <w:r>
        <w:fldChar w:fldCharType="begin"/>
      </w:r>
      <w:r>
        <w:instrText xml:space="preserve"> ADDIN EN.CITE &lt;EndNote&gt;&lt;Cite&gt;&lt;Author&gt;Colton&lt;/Author&gt;&lt;Year&gt;1839&lt;/Year&gt;&lt;RecNum&gt;111&lt;/RecNum&gt;&lt;DisplayText&gt;Calvin Colton, &lt;style face="italic"&gt;Abolition a Sedition&lt;/style&gt; (Philadelphia: Geo. W. Donohue, 1839).&lt;/DisplayText&gt;&lt;record&gt;&lt;rec-number&gt;111&lt;/rec-number&gt;&lt;foreign-keys&gt;&lt;key app="EN" db-id="zsrseat5ww9t5devdf1prxd7r0errx92pd5v" timestamp="1552578714"&gt;111&lt;/key&gt;&lt;/foreign-keys&gt;&lt;ref-type name="Book"&gt;6&lt;/ref-type&gt;&lt;contributors&gt;&lt;authors&gt;&lt;author&gt;Calvin Colton&lt;/author&gt;&lt;/authors&gt;&lt;/contributors&gt;&lt;titles&gt;&lt;title&gt;Abolition a Sedition&lt;/title&gt;&lt;/titles&gt;&lt;dates&gt;&lt;year&gt;1839&lt;/year&gt;&lt;/dates&gt;&lt;pub-location&gt;Philadelphia&lt;/pub-location&gt;&lt;publisher&gt;Geo. W. Donohue&lt;/publisher&gt;&lt;urls&gt;&lt;/urls&gt;&lt;/record&gt;&lt;/Cite&gt;&lt;/EndNote&gt;</w:instrText>
      </w:r>
      <w:r>
        <w:fldChar w:fldCharType="separate"/>
      </w:r>
      <w:r>
        <w:rPr>
          <w:noProof/>
        </w:rPr>
        <w:t xml:space="preserve">Calvin Colton, </w:t>
      </w:r>
      <w:r w:rsidRPr="00212B21">
        <w:rPr>
          <w:i/>
          <w:noProof/>
        </w:rPr>
        <w:t>Abolition a Sedition</w:t>
      </w:r>
      <w:r>
        <w:rPr>
          <w:noProof/>
        </w:rPr>
        <w:t xml:space="preserve"> (Philadelphia: Geo. W. Donohue, 1839).</w:t>
      </w:r>
      <w:r>
        <w:fldChar w:fldCharType="end"/>
      </w:r>
      <w:r>
        <w:t>, 20.</w:t>
      </w:r>
    </w:p>
  </w:footnote>
  <w:footnote w:id="51">
    <w:p w14:paraId="29C3F6A9" w14:textId="45FB5FC1" w:rsidR="00281F97" w:rsidRDefault="00281F97">
      <w:pPr>
        <w:pStyle w:val="FootnoteText"/>
      </w:pPr>
      <w:r>
        <w:rPr>
          <w:rStyle w:val="FootnoteReference"/>
        </w:rPr>
        <w:footnoteRef/>
      </w:r>
      <w:r>
        <w:t xml:space="preserve"> </w:t>
      </w:r>
      <w:r>
        <w:fldChar w:fldCharType="begin"/>
      </w:r>
      <w:r>
        <w:instrText xml:space="preserve"> ADDIN EN.CITE &lt;EndNote&gt;&lt;Cite&gt;&lt;Author&gt;Marcy&lt;/Author&gt;&lt;Year&gt;1836&lt;/Year&gt;&lt;RecNum&gt;106&lt;/RecNum&gt;&lt;DisplayText&gt;Marcy.&lt;/DisplayText&gt;&lt;record&gt;&lt;rec-number&gt;106&lt;/rec-number&gt;&lt;foreign-keys&gt;&lt;key app="EN" db-id="zsrseat5ww9t5devdf1prxd7r0errx92pd5v" timestamp="1552238080"&gt;106&lt;/key&gt;&lt;/foreign-keys&gt;&lt;ref-type name="Government Document"&gt;46&lt;/ref-type&gt;&lt;contributors&gt;&lt;authors&gt;&lt;author&gt;W.L. Marcy&lt;/author&gt;&lt;/authors&gt;&lt;/contributors&gt;&lt;titles&gt;&lt;title&gt;Message from the Governor to the Senate and Assembly&lt;/title&gt;&lt;/titles&gt;&lt;number&gt;2&lt;/number&gt;&lt;dates&gt;&lt;year&gt;1836&lt;/year&gt;&lt;/dates&gt;&lt;pub-location&gt;Albany, New York&lt;/pub-location&gt;&lt;urls&gt;&lt;/urls&gt;&lt;remote-database-name&gt;New York State Library&lt;/remote-database-name&gt;&lt;/record&gt;&lt;/Cite&gt;&lt;/EndNote&gt;</w:instrText>
      </w:r>
      <w:r>
        <w:fldChar w:fldCharType="separate"/>
      </w:r>
      <w:r>
        <w:rPr>
          <w:noProof/>
        </w:rPr>
        <w:t>Marcy.</w:t>
      </w:r>
      <w:r>
        <w:fldChar w:fldCharType="end"/>
      </w:r>
      <w:r>
        <w:t xml:space="preserve">, “Message from the Governor to the Senate and Assembly,” 33-34; </w:t>
      </w:r>
      <w:r>
        <w:fldChar w:fldCharType="begin"/>
      </w:r>
      <w:r>
        <w:instrText xml:space="preserve"> ADDIN EN.CITE &lt;EndNote&gt;&lt;Cite&gt;&lt;RecNum&gt;114&lt;/RecNum&gt;&lt;DisplayText&gt;&amp;quot;Freedom of Speech and of the Press. Rights of Minorities. Rights of Property, Why Valuable.,&amp;quot; &lt;style face="italic"&gt;The Emancipator: And Journal of Public Morals&lt;/style&gt;, Tuesday, July 22, 1834.&lt;/DisplayText&gt;&lt;record&gt;&lt;rec-number&gt;114&lt;/rec-number&gt;&lt;foreign-keys&gt;&lt;key app="EN" db-id="zsrseat5ww9t5devdf1prxd7r0errx92pd5v" timestamp="1552920515"&gt;114&lt;/key&gt;&lt;/foreign-keys&gt;&lt;ref-type name="Newspaper Article"&gt;23&lt;/ref-type&gt;&lt;contributors&gt;&lt;/contributors&gt;&lt;titles&gt;&lt;title&gt;Freedom of Speech and of the Press. Rights of Minorities. Rights of Property, Why Valuable.&lt;/title&gt;&lt;secondary-title&gt;The Emancipator: And Journal of Public Morals&lt;/secondary-title&gt;&lt;/titles&gt;&lt;dates&gt;&lt;pub-dates&gt;&lt;date&gt;Tuesday, July 22, 1834&lt;/date&gt;&lt;/pub-dates&gt;&lt;/dates&gt;&lt;pub-location&gt;New York, New York&lt;/pub-location&gt;&lt;work-type&gt;News&lt;/work-type&gt;&lt;urls&gt;&lt;/urls&gt;&lt;custom2&gt;29&lt;/custom2&gt;&lt;/record&gt;&lt;/Cite&gt;&lt;/EndNote&gt;</w:instrText>
      </w:r>
      <w:r>
        <w:fldChar w:fldCharType="separate"/>
      </w:r>
      <w:r>
        <w:rPr>
          <w:noProof/>
        </w:rPr>
        <w:t xml:space="preserve">"Freedom of Speech and of the Press. Rights of Minorities. Rights of Property, Why Valuable.," </w:t>
      </w:r>
      <w:r w:rsidRPr="002C1BD8">
        <w:rPr>
          <w:i/>
          <w:noProof/>
        </w:rPr>
        <w:t>The Emancipator: And Journal of Public Morals</w:t>
      </w:r>
      <w:r>
        <w:rPr>
          <w:noProof/>
        </w:rPr>
        <w:t>, Tuesday, July 22, 1834.</w:t>
      </w:r>
      <w:r>
        <w:fldChar w:fldCharType="end"/>
      </w:r>
      <w:r>
        <w:t xml:space="preserve">; </w:t>
      </w:r>
      <w:r>
        <w:fldChar w:fldCharType="begin"/>
      </w:r>
      <w:r>
        <w:instrText xml:space="preserve"> ADDIN EN.CITE &lt;EndNote&gt;&lt;Cite&gt;&lt;RecNum&gt;113&lt;/RecNum&gt;&lt;DisplayText&gt;&amp;quot;Freedom of Speech,&amp;quot; &lt;style face="italic"&gt;The Liberator&lt;/style&gt;, Saturday, January 19, 1833.&lt;/DisplayText&gt;&lt;record&gt;&lt;rec-number&gt;113&lt;/rec-number&gt;&lt;foreign-keys&gt;&lt;key app="EN" db-id="zsrseat5ww9t5devdf1prxd7r0errx92pd5v" timestamp="1552920419"&gt;113&lt;/key&gt;&lt;/foreign-keys&gt;&lt;ref-type name="Newspaper Article"&gt;23&lt;/ref-type&gt;&lt;contributors&gt;&lt;/contributors&gt;&lt;titles&gt;&lt;title&gt;Freedom of Speech&lt;/title&gt;&lt;secondary-title&gt;The Liberator&lt;/secondary-title&gt;&lt;/titles&gt;&lt;number&gt;10&lt;/number&gt;&lt;dates&gt;&lt;pub-dates&gt;&lt;date&gt;Saturday, January 19, 1833&lt;/date&gt;&lt;/pub-dates&gt;&lt;/dates&gt;&lt;pub-location&gt;Boston, Massachusetts&lt;/pub-location&gt;&lt;work-type&gt;Editorial&lt;/work-type&gt;&lt;urls&gt;&lt;/urls&gt;&lt;custom2&gt;3&lt;/custom2&gt;&lt;/record&gt;&lt;/Cite&gt;&lt;/EndNote&gt;</w:instrText>
      </w:r>
      <w:r>
        <w:fldChar w:fldCharType="separate"/>
      </w:r>
      <w:r>
        <w:rPr>
          <w:noProof/>
        </w:rPr>
        <w:t xml:space="preserve">"Freedom of Speech," </w:t>
      </w:r>
      <w:r w:rsidRPr="002C1BD8">
        <w:rPr>
          <w:i/>
          <w:noProof/>
        </w:rPr>
        <w:t>The Liberator</w:t>
      </w:r>
      <w:r>
        <w:rPr>
          <w:noProof/>
        </w:rPr>
        <w:t>, Saturday, January 19, 1833.</w:t>
      </w:r>
      <w:r>
        <w:fldChar w:fldCharType="end"/>
      </w:r>
    </w:p>
  </w:footnote>
  <w:footnote w:id="52">
    <w:p w14:paraId="5DDA8C35" w14:textId="77777777" w:rsidR="00281F97" w:rsidRPr="00733CF0" w:rsidRDefault="00281F97">
      <w:pPr>
        <w:pStyle w:val="FootnoteText"/>
      </w:pPr>
      <w:r>
        <w:rPr>
          <w:rStyle w:val="FootnoteReference"/>
        </w:rPr>
        <w:footnoteRef/>
      </w:r>
      <w:r>
        <w:t xml:space="preserve"> </w:t>
      </w:r>
      <w:r>
        <w:fldChar w:fldCharType="begin"/>
      </w:r>
      <w:r>
        <w:instrText xml:space="preserve"> ADDIN EN.CITE &lt;EndNote&gt;&lt;Cite&gt;&lt;Year&gt;1832&lt;/Year&gt;&lt;RecNum&gt;102&lt;/RecNum&gt;&lt;DisplayText&gt;&amp;quot;Art. Iv.—Incendiary Publications.&amp;quot;&lt;/DisplayText&gt;&lt;record&gt;&lt;rec-number&gt;102&lt;/rec-number&gt;&lt;foreign-keys&gt;&lt;key app="EN" db-id="zsrseat5ww9t5devdf1prxd7r0errx92pd5v" timestamp="1551887614"&gt;102&lt;/key&gt;&lt;/foreign-keys&gt;&lt;ref-type name="Magazine Article"&gt;19&lt;/ref-type&gt;&lt;contributors&gt;&lt;/contributors&gt;&lt;titles&gt;&lt;title&gt;ART. IV.—Incendiary Publications&lt;/title&gt;&lt;secondary-title&gt;American Jurist and Law Magazine (1829-1843)&lt;/secondary-title&gt;&lt;/titles&gt;&lt;dates&gt;&lt;year&gt;1832&lt;/year&gt;&lt;pub-dates&gt;&lt;date&gt;July&lt;/date&gt;&lt;/pub-dates&gt;&lt;/dates&gt;&lt;urls&gt;&lt;/urls&gt;&lt;remote-database-name&gt;American Periodicals&lt;/remote-database-name&gt;&lt;/record&gt;&lt;/Cite&gt;&lt;/EndNote&gt;</w:instrText>
      </w:r>
      <w:r>
        <w:fldChar w:fldCharType="separate"/>
      </w:r>
      <w:r>
        <w:rPr>
          <w:noProof/>
        </w:rPr>
        <w:t>"Art. Iv.—Incendiary Publications."</w:t>
      </w:r>
      <w:r>
        <w:fldChar w:fldCharType="end"/>
      </w:r>
      <w:r>
        <w:t xml:space="preserve">, 2.; </w:t>
      </w:r>
      <w:r>
        <w:fldChar w:fldCharType="begin"/>
      </w:r>
      <w:r>
        <w:instrText xml:space="preserve"> ADDIN EN.CITE &lt;EndNote&gt;&lt;Cite&gt;&lt;Author&gt;Drayton&lt;/Author&gt;&lt;Year&gt;1836&lt;/Year&gt;&lt;RecNum&gt;110&lt;/RecNum&gt;&lt;DisplayText&gt;Drayton.&lt;/DisplayText&gt;&lt;record&gt;&lt;rec-number&gt;110&lt;/rec-number&gt;&lt;foreign-keys&gt;&lt;key app="EN" db-id="zsrseat5ww9t5devdf1prxd7r0errx92pd5v" timestamp="1552241521"&gt;110&lt;/key&gt;&lt;/foreign-keys&gt;&lt;ref-type name="Book"&gt;6&lt;/ref-type&gt;&lt;contributors&gt;&lt;authors&gt;&lt;author&gt;William Drayton&lt;/author&gt;&lt;/authors&gt;&lt;/contributors&gt;&lt;titles&gt;&lt;title&gt;The South Vindicated from the Treason and Fanaticism of the Northern Abolitionists&lt;/title&gt;&lt;/titles&gt;&lt;dates&gt;&lt;year&gt;1836&lt;/year&gt;&lt;/dates&gt;&lt;pub-location&gt;Philadelphia&lt;/pub-location&gt;&lt;publisher&gt;H. Manly&lt;/publisher&gt;&lt;urls&gt;&lt;/urls&gt;&lt;/record&gt;&lt;/Cite&gt;&lt;/EndNote&gt;</w:instrText>
      </w:r>
      <w:r>
        <w:fldChar w:fldCharType="separate"/>
      </w:r>
      <w:r>
        <w:rPr>
          <w:noProof/>
        </w:rPr>
        <w:t>Drayton.</w:t>
      </w:r>
      <w:r>
        <w:fldChar w:fldCharType="end"/>
      </w:r>
      <w:r>
        <w:t xml:space="preserve"> </w:t>
      </w:r>
      <w:r>
        <w:rPr>
          <w:i/>
        </w:rPr>
        <w:t xml:space="preserve">The South Vindicated., </w:t>
      </w:r>
      <w:r>
        <w:t>311.</w:t>
      </w:r>
    </w:p>
  </w:footnote>
  <w:footnote w:id="53">
    <w:p w14:paraId="2441ACCA" w14:textId="5795595C" w:rsidR="00281F97" w:rsidRPr="00CA5FAE" w:rsidRDefault="00281F97">
      <w:pPr>
        <w:pStyle w:val="FootnoteText"/>
      </w:pPr>
      <w:r>
        <w:rPr>
          <w:rStyle w:val="FootnoteReference"/>
        </w:rPr>
        <w:footnoteRef/>
      </w:r>
      <w:r>
        <w:t xml:space="preserve"> </w:t>
      </w:r>
      <w:r>
        <w:fldChar w:fldCharType="begin"/>
      </w:r>
      <w:r>
        <w:instrText xml:space="preserve"> ADDIN EN.CITE &lt;EndNote&gt;&lt;Cite&gt;&lt;Author&gt;Cooper&lt;/Author&gt;&lt;Year&gt;1838&lt;/Year&gt;&lt;RecNum&gt;108&lt;/RecNum&gt;&lt;DisplayText&gt;Cooper.&lt;/DisplayText&gt;&lt;record&gt;&lt;rec-number&gt;108&lt;/rec-number&gt;&lt;foreign-keys&gt;&lt;key app="EN" db-id="zsrseat5ww9t5devdf1prxd7r0errx92pd5v" timestamp="1552240752"&gt;108&lt;/key&gt;&lt;/foreign-keys&gt;&lt;ref-type name="Book"&gt;6&lt;/ref-type&gt;&lt;contributors&gt;&lt;authors&gt;&lt;author&gt;J. Fenimore Cooper&lt;/author&gt;&lt;/authors&gt;&lt;/contributors&gt;&lt;titles&gt;&lt;title&gt;The American Democrat, or Hints on the Social and Civic Relations of the United States of America&lt;/title&gt;&lt;/titles&gt;&lt;dates&gt;&lt;year&gt;1838&lt;/year&gt;&lt;/dates&gt;&lt;pub-location&gt;Cooperstown&lt;/pub-location&gt;&lt;publisher&gt;H. &amp;amp; E. Phinney&lt;/publisher&gt;&lt;urls&gt;&lt;/urls&gt;&lt;/record&gt;&lt;/Cite&gt;&lt;/EndNote&gt;</w:instrText>
      </w:r>
      <w:r>
        <w:fldChar w:fldCharType="separate"/>
      </w:r>
      <w:r>
        <w:rPr>
          <w:noProof/>
        </w:rPr>
        <w:t>Cooper.</w:t>
      </w:r>
      <w:r>
        <w:fldChar w:fldCharType="end"/>
      </w:r>
      <w:r>
        <w:t xml:space="preserve">, </w:t>
      </w:r>
      <w:r>
        <w:rPr>
          <w:i/>
        </w:rPr>
        <w:t xml:space="preserve">The American Democrat., </w:t>
      </w:r>
      <w:r>
        <w:t>129-131.</w:t>
      </w:r>
    </w:p>
  </w:footnote>
  <w:footnote w:id="54">
    <w:p w14:paraId="068E8B91" w14:textId="77777777" w:rsidR="00281F97" w:rsidRDefault="00281F97">
      <w:pPr>
        <w:pStyle w:val="FootnoteText"/>
      </w:pPr>
      <w:r>
        <w:rPr>
          <w:rStyle w:val="FootnoteReference"/>
        </w:rPr>
        <w:footnoteRef/>
      </w:r>
      <w:r>
        <w:t xml:space="preserve"> </w:t>
      </w:r>
      <w:r>
        <w:fldChar w:fldCharType="begin"/>
      </w:r>
      <w:r>
        <w:instrText xml:space="preserve"> ADDIN EN.CITE &lt;EndNote&gt;&lt;Cite&gt;&lt;Author&gt;Reese&lt;/Author&gt;&lt;Year&gt;1838&lt;/Year&gt;&lt;RecNum&gt;77&lt;/RecNum&gt;&lt;DisplayText&gt;David Meredith Reese, &amp;quot;Humbugs of New York: Being a Remonstrance against Popular Delusion Whether in Science, Philosophy, or Religion,&amp;quot; (Boston: Weeks, Jordon &amp;amp; Co., 1838).&lt;/DisplayText&gt;&lt;record&gt;&lt;rec-number&gt;77&lt;/rec-number&gt;&lt;foreign-keys&gt;&lt;key app="EN" db-id="zsrseat5ww9t5devdf1prxd7r0errx92pd5v" timestamp="1543601496"&gt;77&lt;/key&gt;&lt;/foreign-keys&gt;&lt;ref-type name="Pamphlet"&gt;24&lt;/ref-type&gt;&lt;contributors&gt;&lt;authors&gt;&lt;author&gt;David Meredith Reese&lt;/author&gt;&lt;/authors&gt;&lt;/contributors&gt;&lt;titles&gt;&lt;title&gt;Humbugs of New York: Being a Remonstrance against Popular Delusion whether in Science, Philosophy, or Religion&lt;/title&gt;&lt;/titles&gt;&lt;dates&gt;&lt;year&gt;1838&lt;/year&gt;&lt;/dates&gt;&lt;pub-location&gt;Boston&lt;/pub-location&gt;&lt;publisher&gt;Weeks, Jordon &amp;amp; Co.&lt;/publisher&gt;&lt;urls&gt;&lt;/urls&gt;&lt;/record&gt;&lt;/Cite&gt;&lt;/EndNote&gt;</w:instrText>
      </w:r>
      <w:r>
        <w:fldChar w:fldCharType="separate"/>
      </w:r>
      <w:r>
        <w:rPr>
          <w:noProof/>
        </w:rPr>
        <w:t>David Meredith Reese, "Humbugs of New York: Being a Remonstrance against Popular Delusion Whether in Science, Philosophy, or Religion," (Boston: Weeks, Jordon &amp; Co., 1838).</w:t>
      </w:r>
      <w:r>
        <w:fldChar w:fldCharType="end"/>
      </w:r>
      <w:r>
        <w:t>, 164.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67856227"/>
      <w:docPartObj>
        <w:docPartGallery w:val="Page Numbers (Top of Page)"/>
        <w:docPartUnique/>
      </w:docPartObj>
    </w:sdtPr>
    <w:sdtEndPr>
      <w:rPr>
        <w:rStyle w:val="PageNumber"/>
      </w:rPr>
    </w:sdtEndPr>
    <w:sdtContent>
      <w:p w14:paraId="69271DB6" w14:textId="020FFE93" w:rsidR="00281F97" w:rsidRDefault="00281F97" w:rsidP="000D2C6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84CFDD" w14:textId="77777777" w:rsidR="00281F97" w:rsidRDefault="00281F97" w:rsidP="00305CB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49201051"/>
      <w:docPartObj>
        <w:docPartGallery w:val="Page Numbers (Top of Page)"/>
        <w:docPartUnique/>
      </w:docPartObj>
    </w:sdtPr>
    <w:sdtEndPr>
      <w:rPr>
        <w:rStyle w:val="PageNumber"/>
      </w:rPr>
    </w:sdtEndPr>
    <w:sdtContent>
      <w:p w14:paraId="02F0AA3C" w14:textId="0ADBF226" w:rsidR="00281F97" w:rsidRDefault="00281F97" w:rsidP="000D2C6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F405B06" w14:textId="6A76A89A" w:rsidR="00281F97" w:rsidRDefault="00281F97" w:rsidP="00305CB3">
    <w:pPr>
      <w:pStyle w:val="Header"/>
      <w:ind w:right="360"/>
    </w:pPr>
    <w:r>
      <w:tab/>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hicago 16th Footnote&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srseat5ww9t5devdf1prxd7r0errx92pd5v&quot;&gt;My EndNote Library&lt;record-ids&gt;&lt;item&gt;25&lt;/item&gt;&lt;item&gt;29&lt;/item&gt;&lt;item&gt;41&lt;/item&gt;&lt;item&gt;52&lt;/item&gt;&lt;item&gt;72&lt;/item&gt;&lt;item&gt;77&lt;/item&gt;&lt;item&gt;88&lt;/item&gt;&lt;item&gt;89&lt;/item&gt;&lt;item&gt;90&lt;/item&gt;&lt;item&gt;91&lt;/item&gt;&lt;item&gt;93&lt;/item&gt;&lt;item&gt;96&lt;/item&gt;&lt;item&gt;97&lt;/item&gt;&lt;item&gt;98&lt;/item&gt;&lt;item&gt;99&lt;/item&gt;&lt;item&gt;100&lt;/item&gt;&lt;item&gt;101&lt;/item&gt;&lt;item&gt;102&lt;/item&gt;&lt;item&gt;103&lt;/item&gt;&lt;item&gt;104&lt;/item&gt;&lt;item&gt;105&lt;/item&gt;&lt;item&gt;106&lt;/item&gt;&lt;item&gt;108&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record-ids&gt;&lt;/item&gt;&lt;/Libraries&gt;"/>
  </w:docVars>
  <w:rsids>
    <w:rsidRoot w:val="007F46B2"/>
    <w:rsid w:val="00002398"/>
    <w:rsid w:val="000036B4"/>
    <w:rsid w:val="00005438"/>
    <w:rsid w:val="00007655"/>
    <w:rsid w:val="00012378"/>
    <w:rsid w:val="000132AB"/>
    <w:rsid w:val="0001517E"/>
    <w:rsid w:val="00022B3A"/>
    <w:rsid w:val="00023AF7"/>
    <w:rsid w:val="00031398"/>
    <w:rsid w:val="000340AC"/>
    <w:rsid w:val="00036B9C"/>
    <w:rsid w:val="0003705F"/>
    <w:rsid w:val="00037EB4"/>
    <w:rsid w:val="000425D4"/>
    <w:rsid w:val="0004553F"/>
    <w:rsid w:val="0004719D"/>
    <w:rsid w:val="00047AE2"/>
    <w:rsid w:val="00047E85"/>
    <w:rsid w:val="000521DA"/>
    <w:rsid w:val="0005286A"/>
    <w:rsid w:val="00056589"/>
    <w:rsid w:val="0005693B"/>
    <w:rsid w:val="00060DAA"/>
    <w:rsid w:val="0006166D"/>
    <w:rsid w:val="00062177"/>
    <w:rsid w:val="000629CE"/>
    <w:rsid w:val="00062BD9"/>
    <w:rsid w:val="000641A6"/>
    <w:rsid w:val="00065DC4"/>
    <w:rsid w:val="00067345"/>
    <w:rsid w:val="0007352D"/>
    <w:rsid w:val="00076B38"/>
    <w:rsid w:val="00077FDA"/>
    <w:rsid w:val="0008241F"/>
    <w:rsid w:val="00082937"/>
    <w:rsid w:val="00083853"/>
    <w:rsid w:val="00084DCB"/>
    <w:rsid w:val="0008591B"/>
    <w:rsid w:val="000913E6"/>
    <w:rsid w:val="00096037"/>
    <w:rsid w:val="000B20C9"/>
    <w:rsid w:val="000B2394"/>
    <w:rsid w:val="000B2AE4"/>
    <w:rsid w:val="000B5DFB"/>
    <w:rsid w:val="000B712A"/>
    <w:rsid w:val="000B727B"/>
    <w:rsid w:val="000B7ECE"/>
    <w:rsid w:val="000C06D0"/>
    <w:rsid w:val="000C0A7F"/>
    <w:rsid w:val="000D2C61"/>
    <w:rsid w:val="000E16C4"/>
    <w:rsid w:val="000E19F5"/>
    <w:rsid w:val="000E6BE8"/>
    <w:rsid w:val="000E74F9"/>
    <w:rsid w:val="001016E6"/>
    <w:rsid w:val="00102DB7"/>
    <w:rsid w:val="0010339F"/>
    <w:rsid w:val="0010358E"/>
    <w:rsid w:val="00103C83"/>
    <w:rsid w:val="001051D8"/>
    <w:rsid w:val="0010576A"/>
    <w:rsid w:val="001059A8"/>
    <w:rsid w:val="00113FCC"/>
    <w:rsid w:val="00116006"/>
    <w:rsid w:val="00116C63"/>
    <w:rsid w:val="0011770E"/>
    <w:rsid w:val="001177E4"/>
    <w:rsid w:val="00121E58"/>
    <w:rsid w:val="0012284E"/>
    <w:rsid w:val="00122FF5"/>
    <w:rsid w:val="00124861"/>
    <w:rsid w:val="00130CAE"/>
    <w:rsid w:val="0013315C"/>
    <w:rsid w:val="001347A8"/>
    <w:rsid w:val="00140D91"/>
    <w:rsid w:val="00142340"/>
    <w:rsid w:val="001428B0"/>
    <w:rsid w:val="0014434F"/>
    <w:rsid w:val="00144614"/>
    <w:rsid w:val="001473EB"/>
    <w:rsid w:val="00155F8F"/>
    <w:rsid w:val="00156052"/>
    <w:rsid w:val="001611DF"/>
    <w:rsid w:val="00172CCB"/>
    <w:rsid w:val="00172D60"/>
    <w:rsid w:val="00185122"/>
    <w:rsid w:val="00192792"/>
    <w:rsid w:val="00197FF7"/>
    <w:rsid w:val="001A15F3"/>
    <w:rsid w:val="001A2CBA"/>
    <w:rsid w:val="001A44CF"/>
    <w:rsid w:val="001A5FFA"/>
    <w:rsid w:val="001B1A60"/>
    <w:rsid w:val="001B73DE"/>
    <w:rsid w:val="001B7593"/>
    <w:rsid w:val="001C004A"/>
    <w:rsid w:val="001C21EF"/>
    <w:rsid w:val="001C3D16"/>
    <w:rsid w:val="001C69CA"/>
    <w:rsid w:val="001D5711"/>
    <w:rsid w:val="001E104B"/>
    <w:rsid w:val="001F0D43"/>
    <w:rsid w:val="001F4ADE"/>
    <w:rsid w:val="001F78FB"/>
    <w:rsid w:val="001F7AF5"/>
    <w:rsid w:val="00205308"/>
    <w:rsid w:val="00206F47"/>
    <w:rsid w:val="00220699"/>
    <w:rsid w:val="002314B8"/>
    <w:rsid w:val="00235D6E"/>
    <w:rsid w:val="002450EA"/>
    <w:rsid w:val="00251017"/>
    <w:rsid w:val="00252BFF"/>
    <w:rsid w:val="002552D5"/>
    <w:rsid w:val="002577A5"/>
    <w:rsid w:val="002614DE"/>
    <w:rsid w:val="00261D58"/>
    <w:rsid w:val="00263F20"/>
    <w:rsid w:val="002717FD"/>
    <w:rsid w:val="00277A44"/>
    <w:rsid w:val="00281F97"/>
    <w:rsid w:val="002822D3"/>
    <w:rsid w:val="00284045"/>
    <w:rsid w:val="00285DB8"/>
    <w:rsid w:val="00290FE3"/>
    <w:rsid w:val="002A1440"/>
    <w:rsid w:val="002B1838"/>
    <w:rsid w:val="002B2642"/>
    <w:rsid w:val="002B3071"/>
    <w:rsid w:val="002C35E4"/>
    <w:rsid w:val="002C59C9"/>
    <w:rsid w:val="002D3A1E"/>
    <w:rsid w:val="002D5A4E"/>
    <w:rsid w:val="002D6E29"/>
    <w:rsid w:val="002E02B1"/>
    <w:rsid w:val="002E38AA"/>
    <w:rsid w:val="002E795B"/>
    <w:rsid w:val="002E7BD9"/>
    <w:rsid w:val="002F22A7"/>
    <w:rsid w:val="002F5FD6"/>
    <w:rsid w:val="002F770F"/>
    <w:rsid w:val="002F7B96"/>
    <w:rsid w:val="00304DAE"/>
    <w:rsid w:val="00305CB3"/>
    <w:rsid w:val="003072C4"/>
    <w:rsid w:val="00307D53"/>
    <w:rsid w:val="00311042"/>
    <w:rsid w:val="003126D2"/>
    <w:rsid w:val="00320395"/>
    <w:rsid w:val="00323D29"/>
    <w:rsid w:val="00323DB4"/>
    <w:rsid w:val="003270D9"/>
    <w:rsid w:val="00344B50"/>
    <w:rsid w:val="00344F1B"/>
    <w:rsid w:val="00346E53"/>
    <w:rsid w:val="00347C67"/>
    <w:rsid w:val="003509C1"/>
    <w:rsid w:val="00353C28"/>
    <w:rsid w:val="003622E3"/>
    <w:rsid w:val="00370669"/>
    <w:rsid w:val="00374697"/>
    <w:rsid w:val="003778E5"/>
    <w:rsid w:val="00380C25"/>
    <w:rsid w:val="003831EC"/>
    <w:rsid w:val="0039783A"/>
    <w:rsid w:val="003A046C"/>
    <w:rsid w:val="003A0CC7"/>
    <w:rsid w:val="003B05E1"/>
    <w:rsid w:val="003B2DDA"/>
    <w:rsid w:val="003B505D"/>
    <w:rsid w:val="003C6090"/>
    <w:rsid w:val="003C611D"/>
    <w:rsid w:val="003C7BED"/>
    <w:rsid w:val="003C7D98"/>
    <w:rsid w:val="003D190E"/>
    <w:rsid w:val="003D6627"/>
    <w:rsid w:val="003D71E0"/>
    <w:rsid w:val="003D7FAB"/>
    <w:rsid w:val="003F487A"/>
    <w:rsid w:val="003F7672"/>
    <w:rsid w:val="0041296D"/>
    <w:rsid w:val="00413B2E"/>
    <w:rsid w:val="0043220D"/>
    <w:rsid w:val="00434796"/>
    <w:rsid w:val="00437D85"/>
    <w:rsid w:val="00444A14"/>
    <w:rsid w:val="00453ABD"/>
    <w:rsid w:val="00455C85"/>
    <w:rsid w:val="00457380"/>
    <w:rsid w:val="00460F26"/>
    <w:rsid w:val="0047136C"/>
    <w:rsid w:val="00473C2E"/>
    <w:rsid w:val="00475286"/>
    <w:rsid w:val="00483306"/>
    <w:rsid w:val="00483C51"/>
    <w:rsid w:val="004853AB"/>
    <w:rsid w:val="00485CA8"/>
    <w:rsid w:val="00486200"/>
    <w:rsid w:val="00497918"/>
    <w:rsid w:val="004A0EA5"/>
    <w:rsid w:val="004A0F30"/>
    <w:rsid w:val="004A4A5D"/>
    <w:rsid w:val="004A5E06"/>
    <w:rsid w:val="004A7810"/>
    <w:rsid w:val="004B28F3"/>
    <w:rsid w:val="004B421D"/>
    <w:rsid w:val="004B6D24"/>
    <w:rsid w:val="004C25E9"/>
    <w:rsid w:val="004C3F02"/>
    <w:rsid w:val="004C5F67"/>
    <w:rsid w:val="004C6747"/>
    <w:rsid w:val="004D08F8"/>
    <w:rsid w:val="004D0ADA"/>
    <w:rsid w:val="004D2A7F"/>
    <w:rsid w:val="004E3497"/>
    <w:rsid w:val="004E72E7"/>
    <w:rsid w:val="004F0BD6"/>
    <w:rsid w:val="004F2BB6"/>
    <w:rsid w:val="00503732"/>
    <w:rsid w:val="00510F1A"/>
    <w:rsid w:val="005128A7"/>
    <w:rsid w:val="00513C09"/>
    <w:rsid w:val="00514CA8"/>
    <w:rsid w:val="005355A6"/>
    <w:rsid w:val="00537970"/>
    <w:rsid w:val="00540600"/>
    <w:rsid w:val="00541D73"/>
    <w:rsid w:val="00552016"/>
    <w:rsid w:val="00552027"/>
    <w:rsid w:val="00554097"/>
    <w:rsid w:val="00556C63"/>
    <w:rsid w:val="0056308D"/>
    <w:rsid w:val="00565D38"/>
    <w:rsid w:val="00571720"/>
    <w:rsid w:val="00572FDB"/>
    <w:rsid w:val="005738C6"/>
    <w:rsid w:val="00575F7F"/>
    <w:rsid w:val="005767E8"/>
    <w:rsid w:val="00580F88"/>
    <w:rsid w:val="005831AA"/>
    <w:rsid w:val="00583FC6"/>
    <w:rsid w:val="00584194"/>
    <w:rsid w:val="005862E8"/>
    <w:rsid w:val="005864FC"/>
    <w:rsid w:val="005970E4"/>
    <w:rsid w:val="005A020D"/>
    <w:rsid w:val="005A1111"/>
    <w:rsid w:val="005A4AF5"/>
    <w:rsid w:val="005A6D60"/>
    <w:rsid w:val="005B00C7"/>
    <w:rsid w:val="005B1F20"/>
    <w:rsid w:val="005B425F"/>
    <w:rsid w:val="005B6221"/>
    <w:rsid w:val="005C39D9"/>
    <w:rsid w:val="005C435B"/>
    <w:rsid w:val="005D360C"/>
    <w:rsid w:val="005D672C"/>
    <w:rsid w:val="005E192F"/>
    <w:rsid w:val="005E3B2C"/>
    <w:rsid w:val="005F232C"/>
    <w:rsid w:val="005F2785"/>
    <w:rsid w:val="005F29BF"/>
    <w:rsid w:val="0060005C"/>
    <w:rsid w:val="006041B6"/>
    <w:rsid w:val="00607915"/>
    <w:rsid w:val="006113EE"/>
    <w:rsid w:val="00613B24"/>
    <w:rsid w:val="00617649"/>
    <w:rsid w:val="00617D67"/>
    <w:rsid w:val="006234DB"/>
    <w:rsid w:val="00623DF6"/>
    <w:rsid w:val="006302AA"/>
    <w:rsid w:val="00631283"/>
    <w:rsid w:val="00634DCD"/>
    <w:rsid w:val="006352C7"/>
    <w:rsid w:val="006356CA"/>
    <w:rsid w:val="006404FD"/>
    <w:rsid w:val="006406B4"/>
    <w:rsid w:val="00647F05"/>
    <w:rsid w:val="0065147C"/>
    <w:rsid w:val="006532F1"/>
    <w:rsid w:val="00655D1F"/>
    <w:rsid w:val="0065652E"/>
    <w:rsid w:val="00667752"/>
    <w:rsid w:val="00667C5A"/>
    <w:rsid w:val="00670529"/>
    <w:rsid w:val="006708A3"/>
    <w:rsid w:val="00674D3A"/>
    <w:rsid w:val="00676D6B"/>
    <w:rsid w:val="00680517"/>
    <w:rsid w:val="006825F8"/>
    <w:rsid w:val="00683364"/>
    <w:rsid w:val="00687C47"/>
    <w:rsid w:val="00690977"/>
    <w:rsid w:val="006934B8"/>
    <w:rsid w:val="006A25E6"/>
    <w:rsid w:val="006B24E3"/>
    <w:rsid w:val="006B4DC7"/>
    <w:rsid w:val="006B7DFB"/>
    <w:rsid w:val="006C4E55"/>
    <w:rsid w:val="006C5768"/>
    <w:rsid w:val="006C66D0"/>
    <w:rsid w:val="006E007F"/>
    <w:rsid w:val="006F49B5"/>
    <w:rsid w:val="006F4DE1"/>
    <w:rsid w:val="006F4F79"/>
    <w:rsid w:val="006F6BC6"/>
    <w:rsid w:val="007257FF"/>
    <w:rsid w:val="0072780D"/>
    <w:rsid w:val="00731F7D"/>
    <w:rsid w:val="00733493"/>
    <w:rsid w:val="007413F2"/>
    <w:rsid w:val="007417F3"/>
    <w:rsid w:val="007443B0"/>
    <w:rsid w:val="00751985"/>
    <w:rsid w:val="00756FD4"/>
    <w:rsid w:val="007575C5"/>
    <w:rsid w:val="007629C9"/>
    <w:rsid w:val="00764512"/>
    <w:rsid w:val="00765C03"/>
    <w:rsid w:val="007726D0"/>
    <w:rsid w:val="0077441A"/>
    <w:rsid w:val="00776BC0"/>
    <w:rsid w:val="00780397"/>
    <w:rsid w:val="00780464"/>
    <w:rsid w:val="007812F1"/>
    <w:rsid w:val="00781F2E"/>
    <w:rsid w:val="00782334"/>
    <w:rsid w:val="00791E75"/>
    <w:rsid w:val="007B11FC"/>
    <w:rsid w:val="007B54F4"/>
    <w:rsid w:val="007C1DD9"/>
    <w:rsid w:val="007C6E38"/>
    <w:rsid w:val="007C7F62"/>
    <w:rsid w:val="007E1B31"/>
    <w:rsid w:val="007F0A12"/>
    <w:rsid w:val="007F30C8"/>
    <w:rsid w:val="007F46B2"/>
    <w:rsid w:val="007F6D02"/>
    <w:rsid w:val="00810255"/>
    <w:rsid w:val="008143E9"/>
    <w:rsid w:val="0081697E"/>
    <w:rsid w:val="00817668"/>
    <w:rsid w:val="00820C25"/>
    <w:rsid w:val="00820EC6"/>
    <w:rsid w:val="00821C8D"/>
    <w:rsid w:val="00821EDE"/>
    <w:rsid w:val="00822719"/>
    <w:rsid w:val="00826C5D"/>
    <w:rsid w:val="00827F78"/>
    <w:rsid w:val="008305CE"/>
    <w:rsid w:val="008361AF"/>
    <w:rsid w:val="008375CA"/>
    <w:rsid w:val="008410FB"/>
    <w:rsid w:val="00861939"/>
    <w:rsid w:val="008704CB"/>
    <w:rsid w:val="008712B9"/>
    <w:rsid w:val="00872953"/>
    <w:rsid w:val="00876C15"/>
    <w:rsid w:val="008810D9"/>
    <w:rsid w:val="00883410"/>
    <w:rsid w:val="00883651"/>
    <w:rsid w:val="008863FD"/>
    <w:rsid w:val="008901D6"/>
    <w:rsid w:val="0089025F"/>
    <w:rsid w:val="00893326"/>
    <w:rsid w:val="00893723"/>
    <w:rsid w:val="008949CA"/>
    <w:rsid w:val="0089505C"/>
    <w:rsid w:val="00897594"/>
    <w:rsid w:val="008976AF"/>
    <w:rsid w:val="008A5455"/>
    <w:rsid w:val="008B049B"/>
    <w:rsid w:val="008B07F0"/>
    <w:rsid w:val="008B14DB"/>
    <w:rsid w:val="008B3B4B"/>
    <w:rsid w:val="008B75F2"/>
    <w:rsid w:val="008C0381"/>
    <w:rsid w:val="008C5114"/>
    <w:rsid w:val="008C7F7D"/>
    <w:rsid w:val="008D0A9F"/>
    <w:rsid w:val="008D14D8"/>
    <w:rsid w:val="008D53DA"/>
    <w:rsid w:val="008D688D"/>
    <w:rsid w:val="008E0606"/>
    <w:rsid w:val="008F4880"/>
    <w:rsid w:val="009010D4"/>
    <w:rsid w:val="00907335"/>
    <w:rsid w:val="00912E5B"/>
    <w:rsid w:val="00913675"/>
    <w:rsid w:val="009272C1"/>
    <w:rsid w:val="00927638"/>
    <w:rsid w:val="0093020A"/>
    <w:rsid w:val="00935B3B"/>
    <w:rsid w:val="0094515E"/>
    <w:rsid w:val="00945D57"/>
    <w:rsid w:val="0095020A"/>
    <w:rsid w:val="00956128"/>
    <w:rsid w:val="009654F3"/>
    <w:rsid w:val="009667DE"/>
    <w:rsid w:val="00971EB6"/>
    <w:rsid w:val="00974830"/>
    <w:rsid w:val="00976C74"/>
    <w:rsid w:val="00982109"/>
    <w:rsid w:val="00985E1B"/>
    <w:rsid w:val="009871A2"/>
    <w:rsid w:val="0099266A"/>
    <w:rsid w:val="0099287F"/>
    <w:rsid w:val="00995BBB"/>
    <w:rsid w:val="009971D5"/>
    <w:rsid w:val="009A14AD"/>
    <w:rsid w:val="009A6136"/>
    <w:rsid w:val="009B00E5"/>
    <w:rsid w:val="009B2B67"/>
    <w:rsid w:val="009B40AC"/>
    <w:rsid w:val="009B4335"/>
    <w:rsid w:val="009B4EC5"/>
    <w:rsid w:val="009C238F"/>
    <w:rsid w:val="009C6963"/>
    <w:rsid w:val="009D6620"/>
    <w:rsid w:val="009E35C2"/>
    <w:rsid w:val="009F3C2E"/>
    <w:rsid w:val="009F56D8"/>
    <w:rsid w:val="00A00B62"/>
    <w:rsid w:val="00A027BE"/>
    <w:rsid w:val="00A040EB"/>
    <w:rsid w:val="00A10B96"/>
    <w:rsid w:val="00A12B81"/>
    <w:rsid w:val="00A13C50"/>
    <w:rsid w:val="00A250A0"/>
    <w:rsid w:val="00A257EC"/>
    <w:rsid w:val="00A27E20"/>
    <w:rsid w:val="00A31654"/>
    <w:rsid w:val="00A331A5"/>
    <w:rsid w:val="00A33E80"/>
    <w:rsid w:val="00A42F7C"/>
    <w:rsid w:val="00A506B2"/>
    <w:rsid w:val="00A53125"/>
    <w:rsid w:val="00A533BD"/>
    <w:rsid w:val="00A53CE2"/>
    <w:rsid w:val="00A57FD1"/>
    <w:rsid w:val="00A61220"/>
    <w:rsid w:val="00A61B69"/>
    <w:rsid w:val="00A63628"/>
    <w:rsid w:val="00A667C0"/>
    <w:rsid w:val="00A70398"/>
    <w:rsid w:val="00A70666"/>
    <w:rsid w:val="00A8439C"/>
    <w:rsid w:val="00AA2B1F"/>
    <w:rsid w:val="00AA5D7A"/>
    <w:rsid w:val="00AB11B5"/>
    <w:rsid w:val="00AB32A7"/>
    <w:rsid w:val="00AC1021"/>
    <w:rsid w:val="00AC4515"/>
    <w:rsid w:val="00AC5CA8"/>
    <w:rsid w:val="00AD1A52"/>
    <w:rsid w:val="00AD215A"/>
    <w:rsid w:val="00AD38C4"/>
    <w:rsid w:val="00AD53BE"/>
    <w:rsid w:val="00AE4701"/>
    <w:rsid w:val="00AE5C33"/>
    <w:rsid w:val="00AF0D5F"/>
    <w:rsid w:val="00B05FD2"/>
    <w:rsid w:val="00B06C62"/>
    <w:rsid w:val="00B10059"/>
    <w:rsid w:val="00B17B69"/>
    <w:rsid w:val="00B23F3C"/>
    <w:rsid w:val="00B2687B"/>
    <w:rsid w:val="00B310E6"/>
    <w:rsid w:val="00B42C66"/>
    <w:rsid w:val="00B42FC3"/>
    <w:rsid w:val="00B42FF3"/>
    <w:rsid w:val="00B451B8"/>
    <w:rsid w:val="00B508AC"/>
    <w:rsid w:val="00B522A4"/>
    <w:rsid w:val="00B63A30"/>
    <w:rsid w:val="00B66839"/>
    <w:rsid w:val="00B66C55"/>
    <w:rsid w:val="00B75016"/>
    <w:rsid w:val="00B76ADE"/>
    <w:rsid w:val="00B77C44"/>
    <w:rsid w:val="00B8244B"/>
    <w:rsid w:val="00B83D82"/>
    <w:rsid w:val="00B86C00"/>
    <w:rsid w:val="00B86CDA"/>
    <w:rsid w:val="00B92093"/>
    <w:rsid w:val="00B96975"/>
    <w:rsid w:val="00BA2479"/>
    <w:rsid w:val="00BA346A"/>
    <w:rsid w:val="00BA5AB5"/>
    <w:rsid w:val="00BA71DF"/>
    <w:rsid w:val="00BB26DC"/>
    <w:rsid w:val="00BB30EC"/>
    <w:rsid w:val="00BB5C66"/>
    <w:rsid w:val="00BB6670"/>
    <w:rsid w:val="00BC0714"/>
    <w:rsid w:val="00BC41F0"/>
    <w:rsid w:val="00BC516C"/>
    <w:rsid w:val="00BC7038"/>
    <w:rsid w:val="00BD3F7F"/>
    <w:rsid w:val="00BD79D2"/>
    <w:rsid w:val="00BE054F"/>
    <w:rsid w:val="00BE0A49"/>
    <w:rsid w:val="00BE3D6F"/>
    <w:rsid w:val="00BF1C31"/>
    <w:rsid w:val="00C0513C"/>
    <w:rsid w:val="00C067A9"/>
    <w:rsid w:val="00C10ED8"/>
    <w:rsid w:val="00C13EC7"/>
    <w:rsid w:val="00C13F4E"/>
    <w:rsid w:val="00C16168"/>
    <w:rsid w:val="00C207D0"/>
    <w:rsid w:val="00C20E3B"/>
    <w:rsid w:val="00C2633C"/>
    <w:rsid w:val="00C301B6"/>
    <w:rsid w:val="00C4000E"/>
    <w:rsid w:val="00C43B68"/>
    <w:rsid w:val="00C44443"/>
    <w:rsid w:val="00C446B6"/>
    <w:rsid w:val="00C47C2B"/>
    <w:rsid w:val="00C61ED3"/>
    <w:rsid w:val="00C64F5E"/>
    <w:rsid w:val="00C7067B"/>
    <w:rsid w:val="00C71D99"/>
    <w:rsid w:val="00C745B7"/>
    <w:rsid w:val="00C74939"/>
    <w:rsid w:val="00C77340"/>
    <w:rsid w:val="00C81355"/>
    <w:rsid w:val="00C83175"/>
    <w:rsid w:val="00C90A38"/>
    <w:rsid w:val="00C91070"/>
    <w:rsid w:val="00CB2520"/>
    <w:rsid w:val="00CB2871"/>
    <w:rsid w:val="00CB3DEB"/>
    <w:rsid w:val="00CB3F03"/>
    <w:rsid w:val="00CB650C"/>
    <w:rsid w:val="00CB7AA0"/>
    <w:rsid w:val="00CC25B5"/>
    <w:rsid w:val="00CC4CC6"/>
    <w:rsid w:val="00CC7744"/>
    <w:rsid w:val="00CC7D8A"/>
    <w:rsid w:val="00CC7F34"/>
    <w:rsid w:val="00CD098E"/>
    <w:rsid w:val="00CD1CD7"/>
    <w:rsid w:val="00CD582C"/>
    <w:rsid w:val="00CE00AA"/>
    <w:rsid w:val="00CE6B5F"/>
    <w:rsid w:val="00CF4155"/>
    <w:rsid w:val="00CF4432"/>
    <w:rsid w:val="00CF46FB"/>
    <w:rsid w:val="00CF4F96"/>
    <w:rsid w:val="00D01921"/>
    <w:rsid w:val="00D0287A"/>
    <w:rsid w:val="00D03659"/>
    <w:rsid w:val="00D12A37"/>
    <w:rsid w:val="00D1777A"/>
    <w:rsid w:val="00D249B8"/>
    <w:rsid w:val="00D30ADD"/>
    <w:rsid w:val="00D340A7"/>
    <w:rsid w:val="00D36DCB"/>
    <w:rsid w:val="00D42B9A"/>
    <w:rsid w:val="00D4343D"/>
    <w:rsid w:val="00D550BC"/>
    <w:rsid w:val="00D5765C"/>
    <w:rsid w:val="00D57A6E"/>
    <w:rsid w:val="00D60F9F"/>
    <w:rsid w:val="00D64191"/>
    <w:rsid w:val="00D661B5"/>
    <w:rsid w:val="00D67908"/>
    <w:rsid w:val="00D70DC6"/>
    <w:rsid w:val="00D7302B"/>
    <w:rsid w:val="00D77090"/>
    <w:rsid w:val="00D802D5"/>
    <w:rsid w:val="00D818FE"/>
    <w:rsid w:val="00D85B9F"/>
    <w:rsid w:val="00D87D50"/>
    <w:rsid w:val="00D90B41"/>
    <w:rsid w:val="00D91EBD"/>
    <w:rsid w:val="00D9361E"/>
    <w:rsid w:val="00D94E1F"/>
    <w:rsid w:val="00D9637F"/>
    <w:rsid w:val="00D964B4"/>
    <w:rsid w:val="00D96AE7"/>
    <w:rsid w:val="00D97AC1"/>
    <w:rsid w:val="00DA3D01"/>
    <w:rsid w:val="00DB0774"/>
    <w:rsid w:val="00DB13DE"/>
    <w:rsid w:val="00DB398C"/>
    <w:rsid w:val="00DC00B8"/>
    <w:rsid w:val="00DC17AF"/>
    <w:rsid w:val="00DD369D"/>
    <w:rsid w:val="00DD43BD"/>
    <w:rsid w:val="00DE0362"/>
    <w:rsid w:val="00DE3416"/>
    <w:rsid w:val="00DE4260"/>
    <w:rsid w:val="00DE5432"/>
    <w:rsid w:val="00DF06FA"/>
    <w:rsid w:val="00E02DF8"/>
    <w:rsid w:val="00E05274"/>
    <w:rsid w:val="00E07898"/>
    <w:rsid w:val="00E13709"/>
    <w:rsid w:val="00E14D9C"/>
    <w:rsid w:val="00E16B6B"/>
    <w:rsid w:val="00E178B3"/>
    <w:rsid w:val="00E22E39"/>
    <w:rsid w:val="00E250F5"/>
    <w:rsid w:val="00E3100D"/>
    <w:rsid w:val="00E31388"/>
    <w:rsid w:val="00E317DC"/>
    <w:rsid w:val="00E32284"/>
    <w:rsid w:val="00E33544"/>
    <w:rsid w:val="00E406A1"/>
    <w:rsid w:val="00E4072B"/>
    <w:rsid w:val="00E40EFE"/>
    <w:rsid w:val="00E41C67"/>
    <w:rsid w:val="00E4530A"/>
    <w:rsid w:val="00E46725"/>
    <w:rsid w:val="00E47DF8"/>
    <w:rsid w:val="00E51272"/>
    <w:rsid w:val="00E523FE"/>
    <w:rsid w:val="00E55358"/>
    <w:rsid w:val="00E717A8"/>
    <w:rsid w:val="00E71B2B"/>
    <w:rsid w:val="00E728EF"/>
    <w:rsid w:val="00E7336D"/>
    <w:rsid w:val="00E771F7"/>
    <w:rsid w:val="00E87D42"/>
    <w:rsid w:val="00E94B54"/>
    <w:rsid w:val="00EA2BAB"/>
    <w:rsid w:val="00EA7D7D"/>
    <w:rsid w:val="00EC18EA"/>
    <w:rsid w:val="00EC49C8"/>
    <w:rsid w:val="00EC7E25"/>
    <w:rsid w:val="00ED02C8"/>
    <w:rsid w:val="00ED3CD0"/>
    <w:rsid w:val="00EE2BB8"/>
    <w:rsid w:val="00EE4539"/>
    <w:rsid w:val="00EE7D49"/>
    <w:rsid w:val="00EF1140"/>
    <w:rsid w:val="00EF5ED6"/>
    <w:rsid w:val="00F06309"/>
    <w:rsid w:val="00F134B3"/>
    <w:rsid w:val="00F1385F"/>
    <w:rsid w:val="00F1489D"/>
    <w:rsid w:val="00F21D86"/>
    <w:rsid w:val="00F30D58"/>
    <w:rsid w:val="00F40D7F"/>
    <w:rsid w:val="00F40F4B"/>
    <w:rsid w:val="00F467A5"/>
    <w:rsid w:val="00F55BD3"/>
    <w:rsid w:val="00F645C6"/>
    <w:rsid w:val="00F66C10"/>
    <w:rsid w:val="00F73615"/>
    <w:rsid w:val="00F7365C"/>
    <w:rsid w:val="00F75BC4"/>
    <w:rsid w:val="00F75CC1"/>
    <w:rsid w:val="00F803F1"/>
    <w:rsid w:val="00F81DE0"/>
    <w:rsid w:val="00F91C8B"/>
    <w:rsid w:val="00F92766"/>
    <w:rsid w:val="00FA76DB"/>
    <w:rsid w:val="00FB4D31"/>
    <w:rsid w:val="00FB71B8"/>
    <w:rsid w:val="00FB7701"/>
    <w:rsid w:val="00FC13C9"/>
    <w:rsid w:val="00FD20C2"/>
    <w:rsid w:val="00FE40E2"/>
    <w:rsid w:val="00FE4226"/>
    <w:rsid w:val="00FF40F0"/>
    <w:rsid w:val="00FF4828"/>
    <w:rsid w:val="00FF5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A2AB8A"/>
  <w15:chartTrackingRefBased/>
  <w15:docId w15:val="{6A14F8FF-A664-FC43-B01E-3408D6A67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86C00"/>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B3"/>
    <w:pPr>
      <w:tabs>
        <w:tab w:val="center" w:pos="4680"/>
        <w:tab w:val="right" w:pos="9360"/>
      </w:tabs>
    </w:pPr>
    <w:rPr>
      <w:rFonts w:eastAsiaTheme="minorHAnsi" w:cstheme="minorBidi"/>
    </w:rPr>
  </w:style>
  <w:style w:type="character" w:customStyle="1" w:styleId="HeaderChar">
    <w:name w:val="Header Char"/>
    <w:basedOn w:val="DefaultParagraphFont"/>
    <w:link w:val="Header"/>
    <w:uiPriority w:val="99"/>
    <w:rsid w:val="00305CB3"/>
  </w:style>
  <w:style w:type="character" w:styleId="PageNumber">
    <w:name w:val="page number"/>
    <w:basedOn w:val="DefaultParagraphFont"/>
    <w:uiPriority w:val="99"/>
    <w:semiHidden/>
    <w:unhideWhenUsed/>
    <w:rsid w:val="00305CB3"/>
  </w:style>
  <w:style w:type="paragraph" w:styleId="Footer">
    <w:name w:val="footer"/>
    <w:basedOn w:val="Normal"/>
    <w:link w:val="FooterChar"/>
    <w:uiPriority w:val="99"/>
    <w:unhideWhenUsed/>
    <w:rsid w:val="00305CB3"/>
    <w:pPr>
      <w:tabs>
        <w:tab w:val="center" w:pos="4680"/>
        <w:tab w:val="right" w:pos="9360"/>
      </w:tabs>
    </w:pPr>
    <w:rPr>
      <w:rFonts w:eastAsiaTheme="minorHAnsi" w:cstheme="minorBidi"/>
    </w:rPr>
  </w:style>
  <w:style w:type="character" w:customStyle="1" w:styleId="FooterChar">
    <w:name w:val="Footer Char"/>
    <w:basedOn w:val="DefaultParagraphFont"/>
    <w:link w:val="Footer"/>
    <w:uiPriority w:val="99"/>
    <w:rsid w:val="00305CB3"/>
  </w:style>
  <w:style w:type="paragraph" w:styleId="FootnoteText">
    <w:name w:val="footnote text"/>
    <w:basedOn w:val="Normal"/>
    <w:link w:val="FootnoteTextChar"/>
    <w:uiPriority w:val="99"/>
    <w:semiHidden/>
    <w:unhideWhenUsed/>
    <w:rsid w:val="00EF5ED6"/>
    <w:rPr>
      <w:rFonts w:eastAsiaTheme="minorHAnsi" w:cstheme="minorBidi"/>
      <w:sz w:val="20"/>
      <w:szCs w:val="20"/>
    </w:rPr>
  </w:style>
  <w:style w:type="character" w:customStyle="1" w:styleId="FootnoteTextChar">
    <w:name w:val="Footnote Text Char"/>
    <w:basedOn w:val="DefaultParagraphFont"/>
    <w:link w:val="FootnoteText"/>
    <w:uiPriority w:val="99"/>
    <w:semiHidden/>
    <w:rsid w:val="00EF5ED6"/>
    <w:rPr>
      <w:sz w:val="20"/>
      <w:szCs w:val="20"/>
    </w:rPr>
  </w:style>
  <w:style w:type="character" w:styleId="FootnoteReference">
    <w:name w:val="footnote reference"/>
    <w:basedOn w:val="DefaultParagraphFont"/>
    <w:uiPriority w:val="99"/>
    <w:semiHidden/>
    <w:unhideWhenUsed/>
    <w:rsid w:val="00EF5ED6"/>
    <w:rPr>
      <w:vertAlign w:val="superscript"/>
    </w:rPr>
  </w:style>
  <w:style w:type="paragraph" w:customStyle="1" w:styleId="EndNoteBibliography">
    <w:name w:val="EndNote Bibliography"/>
    <w:basedOn w:val="Normal"/>
    <w:link w:val="EndNoteBibliographyChar"/>
    <w:rsid w:val="00EF5ED6"/>
    <w:rPr>
      <w:rFonts w:eastAsiaTheme="minorHAnsi"/>
      <w:sz w:val="20"/>
      <w:szCs w:val="20"/>
    </w:rPr>
  </w:style>
  <w:style w:type="character" w:customStyle="1" w:styleId="EndNoteBibliographyChar">
    <w:name w:val="EndNote Bibliography Char"/>
    <w:basedOn w:val="FootnoteTextChar"/>
    <w:link w:val="EndNoteBibliography"/>
    <w:rsid w:val="00EF5ED6"/>
    <w:rPr>
      <w:rFonts w:cs="Times New Roman"/>
      <w:sz w:val="20"/>
      <w:szCs w:val="20"/>
    </w:rPr>
  </w:style>
  <w:style w:type="character" w:styleId="Hyperlink">
    <w:name w:val="Hyperlink"/>
    <w:basedOn w:val="DefaultParagraphFont"/>
    <w:uiPriority w:val="99"/>
    <w:unhideWhenUsed/>
    <w:rsid w:val="00EF5ED6"/>
    <w:rPr>
      <w:color w:val="0563C1" w:themeColor="hyperlink"/>
      <w:u w:val="single"/>
    </w:rPr>
  </w:style>
  <w:style w:type="paragraph" w:customStyle="1" w:styleId="EndNoteBibliographyTitle">
    <w:name w:val="EndNote Bibliography Title"/>
    <w:basedOn w:val="Normal"/>
    <w:link w:val="EndNoteBibliographyTitleChar"/>
    <w:rsid w:val="00102DB7"/>
    <w:pPr>
      <w:jc w:val="center"/>
    </w:pPr>
    <w:rPr>
      <w:rFonts w:eastAsiaTheme="minorHAnsi"/>
      <w:sz w:val="20"/>
    </w:rPr>
  </w:style>
  <w:style w:type="character" w:customStyle="1" w:styleId="EndNoteBibliographyTitleChar">
    <w:name w:val="EndNote Bibliography Title Char"/>
    <w:basedOn w:val="FootnoteTextChar"/>
    <w:link w:val="EndNoteBibliographyTitle"/>
    <w:rsid w:val="00102DB7"/>
    <w:rPr>
      <w:rFonts w:cs="Times New Roman"/>
      <w:sz w:val="20"/>
      <w:szCs w:val="20"/>
    </w:rPr>
  </w:style>
  <w:style w:type="character" w:styleId="UnresolvedMention">
    <w:name w:val="Unresolved Mention"/>
    <w:basedOn w:val="DefaultParagraphFont"/>
    <w:uiPriority w:val="99"/>
    <w:rsid w:val="00102DB7"/>
    <w:rPr>
      <w:color w:val="605E5C"/>
      <w:shd w:val="clear" w:color="auto" w:fill="E1DFDD"/>
    </w:rPr>
  </w:style>
  <w:style w:type="character" w:styleId="CommentReference">
    <w:name w:val="annotation reference"/>
    <w:basedOn w:val="DefaultParagraphFont"/>
    <w:uiPriority w:val="99"/>
    <w:semiHidden/>
    <w:unhideWhenUsed/>
    <w:rsid w:val="00EF1140"/>
    <w:rPr>
      <w:sz w:val="16"/>
      <w:szCs w:val="16"/>
    </w:rPr>
  </w:style>
  <w:style w:type="paragraph" w:styleId="CommentText">
    <w:name w:val="annotation text"/>
    <w:basedOn w:val="Normal"/>
    <w:link w:val="CommentTextChar"/>
    <w:uiPriority w:val="99"/>
    <w:semiHidden/>
    <w:unhideWhenUsed/>
    <w:rsid w:val="00EF1140"/>
    <w:rPr>
      <w:rFonts w:eastAsiaTheme="minorHAnsi" w:cstheme="minorBidi"/>
      <w:sz w:val="20"/>
      <w:szCs w:val="20"/>
    </w:rPr>
  </w:style>
  <w:style w:type="character" w:customStyle="1" w:styleId="CommentTextChar">
    <w:name w:val="Comment Text Char"/>
    <w:basedOn w:val="DefaultParagraphFont"/>
    <w:link w:val="CommentText"/>
    <w:uiPriority w:val="99"/>
    <w:semiHidden/>
    <w:rsid w:val="00EF1140"/>
    <w:rPr>
      <w:sz w:val="20"/>
      <w:szCs w:val="20"/>
    </w:rPr>
  </w:style>
  <w:style w:type="paragraph" w:styleId="CommentSubject">
    <w:name w:val="annotation subject"/>
    <w:basedOn w:val="CommentText"/>
    <w:next w:val="CommentText"/>
    <w:link w:val="CommentSubjectChar"/>
    <w:uiPriority w:val="99"/>
    <w:semiHidden/>
    <w:unhideWhenUsed/>
    <w:rsid w:val="00EF1140"/>
    <w:rPr>
      <w:b/>
      <w:bCs/>
    </w:rPr>
  </w:style>
  <w:style w:type="character" w:customStyle="1" w:styleId="CommentSubjectChar">
    <w:name w:val="Comment Subject Char"/>
    <w:basedOn w:val="CommentTextChar"/>
    <w:link w:val="CommentSubject"/>
    <w:uiPriority w:val="99"/>
    <w:semiHidden/>
    <w:rsid w:val="00EF1140"/>
    <w:rPr>
      <w:b/>
      <w:bCs/>
      <w:sz w:val="20"/>
      <w:szCs w:val="20"/>
    </w:rPr>
  </w:style>
  <w:style w:type="paragraph" w:styleId="BalloonText">
    <w:name w:val="Balloon Text"/>
    <w:basedOn w:val="Normal"/>
    <w:link w:val="BalloonTextChar"/>
    <w:uiPriority w:val="99"/>
    <w:semiHidden/>
    <w:unhideWhenUsed/>
    <w:rsid w:val="00EF1140"/>
    <w:rPr>
      <w:rFonts w:eastAsiaTheme="minorHAnsi"/>
      <w:sz w:val="18"/>
      <w:szCs w:val="18"/>
    </w:rPr>
  </w:style>
  <w:style w:type="character" w:customStyle="1" w:styleId="BalloonTextChar">
    <w:name w:val="Balloon Text Char"/>
    <w:basedOn w:val="DefaultParagraphFont"/>
    <w:link w:val="BalloonText"/>
    <w:uiPriority w:val="99"/>
    <w:semiHidden/>
    <w:rsid w:val="00EF1140"/>
    <w:rPr>
      <w:rFonts w:cs="Times New Roman"/>
      <w:sz w:val="18"/>
      <w:szCs w:val="18"/>
    </w:rPr>
  </w:style>
  <w:style w:type="character" w:styleId="FollowedHyperlink">
    <w:name w:val="FollowedHyperlink"/>
    <w:basedOn w:val="DefaultParagraphFont"/>
    <w:uiPriority w:val="99"/>
    <w:semiHidden/>
    <w:unhideWhenUsed/>
    <w:rsid w:val="00C446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652956">
      <w:bodyDiv w:val="1"/>
      <w:marLeft w:val="0"/>
      <w:marRight w:val="0"/>
      <w:marTop w:val="0"/>
      <w:marBottom w:val="0"/>
      <w:divBdr>
        <w:top w:val="none" w:sz="0" w:space="0" w:color="auto"/>
        <w:left w:val="none" w:sz="0" w:space="0" w:color="auto"/>
        <w:bottom w:val="none" w:sz="0" w:space="0" w:color="auto"/>
        <w:right w:val="none" w:sz="0" w:space="0" w:color="auto"/>
      </w:divBdr>
    </w:div>
    <w:div w:id="406852852">
      <w:bodyDiv w:val="1"/>
      <w:marLeft w:val="0"/>
      <w:marRight w:val="0"/>
      <w:marTop w:val="0"/>
      <w:marBottom w:val="0"/>
      <w:divBdr>
        <w:top w:val="none" w:sz="0" w:space="0" w:color="auto"/>
        <w:left w:val="none" w:sz="0" w:space="0" w:color="auto"/>
        <w:bottom w:val="none" w:sz="0" w:space="0" w:color="auto"/>
        <w:right w:val="none" w:sz="0" w:space="0" w:color="auto"/>
      </w:divBdr>
    </w:div>
    <w:div w:id="492335895">
      <w:bodyDiv w:val="1"/>
      <w:marLeft w:val="0"/>
      <w:marRight w:val="0"/>
      <w:marTop w:val="0"/>
      <w:marBottom w:val="0"/>
      <w:divBdr>
        <w:top w:val="none" w:sz="0" w:space="0" w:color="auto"/>
        <w:left w:val="none" w:sz="0" w:space="0" w:color="auto"/>
        <w:bottom w:val="none" w:sz="0" w:space="0" w:color="auto"/>
        <w:right w:val="none" w:sz="0" w:space="0" w:color="auto"/>
      </w:divBdr>
    </w:div>
    <w:div w:id="1018895206">
      <w:bodyDiv w:val="1"/>
      <w:marLeft w:val="0"/>
      <w:marRight w:val="0"/>
      <w:marTop w:val="0"/>
      <w:marBottom w:val="0"/>
      <w:divBdr>
        <w:top w:val="none" w:sz="0" w:space="0" w:color="auto"/>
        <w:left w:val="none" w:sz="0" w:space="0" w:color="auto"/>
        <w:bottom w:val="none" w:sz="0" w:space="0" w:color="auto"/>
        <w:right w:val="none" w:sz="0" w:space="0" w:color="auto"/>
      </w:divBdr>
    </w:div>
    <w:div w:id="1395543010">
      <w:bodyDiv w:val="1"/>
      <w:marLeft w:val="0"/>
      <w:marRight w:val="0"/>
      <w:marTop w:val="0"/>
      <w:marBottom w:val="0"/>
      <w:divBdr>
        <w:top w:val="none" w:sz="0" w:space="0" w:color="auto"/>
        <w:left w:val="none" w:sz="0" w:space="0" w:color="auto"/>
        <w:bottom w:val="none" w:sz="0" w:space="0" w:color="auto"/>
        <w:right w:val="none" w:sz="0" w:space="0" w:color="auto"/>
      </w:divBdr>
    </w:div>
    <w:div w:id="1719821887">
      <w:bodyDiv w:val="1"/>
      <w:marLeft w:val="0"/>
      <w:marRight w:val="0"/>
      <w:marTop w:val="0"/>
      <w:marBottom w:val="0"/>
      <w:divBdr>
        <w:top w:val="none" w:sz="0" w:space="0" w:color="auto"/>
        <w:left w:val="none" w:sz="0" w:space="0" w:color="auto"/>
        <w:bottom w:val="none" w:sz="0" w:space="0" w:color="auto"/>
        <w:right w:val="none" w:sz="0" w:space="0" w:color="auto"/>
      </w:divBdr>
    </w:div>
    <w:div w:id="1853180676">
      <w:bodyDiv w:val="1"/>
      <w:marLeft w:val="0"/>
      <w:marRight w:val="0"/>
      <w:marTop w:val="0"/>
      <w:marBottom w:val="0"/>
      <w:divBdr>
        <w:top w:val="none" w:sz="0" w:space="0" w:color="auto"/>
        <w:left w:val="none" w:sz="0" w:space="0" w:color="auto"/>
        <w:bottom w:val="none" w:sz="0" w:space="0" w:color="auto"/>
        <w:right w:val="none" w:sz="0" w:space="0" w:color="auto"/>
      </w:divBdr>
    </w:div>
    <w:div w:id="192691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utc.iath.virginia.edu/abolitn/abeslcat.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residency.ucsb.edu/documents/seventh-annual-message-2"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archives.gov/founding-docs/bill-of-rights-transcript" TargetMode="External"/><Relationship Id="rId4" Type="http://schemas.openxmlformats.org/officeDocument/2006/relationships/webSettings" Target="webSettings.xml"/><Relationship Id="rId9" Type="http://schemas.openxmlformats.org/officeDocument/2006/relationships/hyperlink" Target="https://postalmuseumblog.si.edu/2010/07/americas-first-direct-mail-campaign.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14</Pages>
  <Words>11833</Words>
  <Characters>67451</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Atkins</dc:creator>
  <cp:keywords/>
  <dc:description/>
  <cp:lastModifiedBy>Holly Atkins</cp:lastModifiedBy>
  <cp:revision>39</cp:revision>
  <dcterms:created xsi:type="dcterms:W3CDTF">2019-05-08T00:04:00Z</dcterms:created>
  <dcterms:modified xsi:type="dcterms:W3CDTF">2019-05-09T22:22:00Z</dcterms:modified>
</cp:coreProperties>
</file>