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34AE" w14:textId="77777777" w:rsidR="005673D0" w:rsidRDefault="005673D0" w:rsidP="00C5453E">
      <w:r w:rsidRPr="008E1C0F">
        <w:rPr>
          <w:noProof/>
          <w:sz w:val="14"/>
          <w:szCs w:val="14"/>
        </w:rPr>
        <mc:AlternateContent>
          <mc:Choice Requires="wps">
            <w:drawing>
              <wp:anchor distT="45720" distB="45720" distL="114300" distR="114300" simplePos="0" relativeHeight="251660288" behindDoc="1" locked="0" layoutInCell="1" allowOverlap="1" wp14:anchorId="0C7C1D6D" wp14:editId="295096B2">
                <wp:simplePos x="0" y="0"/>
                <wp:positionH relativeFrom="margin">
                  <wp:posOffset>3257550</wp:posOffset>
                </wp:positionH>
                <wp:positionV relativeFrom="paragraph">
                  <wp:posOffset>-419101</wp:posOffset>
                </wp:positionV>
                <wp:extent cx="3133725" cy="11715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171575"/>
                        </a:xfrm>
                        <a:prstGeom prst="rect">
                          <a:avLst/>
                        </a:prstGeom>
                        <a:solidFill>
                          <a:srgbClr val="FFFFFF"/>
                        </a:solidFill>
                        <a:ln w="9525">
                          <a:noFill/>
                          <a:miter lim="800000"/>
                          <a:headEnd/>
                          <a:tailEnd/>
                        </a:ln>
                      </wps:spPr>
                      <wps:txbx>
                        <w:txbxContent>
                          <w:p w14:paraId="43F5B48C" w14:textId="7BD34226" w:rsidR="005673D0" w:rsidRPr="005673D0" w:rsidRDefault="005673D0" w:rsidP="005673D0">
                            <w:pPr>
                              <w:pStyle w:val="NoSpacing"/>
                              <w:jc w:val="center"/>
                              <w:rPr>
                                <w:b/>
                                <w:bCs/>
                                <w:sz w:val="32"/>
                                <w:szCs w:val="32"/>
                              </w:rPr>
                            </w:pPr>
                            <w:r w:rsidRPr="005673D0">
                              <w:rPr>
                                <w:b/>
                                <w:bCs/>
                                <w:sz w:val="32"/>
                                <w:szCs w:val="32"/>
                              </w:rPr>
                              <w:t>Consent For Services</w:t>
                            </w:r>
                          </w:p>
                          <w:p w14:paraId="441C37A6" w14:textId="77777777" w:rsidR="005673D0" w:rsidRPr="003B1908" w:rsidRDefault="005673D0" w:rsidP="005673D0">
                            <w:pPr>
                              <w:pStyle w:val="NoSpacing"/>
                              <w:jc w:val="center"/>
                              <w:rPr>
                                <w:sz w:val="19"/>
                                <w:szCs w:val="19"/>
                              </w:rPr>
                            </w:pPr>
                            <w:r w:rsidRPr="003B1908">
                              <w:rPr>
                                <w:sz w:val="19"/>
                                <w:szCs w:val="19"/>
                              </w:rPr>
                              <w:t>Irwin Counseling Service, PLLC</w:t>
                            </w:r>
                          </w:p>
                          <w:p w14:paraId="2862CC42" w14:textId="77777777" w:rsidR="005673D0" w:rsidRPr="003B1908" w:rsidRDefault="005673D0" w:rsidP="005673D0">
                            <w:pPr>
                              <w:pStyle w:val="NoSpacing"/>
                              <w:jc w:val="center"/>
                              <w:rPr>
                                <w:sz w:val="19"/>
                                <w:szCs w:val="19"/>
                              </w:rPr>
                            </w:pPr>
                            <w:r w:rsidRPr="003B1908">
                              <w:rPr>
                                <w:sz w:val="19"/>
                                <w:szCs w:val="19"/>
                              </w:rPr>
                              <w:t>300 W. Washington Ave, Suite 210B</w:t>
                            </w:r>
                          </w:p>
                          <w:p w14:paraId="7142D6AA" w14:textId="3E0B623E" w:rsidR="005673D0" w:rsidRPr="003B1908" w:rsidRDefault="005673D0" w:rsidP="005673D0">
                            <w:pPr>
                              <w:pStyle w:val="NoSpacing"/>
                              <w:jc w:val="center"/>
                              <w:rPr>
                                <w:sz w:val="19"/>
                                <w:szCs w:val="19"/>
                              </w:rPr>
                            </w:pPr>
                            <w:r w:rsidRPr="003B1908">
                              <w:rPr>
                                <w:sz w:val="19"/>
                                <w:szCs w:val="19"/>
                              </w:rPr>
                              <w:t xml:space="preserve"> Jackson, MI 49201</w:t>
                            </w:r>
                          </w:p>
                          <w:p w14:paraId="1E827F91" w14:textId="19D13DA5" w:rsidR="005673D0" w:rsidRPr="003B1908" w:rsidRDefault="005673D0" w:rsidP="005673D0">
                            <w:pPr>
                              <w:pStyle w:val="NoSpacing"/>
                              <w:jc w:val="center"/>
                              <w:rPr>
                                <w:sz w:val="19"/>
                                <w:szCs w:val="19"/>
                              </w:rPr>
                            </w:pPr>
                            <w:r w:rsidRPr="003B1908">
                              <w:rPr>
                                <w:sz w:val="19"/>
                                <w:szCs w:val="19"/>
                              </w:rPr>
                              <w:t>(517) 344-0913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C1D6D" id="_x0000_t202" coordsize="21600,21600" o:spt="202" path="m,l,21600r21600,l21600,xe">
                <v:stroke joinstyle="miter"/>
                <v:path gradientshapeok="t" o:connecttype="rect"/>
              </v:shapetype>
              <v:shape id="Text Box 2" o:spid="_x0000_s1026" type="#_x0000_t202" style="position:absolute;margin-left:256.5pt;margin-top:-33pt;width:246.75pt;height:92.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" stroked="f">
                <v:textbox>
                  <w:txbxContent>
                    <w:p w14:paraId="43F5B48C" w14:textId="7BD34226" w:rsidR="005673D0" w:rsidRPr="005673D0" w:rsidRDefault="005673D0" w:rsidP="005673D0">
                      <w:pPr>
                        <w:pStyle w:val="NoSpacing"/>
                        <w:jc w:val="center"/>
                        <w:rPr>
                          <w:b/>
                          <w:bCs/>
                          <w:sz w:val="32"/>
                          <w:szCs w:val="32"/>
                        </w:rPr>
                      </w:pPr>
                      <w:r w:rsidRPr="005673D0">
                        <w:rPr>
                          <w:b/>
                          <w:bCs/>
                          <w:sz w:val="32"/>
                          <w:szCs w:val="32"/>
                        </w:rPr>
                        <w:t>Consent For Services</w:t>
                      </w:r>
                    </w:p>
                    <w:p w14:paraId="441C37A6" w14:textId="77777777" w:rsidR="005673D0" w:rsidRPr="003B1908" w:rsidRDefault="005673D0" w:rsidP="005673D0">
                      <w:pPr>
                        <w:pStyle w:val="NoSpacing"/>
                        <w:jc w:val="center"/>
                        <w:rPr>
                          <w:sz w:val="19"/>
                          <w:szCs w:val="19"/>
                        </w:rPr>
                      </w:pPr>
                      <w:r w:rsidRPr="003B1908">
                        <w:rPr>
                          <w:sz w:val="19"/>
                          <w:szCs w:val="19"/>
                        </w:rPr>
                        <w:t>Irwin Counseling Service, PLLC</w:t>
                      </w:r>
                    </w:p>
                    <w:p w14:paraId="2862CC42" w14:textId="77777777" w:rsidR="005673D0" w:rsidRPr="003B1908" w:rsidRDefault="005673D0" w:rsidP="005673D0">
                      <w:pPr>
                        <w:pStyle w:val="NoSpacing"/>
                        <w:jc w:val="center"/>
                        <w:rPr>
                          <w:sz w:val="19"/>
                          <w:szCs w:val="19"/>
                        </w:rPr>
                      </w:pPr>
                      <w:r w:rsidRPr="003B1908">
                        <w:rPr>
                          <w:sz w:val="19"/>
                          <w:szCs w:val="19"/>
                        </w:rPr>
                        <w:t>300 W. Washington Ave, Suite 210B</w:t>
                      </w:r>
                    </w:p>
                    <w:p w14:paraId="7142D6AA" w14:textId="3E0B623E" w:rsidR="005673D0" w:rsidRPr="003B1908" w:rsidRDefault="005673D0" w:rsidP="005673D0">
                      <w:pPr>
                        <w:pStyle w:val="NoSpacing"/>
                        <w:jc w:val="center"/>
                        <w:rPr>
                          <w:sz w:val="19"/>
                          <w:szCs w:val="19"/>
                        </w:rPr>
                      </w:pPr>
                      <w:r w:rsidRPr="003B1908">
                        <w:rPr>
                          <w:sz w:val="19"/>
                          <w:szCs w:val="19"/>
                        </w:rPr>
                        <w:t xml:space="preserve"> Jackson, MI 49201</w:t>
                      </w:r>
                    </w:p>
                    <w:p w14:paraId="1E827F91" w14:textId="19D13DA5" w:rsidR="005673D0" w:rsidRPr="003B1908" w:rsidRDefault="005673D0" w:rsidP="005673D0">
                      <w:pPr>
                        <w:pStyle w:val="NoSpacing"/>
                        <w:jc w:val="center"/>
                        <w:rPr>
                          <w:sz w:val="19"/>
                          <w:szCs w:val="19"/>
                        </w:rPr>
                      </w:pPr>
                      <w:r w:rsidRPr="003B1908">
                        <w:rPr>
                          <w:sz w:val="19"/>
                          <w:szCs w:val="19"/>
                        </w:rPr>
                        <w:t>(517) 344-0913</w:t>
                      </w:r>
                    </w:p>
                  </w:txbxContent>
                </v:textbox>
                <w10:wrap anchorx="margin"/>
              </v:shape>
            </w:pict>
          </mc:Fallback>
        </mc:AlternateContent>
      </w:r>
      <w:r w:rsidR="00C5453E">
        <w:rPr>
          <w:noProof/>
        </w:rPr>
        <w:drawing>
          <wp:anchor distT="0" distB="0" distL="114300" distR="114300" simplePos="0" relativeHeight="251658240" behindDoc="1" locked="0" layoutInCell="1" allowOverlap="1" wp14:anchorId="036842A8" wp14:editId="4B62F99A">
            <wp:simplePos x="0" y="0"/>
            <wp:positionH relativeFrom="margin">
              <wp:align>left</wp:align>
            </wp:positionH>
            <wp:positionV relativeFrom="paragraph">
              <wp:posOffset>-571500</wp:posOffset>
            </wp:positionV>
            <wp:extent cx="2709863" cy="1275229"/>
            <wp:effectExtent l="0" t="0" r="0" b="0"/>
            <wp:wrapNone/>
            <wp:docPr id="1" name="image1.png" descr="A black background with a butterfly&#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black background with a butterfly&#10;&#10;AI-generated content may be incorrect."/>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a:xfrm>
                      <a:off x="0" y="0"/>
                      <a:ext cx="2709863" cy="1275229"/>
                    </a:xfrm>
                    <a:prstGeom prst="rect">
                      <a:avLst/>
                    </a:prstGeom>
                    <a:ln/>
                  </pic:spPr>
                </pic:pic>
              </a:graphicData>
            </a:graphic>
          </wp:anchor>
        </w:drawing>
      </w:r>
      <w:r w:rsidR="00C5453E">
        <w:tab/>
      </w:r>
      <w:r w:rsidR="00C5453E">
        <w:tab/>
      </w:r>
      <w:r w:rsidR="00C5453E">
        <w:tab/>
      </w:r>
      <w:r w:rsidR="00C5453E">
        <w:tab/>
      </w:r>
      <w:r w:rsidR="00C5453E">
        <w:tab/>
      </w:r>
      <w:r w:rsidR="00C5453E">
        <w:tab/>
      </w:r>
    </w:p>
    <w:p w14:paraId="232D8D26" w14:textId="1A5EF204" w:rsidR="00C5453E" w:rsidRPr="005673D0" w:rsidRDefault="00C5453E" w:rsidP="00C5453E">
      <w:pPr>
        <w:rPr>
          <w:i/>
          <w:iCs/>
        </w:rPr>
      </w:pPr>
      <w:r>
        <w:tab/>
      </w:r>
    </w:p>
    <w:p w14:paraId="121223D2" w14:textId="0DAC60F0" w:rsidR="00C5453E" w:rsidRDefault="00000000" w:rsidP="00C5453E">
      <w:r>
        <w:pict w14:anchorId="3CABC858">
          <v:rect id="_x0000_i1025" style="width:0;height:1.5pt" o:hralign="center" o:hrstd="t" o:hr="t" fillcolor="#a0a0a0" stroked="f"/>
        </w:pict>
      </w:r>
    </w:p>
    <w:p w14:paraId="3015654D" w14:textId="77777777" w:rsidR="005673D0" w:rsidRDefault="005673D0" w:rsidP="005673D0">
      <w:r w:rsidRPr="006204F6">
        <w:t xml:space="preserve">This form is called a </w:t>
      </w:r>
      <w:r w:rsidRPr="009E78EB">
        <w:rPr>
          <w:b/>
          <w:bCs/>
        </w:rPr>
        <w:t>Consent for Services</w:t>
      </w:r>
      <w:r w:rsidRPr="006204F6">
        <w:t xml:space="preserve"> </w:t>
      </w:r>
      <w:r>
        <w:t>which is required to receive services</w:t>
      </w:r>
      <w:r w:rsidRPr="006204F6">
        <w:t xml:space="preserve"> at Irwin Counseling Service, PLLC. Your counselor ("Provider") has asked you to read and sign this Consent before you start therapy. Please review the information. If you have any questions, contact your Provider.</w:t>
      </w:r>
      <w:r w:rsidRPr="006204F6">
        <w:br/>
      </w:r>
      <w:r w:rsidRPr="006204F6">
        <w:br/>
      </w:r>
      <w:r w:rsidRPr="006204F6">
        <w:rPr>
          <w:b/>
          <w:bCs/>
          <w:u w:val="single"/>
        </w:rPr>
        <w:t>THE THERAPY PROCESS</w:t>
      </w:r>
      <w:r w:rsidRPr="006204F6">
        <w:br/>
        <w:t>Therapy is a collaborative process where you and your Provider will work together on equal footing to achieve goals that you define. This means that you will follow a defined process supported by scientific evidence, where you and your Provider have specific rights and responsibilities. Therapy generally shows positive outcomes for individuals who follow the process. Better outcomes are often associated with a good relationship between a client and their Provider. To foster the best possible relationship, it is important you understand as much about the process before deciding to commit.</w:t>
      </w:r>
      <w:r w:rsidRPr="006204F6">
        <w:br/>
      </w:r>
      <w:r w:rsidRPr="006204F6">
        <w:br/>
        <w:t>Therapy begins with the intake process. First, you will review your Provider's policies and procedures, talk about fees, identify emergency contacts, and decide if you want health insurance to pay your fees depending on your plan's benefits. Second, you will discuss what to expect during therapy, including the type of therapy, the length of treatment, and the risks and benefits. If your Provider is practicing under the supervision of another professional, your Provider will tell you about their supervision and the name of the supervising professional. Third, you will form a treatment plan, including the type of therapy, how often you will attend therapy, your short- and long-term goals, and the steps you will take to achieve them. Over time, you and your Provider may edit your treatment plan to be sure it describes your goals and steps you need to take. After intake, you will attend regular therapy sessions at your Provider's office or through video, called telehealth. Participation in therapy is voluntary - you can stop at any time. At some point, you will achieve your goals. At this time, you will review your progress, identify support that will help you maintain your progress, and discuss how to return to therapy if you need it in the future.</w:t>
      </w:r>
      <w:r w:rsidRPr="006204F6">
        <w:br/>
      </w:r>
    </w:p>
    <w:p w14:paraId="768E8104" w14:textId="5D12D0EE" w:rsidR="005673D0" w:rsidRDefault="003B1908" w:rsidP="005673D0">
      <w:r w:rsidRPr="003B1908">
        <w:t xml:space="preserve">Regular attendance is expected, and missing </w:t>
      </w:r>
      <w:r>
        <w:t>two</w:t>
      </w:r>
      <w:r w:rsidRPr="003B1908">
        <w:t xml:space="preserve"> consecutive appointments may result in discharge from care. </w:t>
      </w:r>
      <w:r>
        <w:t xml:space="preserve">If you call or message to cancel your appointment, this will not count as a missed appointment. </w:t>
      </w:r>
      <w:r w:rsidRPr="003B1908">
        <w:t>Discharge decisions may vary based on individual circumstances and are ultimately at the provider’s discretion</w:t>
      </w:r>
      <w:r>
        <w:t>.</w:t>
      </w:r>
    </w:p>
    <w:p w14:paraId="7AFBBEA8" w14:textId="77777777" w:rsidR="005673D0" w:rsidRDefault="005673D0" w:rsidP="005673D0"/>
    <w:p w14:paraId="3FDC0F0B" w14:textId="77777777" w:rsidR="005673D0" w:rsidRDefault="005673D0" w:rsidP="005673D0">
      <w:pPr>
        <w:spacing w:after="0"/>
      </w:pPr>
      <w:r w:rsidRPr="00E93FE4">
        <w:rPr>
          <w:b/>
          <w:bCs/>
          <w:u w:val="single"/>
        </w:rPr>
        <w:t>FEES AND PAYMENT FOR SERVICES</w:t>
      </w:r>
      <w:r w:rsidRPr="00E93FE4">
        <w:br/>
        <w:t>You may be required to pay for services and other fees. You will be provided with these costs prior to beginning therapy and should confirm with your insurance if part or all these fees may be covered. Fee for service is $250 per initial assessment and $205 per therapy session</w:t>
      </w:r>
      <w:r>
        <w:t xml:space="preserve"> – this can be paid directly or billed to your insurance</w:t>
      </w:r>
      <w:r w:rsidRPr="00E93FE4">
        <w:t xml:space="preserve">. </w:t>
      </w:r>
      <w:r>
        <w:t>We</w:t>
      </w:r>
      <w:r w:rsidRPr="00E93FE4">
        <w:t xml:space="preserve"> also offer a sliding scale based on income or client ability to pay. </w:t>
      </w:r>
      <w:r w:rsidRPr="00E93FE4">
        <w:rPr>
          <w:b/>
          <w:bCs/>
          <w:u w:val="single"/>
        </w:rPr>
        <w:t>Session fees</w:t>
      </w:r>
      <w:r>
        <w:rPr>
          <w:b/>
          <w:bCs/>
          <w:u w:val="single"/>
        </w:rPr>
        <w:t>, deductibles</w:t>
      </w:r>
      <w:r w:rsidRPr="00E93FE4">
        <w:rPr>
          <w:b/>
          <w:bCs/>
          <w:u w:val="single"/>
        </w:rPr>
        <w:t xml:space="preserve"> and co-payments are due at the </w:t>
      </w:r>
      <w:r>
        <w:rPr>
          <w:b/>
          <w:bCs/>
          <w:u w:val="single"/>
        </w:rPr>
        <w:t>beginning</w:t>
      </w:r>
      <w:r w:rsidRPr="00E93FE4">
        <w:rPr>
          <w:b/>
          <w:bCs/>
          <w:u w:val="single"/>
        </w:rPr>
        <w:t xml:space="preserve"> of every session.</w:t>
      </w:r>
      <w:r w:rsidRPr="00E93FE4">
        <w:rPr>
          <w:b/>
          <w:bCs/>
          <w:i/>
          <w:iCs/>
        </w:rPr>
        <w:t> </w:t>
      </w:r>
      <w:r w:rsidRPr="00E93FE4">
        <w:t>You should also know about the following:</w:t>
      </w:r>
      <w:r w:rsidRPr="00E93FE4">
        <w:br/>
        <w:t>• No-Show and Late Cancellation Fees $50 (only private insurance or private pay clients)</w:t>
      </w:r>
      <w:r w:rsidRPr="00E93FE4">
        <w:br/>
        <w:t xml:space="preserve">• If you are unable to attend </w:t>
      </w:r>
      <w:r>
        <w:t xml:space="preserve">your scheduled </w:t>
      </w:r>
      <w:r w:rsidRPr="00E93FE4">
        <w:t>therapy</w:t>
      </w:r>
      <w:r>
        <w:t xml:space="preserve"> appointment</w:t>
      </w:r>
      <w:r w:rsidRPr="00E93FE4">
        <w:t xml:space="preserve">, you must contact your Provider before your session. Otherwise, you may be subject to </w:t>
      </w:r>
      <w:r>
        <w:t>a $50 fee, outlined below</w:t>
      </w:r>
      <w:r w:rsidRPr="00E93FE4">
        <w:t>. Insurance does not cover these fees.</w:t>
      </w:r>
    </w:p>
    <w:p w14:paraId="7839EB30" w14:textId="02D9223B" w:rsidR="005673D0" w:rsidRPr="00E93FE4" w:rsidRDefault="005673D0" w:rsidP="005673D0">
      <w:r w:rsidRPr="00E93FE4">
        <w:br/>
      </w:r>
      <w:r w:rsidR="00AC19E7">
        <w:rPr>
          <w:b/>
          <w:bCs/>
          <w:u w:val="single"/>
        </w:rPr>
        <w:t>BALANCE ACCRUAL</w:t>
      </w:r>
      <w:r w:rsidRPr="00E93FE4">
        <w:br/>
        <w:t>Full payment is due at the time of your session. If you are unable to pay, tell your Provider. Your Provider may offer payment plans or a sliding scale. If not, your Provider may refer you to other low- or no-cost services. Any balance due will continue to be due until paid in full. If necessary, your balance may be sent to a collections service.</w:t>
      </w:r>
    </w:p>
    <w:p w14:paraId="61009A9B" w14:textId="172E57D1" w:rsidR="005673D0" w:rsidRDefault="00AC19E7" w:rsidP="005673D0">
      <w:pPr>
        <w:spacing w:after="0" w:line="240" w:lineRule="auto"/>
        <w:rPr>
          <w:b/>
          <w:bCs/>
          <w:u w:val="single"/>
        </w:rPr>
      </w:pPr>
      <w:r>
        <w:rPr>
          <w:b/>
          <w:bCs/>
          <w:u w:val="single"/>
        </w:rPr>
        <w:t>ADMINISTRATIVE FEES</w:t>
      </w:r>
    </w:p>
    <w:p w14:paraId="6F38040C" w14:textId="27676F3B" w:rsidR="005673D0" w:rsidRDefault="005673D0" w:rsidP="005673D0">
      <w:pPr>
        <w:spacing w:after="0" w:line="240" w:lineRule="auto"/>
      </w:pPr>
      <w:r w:rsidRPr="00E93FE4">
        <w:t>Your Provider may charge an hourly rate of $205 administrative fees for writing a letter or report at your request; consulting with another healthcare provider or other professional outside of normal case management practices; or for preparation, travel, and attendance at court appearance</w:t>
      </w:r>
      <w:r w:rsidR="003B1908">
        <w:t>s</w:t>
      </w:r>
      <w:r w:rsidRPr="00E93FE4">
        <w:t>. Payment is due in advance.</w:t>
      </w:r>
    </w:p>
    <w:p w14:paraId="53003519" w14:textId="77777777" w:rsidR="005673D0" w:rsidRDefault="005673D0" w:rsidP="005673D0">
      <w:pPr>
        <w:spacing w:after="0" w:line="240" w:lineRule="auto"/>
      </w:pPr>
    </w:p>
    <w:p w14:paraId="4A01D9EC" w14:textId="7E3207A5" w:rsidR="005673D0" w:rsidRPr="0024285D" w:rsidRDefault="00AC19E7" w:rsidP="005673D0">
      <w:pPr>
        <w:spacing w:after="0"/>
        <w:rPr>
          <w:b/>
          <w:bCs/>
          <w:u w:val="single"/>
        </w:rPr>
      </w:pPr>
      <w:r>
        <w:rPr>
          <w:b/>
          <w:bCs/>
          <w:u w:val="single"/>
        </w:rPr>
        <w:t>COURT APPEARANCES</w:t>
      </w:r>
    </w:p>
    <w:p w14:paraId="44120468" w14:textId="70EE9FD4" w:rsidR="005673D0" w:rsidRDefault="005673D0" w:rsidP="005673D0">
      <w:r>
        <w:t>The only time we will agree to a court appearance is if we are subpoenaed by the court and then the following applies: reports and court appearances require professional time for which we charge a rate of $175 per hour, payable in advance in form of a retainer fee, to account for time spen</w:t>
      </w:r>
      <w:r w:rsidR="003B1908">
        <w:t>t</w:t>
      </w:r>
      <w:r>
        <w:t xml:space="preserve"> preparing for the court appearance, time spent in court, and time spent commuting to and from the courthouse. Court letters are $50 per letter. These fees are applied to the party/individual that subpoenas Irwin Counseling Service.</w:t>
      </w:r>
    </w:p>
    <w:p w14:paraId="023FE32D" w14:textId="69283E02" w:rsidR="005673D0" w:rsidRDefault="00AC19E7" w:rsidP="005673D0">
      <w:pPr>
        <w:spacing w:after="0"/>
      </w:pPr>
      <w:r>
        <w:rPr>
          <w:b/>
          <w:bCs/>
          <w:u w:val="single"/>
        </w:rPr>
        <w:t>INSURANCE BENEFITS</w:t>
      </w:r>
      <w:r w:rsidR="005673D0" w:rsidRPr="00E93FE4">
        <w:br/>
        <w:t>Before starting therapy, you should confirm with your insurance company if:</w:t>
      </w:r>
      <w:r w:rsidR="005673D0" w:rsidRPr="00E93FE4">
        <w:br/>
        <w:t>• Your benefits cover the type of therapy you will receive;</w:t>
      </w:r>
      <w:r w:rsidR="005673D0" w:rsidRPr="00E93FE4">
        <w:br/>
        <w:t>• Your benefits cover in-person and telehealth sessions;</w:t>
      </w:r>
      <w:r w:rsidR="005673D0" w:rsidRPr="00E93FE4">
        <w:br/>
        <w:t>• You may be responsible for any portion of the payment; and</w:t>
      </w:r>
      <w:r w:rsidR="005673D0" w:rsidRPr="00E93FE4">
        <w:br/>
        <w:t>• Your Provider is in-network or out-of-network.</w:t>
      </w:r>
      <w:r w:rsidR="005673D0" w:rsidRPr="00E93FE4">
        <w:br/>
      </w:r>
      <w:r w:rsidR="005673D0" w:rsidRPr="00E93FE4">
        <w:lastRenderedPageBreak/>
        <w:t xml:space="preserve">• Sharing Information with Insurance Companies </w:t>
      </w:r>
      <w:r w:rsidR="005673D0">
        <w:t>may be</w:t>
      </w:r>
      <w:r w:rsidR="005673D0" w:rsidRPr="00E93FE4">
        <w:t xml:space="preserve"> requested per a chart review by the insurance company.</w:t>
      </w:r>
      <w:r w:rsidR="005673D0" w:rsidRPr="00E93FE4">
        <w:br/>
        <w:t>• If you choose to use insurance benefits to pay for services, you will be required to share personal information with your insurance company. Insurance companies keep personal information confidential unless they must share to act on your behalf, comply with federal or state law, or complete administrative work.</w:t>
      </w:r>
    </w:p>
    <w:p w14:paraId="791A6E1D" w14:textId="49B7A7E9" w:rsidR="00F549EB" w:rsidRPr="00E93FE4" w:rsidRDefault="005673D0" w:rsidP="005673D0">
      <w:r w:rsidRPr="00E93FE4">
        <w:br/>
      </w:r>
      <w:r w:rsidR="003423BA">
        <w:rPr>
          <w:b/>
          <w:bCs/>
          <w:u w:val="single"/>
        </w:rPr>
        <w:t>COVERED AND NON-COVERED SERVICES</w:t>
      </w:r>
      <w:r w:rsidRPr="00E93FE4">
        <w:br/>
        <w:t>• When your Provider is in-network, they have a contract with your insurance company. Your insurance plan may cover all or part of the cost of therapy. You are responsible for any part of this cost not covered by insurance, such as deductibles, copays, or coinsurance. You may also be responsible for any services not covered by your insurance.</w:t>
      </w:r>
      <w:r w:rsidRPr="00E93FE4">
        <w:br/>
        <w:t>• When your Provider is out-of-network, they do not have a contract with your insurance company. You can still choose to see your Provider; however, all fees will be due at the time of your session to your Provider. Your Provider will tell you if they can help you file for reimbursement from your insurance company. If your insurance company decides that they will not reimburse you, you are still responsible for the full amount.</w:t>
      </w:r>
      <w:r w:rsidRPr="00E93FE4">
        <w:br/>
      </w:r>
      <w:r w:rsidRPr="00F549EB">
        <w:rPr>
          <w:u w:val="single"/>
        </w:rPr>
        <w:t>Payment Methods</w:t>
      </w:r>
      <w:r w:rsidRPr="00E93FE4">
        <w:br/>
        <w:t>• The practice requires that you keep a valid credit or debit card on file. This card will be charged for the amount due at the time of service and for any fees you may accrue unless other arrangements have been made with the practice ahead of time. It is your responsibility to keep this information up to date, including providing new information if the card information changes or the account has insufficient funds to cover these charges.</w:t>
      </w:r>
      <w:r w:rsidR="00F549EB">
        <w:t xml:space="preserve"> You can also pay using cash or checks</w:t>
      </w:r>
      <w:r w:rsidR="00D17A47">
        <w:t>. P</w:t>
      </w:r>
      <w:r w:rsidR="00F549EB">
        <w:t xml:space="preserve">lease bring exact change for cash </w:t>
      </w:r>
      <w:r w:rsidR="00D17A47">
        <w:t>payments and please make checks out to Irwin Counseling Service.</w:t>
      </w:r>
    </w:p>
    <w:p w14:paraId="1E052C60" w14:textId="77777777" w:rsidR="005673D0" w:rsidRDefault="005673D0" w:rsidP="005673D0">
      <w:pPr>
        <w:spacing w:after="0"/>
        <w:rPr>
          <w:b/>
          <w:bCs/>
          <w:u w:val="single"/>
        </w:rPr>
      </w:pPr>
      <w:r>
        <w:rPr>
          <w:b/>
          <w:bCs/>
          <w:u w:val="single"/>
        </w:rPr>
        <w:t>ILLNESS</w:t>
      </w:r>
    </w:p>
    <w:p w14:paraId="66AE101F" w14:textId="4636ED63" w:rsidR="00D17A47" w:rsidRDefault="005673D0" w:rsidP="005673D0">
      <w:pPr>
        <w:spacing w:after="0"/>
      </w:pPr>
      <w:r w:rsidRPr="006204F6">
        <w:t>If you are experiencing symptoms</w:t>
      </w:r>
      <w:r>
        <w:t xml:space="preserve"> of illness</w:t>
      </w:r>
      <w:r w:rsidRPr="006204F6">
        <w:t>,</w:t>
      </w:r>
      <w:r>
        <w:t xml:space="preserve"> or if you are feeling unwell,</w:t>
      </w:r>
      <w:r w:rsidRPr="006204F6">
        <w:t xml:space="preserve"> you can switch to a telehealth appointment or cancel. If you need to cancel, you will not be charged a late cancellation fee</w:t>
      </w:r>
      <w:r>
        <w:t xml:space="preserve"> – please make our staff aware of cancellations at your earliest convenience, so we may open that time to others.</w:t>
      </w:r>
      <w:r w:rsidRPr="006204F6">
        <w:br/>
      </w:r>
      <w:r w:rsidRPr="006204F6">
        <w:br/>
      </w:r>
      <w:r w:rsidRPr="006204F6">
        <w:rPr>
          <w:b/>
          <w:bCs/>
          <w:u w:val="single"/>
        </w:rPr>
        <w:t>TELEHEALTH SERVICES</w:t>
      </w:r>
      <w:r w:rsidRPr="006204F6">
        <w:br/>
        <w:t>To use telehealth, you need an internet connection and a device with a camera for video. Your Provider can explain how to log in and use any features on the telehealth platform. If telehealth is not a good fit for you, your Provider will recommend a different option. There are some risks and benefits to using telehealth:</w:t>
      </w:r>
    </w:p>
    <w:p w14:paraId="47841B7E" w14:textId="63AD1278" w:rsidR="005673D0" w:rsidRDefault="005673D0" w:rsidP="005673D0">
      <w:pPr>
        <w:spacing w:after="0"/>
      </w:pPr>
      <w:r w:rsidRPr="006B1989">
        <w:rPr>
          <w:u w:val="single"/>
        </w:rPr>
        <w:lastRenderedPageBreak/>
        <w:t>Risks</w:t>
      </w:r>
      <w:r w:rsidRPr="006204F6">
        <w:br/>
        <w:t>• Privacy and Confidentiality</w:t>
      </w:r>
      <w:r w:rsidR="00840EB9">
        <w:t>:</w:t>
      </w:r>
      <w:r w:rsidRPr="006204F6">
        <w:t xml:space="preserve"> You may be asked to share personal information with the telehealth platform to create an account, such as your name, date of birth, location, and contact information. Your Provider carefully vests any telehealth platform to ensure your information is secured to the appropriate standards.</w:t>
      </w:r>
      <w:r w:rsidRPr="006204F6">
        <w:br/>
        <w:t>• Technology</w:t>
      </w:r>
      <w:r w:rsidR="00840EB9">
        <w:t>:</w:t>
      </w:r>
      <w:r w:rsidRPr="006204F6">
        <w:t xml:space="preserve"> At times, you could have problems with your internet, video, or sound. If you have issues during a session, your Provider will follow the backup plan that you agree to prior to sessions.</w:t>
      </w:r>
      <w:r w:rsidRPr="006204F6">
        <w:br/>
        <w:t>• Crisis Management</w:t>
      </w:r>
      <w:r w:rsidR="00840EB9">
        <w:t>:</w:t>
      </w:r>
      <w:r w:rsidRPr="006204F6">
        <w:t xml:space="preserve"> It may be difficult for your Provider to provide immediate support during an emergency or crisis. You and your Provider will develop a plan for emergencies or crises, such as choosing a local emergency contact, creating a communication plan, and making a list of local support, emergency, and crisis services.</w:t>
      </w:r>
      <w:r w:rsidRPr="006204F6">
        <w:br/>
      </w:r>
      <w:r w:rsidRPr="006B1989">
        <w:rPr>
          <w:u w:val="single"/>
        </w:rPr>
        <w:t>Benefits</w:t>
      </w:r>
      <w:r w:rsidRPr="006204F6">
        <w:br/>
        <w:t>• Flexibility</w:t>
      </w:r>
      <w:r w:rsidR="00840EB9">
        <w:t>:</w:t>
      </w:r>
      <w:r w:rsidRPr="006204F6">
        <w:t xml:space="preserve"> You can attend therapy wherever is convenient for you</w:t>
      </w:r>
      <w:r>
        <w:t xml:space="preserve">. </w:t>
      </w:r>
    </w:p>
    <w:p w14:paraId="321F8897" w14:textId="03075560" w:rsidR="005673D0" w:rsidRDefault="005673D0" w:rsidP="005673D0">
      <w:pPr>
        <w:spacing w:after="0"/>
      </w:pPr>
      <w:r w:rsidRPr="006204F6">
        <w:t>• Ease of Access</w:t>
      </w:r>
      <w:r w:rsidR="00840EB9">
        <w:t>:</w:t>
      </w:r>
      <w:r w:rsidRPr="006204F6">
        <w:t xml:space="preserve"> You can attend telehealth sessions without worrying about traveling, meaning you can schedule less time per session and can attend therapy during inclement weather or illness.</w:t>
      </w:r>
      <w:r w:rsidR="00D17A47">
        <w:t xml:space="preserve"> </w:t>
      </w:r>
    </w:p>
    <w:p w14:paraId="7EC7DE32" w14:textId="77777777" w:rsidR="005673D0" w:rsidRDefault="005673D0" w:rsidP="005673D0">
      <w:pPr>
        <w:spacing w:after="0"/>
      </w:pPr>
    </w:p>
    <w:p w14:paraId="54A42018" w14:textId="42C32071" w:rsidR="005673D0" w:rsidRDefault="005673D0" w:rsidP="005673D0">
      <w:pPr>
        <w:spacing w:after="0"/>
      </w:pPr>
      <w:r>
        <w:rPr>
          <w:u w:val="single"/>
        </w:rPr>
        <w:t xml:space="preserve">Telehealth Expectations and </w:t>
      </w:r>
      <w:r w:rsidRPr="00C877EC">
        <w:rPr>
          <w:u w:val="single"/>
        </w:rPr>
        <w:t>Recommendations</w:t>
      </w:r>
      <w:r w:rsidRPr="006204F6">
        <w:br/>
        <w:t>• Make sure that other people cannot hear your conversation or see your screen during sessions.</w:t>
      </w:r>
      <w:r>
        <w:t xml:space="preserve"> You cannot be in a public setting during a telehealth </w:t>
      </w:r>
      <w:r w:rsidR="00C96ED9">
        <w:t>session;</w:t>
      </w:r>
      <w:r>
        <w:t xml:space="preserve"> it must be private.</w:t>
      </w:r>
      <w:r w:rsidRPr="006204F6">
        <w:br/>
        <w:t>• Do not use video or audio to record your session unless you ask your Provider for their permission in advance.</w:t>
      </w:r>
      <w:r w:rsidRPr="006204F6">
        <w:br/>
        <w:t>• Make sure to let your Provider know if you are not in your usual location before starting any telehealth session.</w:t>
      </w:r>
    </w:p>
    <w:p w14:paraId="37702358" w14:textId="77777777" w:rsidR="005673D0" w:rsidRDefault="005673D0" w:rsidP="005673D0">
      <w:pPr>
        <w:spacing w:after="0"/>
      </w:pPr>
      <w:r w:rsidRPr="006204F6">
        <w:t xml:space="preserve">• </w:t>
      </w:r>
      <w:r>
        <w:t xml:space="preserve">You </w:t>
      </w:r>
      <w:r w:rsidRPr="00876527">
        <w:rPr>
          <w:b/>
          <w:bCs/>
          <w:u w:val="single"/>
        </w:rPr>
        <w:t>cannot</w:t>
      </w:r>
      <w:r>
        <w:t xml:space="preserve"> drive a vehicle or be in a moving vehicle while having a telehealth session. </w:t>
      </w:r>
    </w:p>
    <w:p w14:paraId="6408ACA6" w14:textId="4491C05C" w:rsidR="005673D0" w:rsidRDefault="005673D0" w:rsidP="005673D0">
      <w:pPr>
        <w:spacing w:after="0"/>
      </w:pPr>
      <w:r w:rsidRPr="006204F6">
        <w:br/>
      </w:r>
      <w:r w:rsidRPr="006204F6">
        <w:rPr>
          <w:b/>
          <w:bCs/>
          <w:u w:val="single"/>
        </w:rPr>
        <w:t>CONFIDENTIALITY</w:t>
      </w:r>
      <w:r w:rsidRPr="006204F6">
        <w:br/>
        <w:t>Your Provider will not disclose your personal information without your permission unless required by law. If your Provider must disclose your personal information without your permission, your Provider will only disclose the minimum necessary to satisfy the obligation. Furthermore, your provider will not disclose your personal information shared without your permission unless by law when therapy involves a child. Both parents and/or caregivers have confidentiality of information shared with your provider. It is the providers’ responsibility to secure that information in a separate file and only allow them to share information with written permission from the parent or caregiver. However, there are a few exceptions</w:t>
      </w:r>
      <w:r w:rsidR="007308BA">
        <w:t>:</w:t>
      </w:r>
      <w:r w:rsidRPr="006204F6">
        <w:br/>
        <w:t>• Your Provider may speak to other healthcare providers involved in your care.</w:t>
      </w:r>
      <w:r w:rsidRPr="006204F6">
        <w:br/>
      </w:r>
      <w:r w:rsidRPr="006204F6">
        <w:lastRenderedPageBreak/>
        <w:t>• Your Provider may speak to emergency personnel.</w:t>
      </w:r>
      <w:r w:rsidRPr="006204F6">
        <w:br/>
        <w:t>• If you report that another healthcare provider is engaging in inappropriate behavior, your Provider may be required to report this information to the appropriate licensing board. Your Provider will discuss making this report with you first and will only share the minimum information needed while making a report. If your Provider must share your personal information without getting your permission first, they will only share the minimum information needed. There are a few times that your Provider may not keep your personal information confidential.</w:t>
      </w:r>
      <w:r w:rsidRPr="006204F6">
        <w:br/>
        <w:t>• If your Provider believes there is a specific, credible threat of harm to someone else, they may be required by law or may make their own decision about whether to warn the other person and notify law enforcement. The term specific, credible threat is defined by state law. Your Provider can explain more if you have questions.</w:t>
      </w:r>
      <w:r w:rsidRPr="006204F6">
        <w:br/>
        <w:t>• If your Provider has reason to believe a minor or elderly individual is a victim of abuse or neglect, they are required by law to contact the appropriate authorities.</w:t>
      </w:r>
      <w:r w:rsidRPr="006204F6">
        <w:br/>
        <w:t>• If your Provider believes that you are at imminent risk of harming yourself, they may contact law enforcement or other crisis services. However, before contacting emergency or crisis services, your Provider will work with you to discuss other options to keep you safe.</w:t>
      </w:r>
      <w:r w:rsidRPr="006204F6">
        <w:br/>
      </w:r>
      <w:r w:rsidRPr="006204F6">
        <w:br/>
      </w:r>
      <w:r w:rsidRPr="006204F6">
        <w:rPr>
          <w:b/>
          <w:bCs/>
          <w:u w:val="single"/>
        </w:rPr>
        <w:t>RECORD KEEPING</w:t>
      </w:r>
      <w:r w:rsidRPr="006204F6">
        <w:br/>
        <w:t xml:space="preserve">Your Provider is required to keep records about your treatment. These records help ensure the quality and continuity of your care, as well as provide evidence that the services you receive meet the appropriate standards of care. Your records are maintained in an electronic health record provided by TherapyNotes. TherapyNotes has several safety features to protect your personal information, including advanced encryption techniques to make your personal information difficult to decode, firewalls to prevent unauthorized access, and a team of professionals monitoring the system for suspicious activity. TherapyNotes keeps records of all </w:t>
      </w:r>
      <w:proofErr w:type="gramStart"/>
      <w:r w:rsidRPr="006204F6">
        <w:t>log-ins</w:t>
      </w:r>
      <w:proofErr w:type="gramEnd"/>
      <w:r w:rsidRPr="006204F6">
        <w:t xml:space="preserve"> and actions within the system.</w:t>
      </w:r>
      <w:r w:rsidRPr="006204F6">
        <w:br/>
      </w:r>
      <w:r w:rsidRPr="006204F6">
        <w:br/>
      </w:r>
      <w:r w:rsidRPr="006204F6">
        <w:rPr>
          <w:b/>
          <w:bCs/>
          <w:u w:val="single"/>
        </w:rPr>
        <w:t>COMMUNICATION</w:t>
      </w:r>
      <w:r w:rsidRPr="006204F6">
        <w:br/>
        <w:t>You decide how to communicate with your Provider outside of your sessions. You have several options:</w:t>
      </w:r>
      <w:r w:rsidRPr="006204F6">
        <w:br/>
        <w:t xml:space="preserve">• </w:t>
      </w:r>
      <w:r w:rsidRPr="00401421">
        <w:rPr>
          <w:u w:val="single"/>
        </w:rPr>
        <w:t>Texting and email are not secure methods of communication and should not be used to communicate personal information</w:t>
      </w:r>
      <w:r w:rsidRPr="006204F6">
        <w:t>. You may choose to receive appointment reminders via text message or email. You should carefully consider who may have access to your text messages or emails before choosing to communicate via either method.</w:t>
      </w:r>
      <w:r w:rsidRPr="006204F6">
        <w:br/>
        <w:t xml:space="preserve">• </w:t>
      </w:r>
      <w:r w:rsidRPr="008C14A2">
        <w:rPr>
          <w:u w:val="single"/>
        </w:rPr>
        <w:t>Secure Communication through the portal messaging service is confidential.</w:t>
      </w:r>
      <w:r w:rsidRPr="006204F6">
        <w:t xml:space="preserve"> However, whoever is assigned and/or office administration/supervisor have access to your messages. So be aware that personal information will be seen by them. It is recommended </w:t>
      </w:r>
      <w:r w:rsidRPr="006204F6">
        <w:lastRenderedPageBreak/>
        <w:t>to communicate non-confidential information through the messaging system such as rescheduling appointments or billing concerns.</w:t>
      </w:r>
      <w:r w:rsidRPr="006204F6">
        <w:br/>
        <w:t>• Secure communications are the best way to communicate personal information, though no method is entirely without risk. Your Provider will discuss options available to you. If you decide to be contacted via non-secure methods, your Provider will document this in your record.</w:t>
      </w:r>
      <w:r w:rsidRPr="006204F6">
        <w:br/>
      </w:r>
      <w:r w:rsidR="003423BA">
        <w:rPr>
          <w:b/>
          <w:bCs/>
          <w:u w:val="single"/>
        </w:rPr>
        <w:t>SOCIAL MEDIA / REVIEW WEBSITES</w:t>
      </w:r>
      <w:r w:rsidRPr="006204F6">
        <w:br/>
        <w:t xml:space="preserve">• If you try to communicate with your Provider via these methods, they will not respond. This includes any form of friend or contact </w:t>
      </w:r>
      <w:proofErr w:type="gramStart"/>
      <w:r w:rsidRPr="006204F6">
        <w:t xml:space="preserve">request, </w:t>
      </w:r>
      <w:r>
        <w:t>@</w:t>
      </w:r>
      <w:proofErr w:type="gramEnd"/>
      <w:r w:rsidRPr="006204F6">
        <w:t>mention, direct message, wall post, and so on. This is to protect your confidentiality and ensure appropriate boundaries in therapy.</w:t>
      </w:r>
      <w:r w:rsidRPr="006204F6">
        <w:br/>
        <w:t xml:space="preserve">• Your provider may publish content on various social media websites or blogs. There is no expectation that you will follow, comment on, or otherwise engage with any content. If you do choose to follow your Provider on any platform, they will not follow </w:t>
      </w:r>
      <w:proofErr w:type="gramStart"/>
      <w:r w:rsidRPr="006204F6">
        <w:t>you</w:t>
      </w:r>
      <w:proofErr w:type="gramEnd"/>
      <w:r w:rsidRPr="006204F6">
        <w:t xml:space="preserve"> back.</w:t>
      </w:r>
      <w:r w:rsidRPr="006204F6">
        <w:br/>
        <w:t>• If you see your Provider on any form of review website, it is not a solicitation for a review. Many such sites scrape business listings and may automatically include your Provider. If you choose to leave a review of your Provider on any website, they will not respond. While you are always free to express yourself in the manner you choose, please be aware of the potential impact on your confidentiality prior to leaving a review. It is often impossible to remove reviews later, and some sites aggregate reviews from several platforms leading to your review appearing other places without your knowledge.</w:t>
      </w:r>
      <w:r w:rsidRPr="006204F6">
        <w:br/>
      </w:r>
    </w:p>
    <w:p w14:paraId="3BD459A9" w14:textId="42C9DDCE" w:rsidR="005673D0" w:rsidRPr="003F3F38" w:rsidRDefault="003423BA" w:rsidP="005673D0">
      <w:pPr>
        <w:spacing w:after="0"/>
        <w:rPr>
          <w:b/>
          <w:bCs/>
          <w:u w:val="single"/>
        </w:rPr>
      </w:pPr>
      <w:r>
        <w:rPr>
          <w:b/>
          <w:bCs/>
          <w:u w:val="single"/>
        </w:rPr>
        <w:t>CUSTODY</w:t>
      </w:r>
    </w:p>
    <w:p w14:paraId="5C807DD0" w14:textId="77777777" w:rsidR="005673D0" w:rsidRDefault="005673D0" w:rsidP="005673D0">
      <w:pPr>
        <w:spacing w:after="0"/>
      </w:pPr>
      <w:r w:rsidRPr="00620174">
        <w:t xml:space="preserve">For youth under age 18, </w:t>
      </w:r>
      <w:r>
        <w:t xml:space="preserve">we required signed consent from all parents or legal guardians prior to intake. We require </w:t>
      </w:r>
      <w:r w:rsidRPr="00620174">
        <w:t>copies of all legal guardians’ driver's license or government identification</w:t>
      </w:r>
      <w:r>
        <w:t xml:space="preserve"> on file</w:t>
      </w:r>
      <w:r w:rsidRPr="00620174">
        <w:t xml:space="preserve">. For families with custody agreements, </w:t>
      </w:r>
      <w:r>
        <w:t>we require</w:t>
      </w:r>
      <w:r w:rsidRPr="00620174">
        <w:t xml:space="preserve"> copies of the legal documentation</w:t>
      </w:r>
      <w:r>
        <w:t xml:space="preserve"> prior</w:t>
      </w:r>
      <w:r w:rsidRPr="00620174">
        <w:t xml:space="preserve"> to the first appointment.</w:t>
      </w:r>
      <w:r>
        <w:t xml:space="preserve"> If a minor arrives at their intake and we do not have signed consent from all guardians, or proper documentation, we will reschedule.</w:t>
      </w:r>
    </w:p>
    <w:p w14:paraId="48677119" w14:textId="77777777" w:rsidR="005673D0" w:rsidRDefault="005673D0" w:rsidP="005673D0">
      <w:pPr>
        <w:spacing w:after="0"/>
      </w:pPr>
    </w:p>
    <w:p w14:paraId="436AB26F" w14:textId="342D0491" w:rsidR="005673D0" w:rsidRPr="005A04A8" w:rsidRDefault="003423BA" w:rsidP="005673D0">
      <w:pPr>
        <w:spacing w:after="0"/>
        <w:rPr>
          <w:b/>
          <w:bCs/>
          <w:u w:val="single"/>
        </w:rPr>
      </w:pPr>
      <w:r>
        <w:rPr>
          <w:b/>
          <w:bCs/>
          <w:u w:val="single"/>
        </w:rPr>
        <w:t>COURT ORDERED TREATMENT</w:t>
      </w:r>
    </w:p>
    <w:p w14:paraId="6F4C2ACE" w14:textId="634B8AB0" w:rsidR="005673D0" w:rsidRPr="006204F6" w:rsidRDefault="005673D0" w:rsidP="005673D0">
      <w:pPr>
        <w:jc w:val="both"/>
      </w:pPr>
      <w:r>
        <w:t xml:space="preserve">If </w:t>
      </w:r>
      <w:r w:rsidR="00E74AD1">
        <w:t xml:space="preserve">court </w:t>
      </w:r>
      <w:r>
        <w:t>ordered for individual, couple, substance abuse, and/or family counseling, the client and/or parent are responsible for covering the cost of session. Cost for session is $150 before 5pm and $190 after 5pm</w:t>
      </w:r>
      <w:r w:rsidR="00E74AD1">
        <w:t>. R</w:t>
      </w:r>
      <w:r>
        <w:t xml:space="preserve">equired paperwork is $50 per letter. However, if the court ordered therapy is due to custody conflict and/or ongoing legal case the </w:t>
      </w:r>
      <w:r w:rsidRPr="00B21DC3">
        <w:rPr>
          <w:u w:val="single"/>
        </w:rPr>
        <w:t>non-custodial parent</w:t>
      </w:r>
      <w:r>
        <w:t xml:space="preserve"> will be responsible for the session payment. </w:t>
      </w:r>
      <w:r w:rsidRPr="00B21DC3">
        <w:rPr>
          <w:u w:val="single"/>
        </w:rPr>
        <w:t xml:space="preserve">Counseling sessions might be covered by </w:t>
      </w:r>
      <w:r>
        <w:rPr>
          <w:u w:val="single"/>
        </w:rPr>
        <w:t xml:space="preserve">your </w:t>
      </w:r>
      <w:r w:rsidRPr="00B21DC3">
        <w:rPr>
          <w:u w:val="single"/>
        </w:rPr>
        <w:t>insurance</w:t>
      </w:r>
      <w:r>
        <w:t xml:space="preserve"> or can they be self-pay. Furthermore, if the custodial parent fails to comply with order and/or fails to deliver the child(ren) to the session, the custodial parent will be responsible for the payment</w:t>
      </w:r>
      <w:r w:rsidR="000440A5">
        <w:t xml:space="preserve"> (</w:t>
      </w:r>
      <w:r>
        <w:t>which is not billable to insurance</w:t>
      </w:r>
      <w:r w:rsidR="000440A5">
        <w:t>,</w:t>
      </w:r>
      <w:r>
        <w:t xml:space="preserve"> so this charge will be billed </w:t>
      </w:r>
      <w:r>
        <w:lastRenderedPageBreak/>
        <w:t>directly to the custodial parent</w:t>
      </w:r>
      <w:r w:rsidR="000440A5">
        <w:t>)</w:t>
      </w:r>
      <w:r>
        <w:t>. The session fee will also be due if the child and custodial parent show and the non-custodial parent does not. A record of all payments will be recorded by the therapist and/or</w:t>
      </w:r>
      <w:r w:rsidR="000440A5">
        <w:t xml:space="preserve"> an</w:t>
      </w:r>
      <w:r>
        <w:t xml:space="preserve"> employee of Irwin Counseling Service, PLLC. If there is a need to reschedule, please do so with </w:t>
      </w:r>
      <w:r w:rsidRPr="00E905C7">
        <w:rPr>
          <w:b/>
          <w:bCs/>
          <w:u w:val="single"/>
        </w:rPr>
        <w:t>24-hour notice</w:t>
      </w:r>
      <w:r>
        <w:t xml:space="preserve"> by calling 517-344-0913 and leave a voicemail. Barring emergencies such as hospitalization or death which will require appropriate documentation, cancellations with less than 24-hour notice will incur $150 before 5pm and $190 after 5pm. This fee will be billed directly to </w:t>
      </w:r>
      <w:proofErr w:type="gramStart"/>
      <w:r>
        <w:t>you,</w:t>
      </w:r>
      <w:proofErr w:type="gramEnd"/>
      <w:r>
        <w:t xml:space="preserve"> it is not billable to an insurance </w:t>
      </w:r>
      <w:r w:rsidR="000440A5">
        <w:t>company; payment</w:t>
      </w:r>
      <w:r>
        <w:t xml:space="preserve"> will be due prior to your next appointment. Unpaid bills will accrue interest every 30-day billing cycle, with an 18% APR. </w:t>
      </w:r>
    </w:p>
    <w:p w14:paraId="7CF4C8BF" w14:textId="1F74959B" w:rsidR="000440A5" w:rsidRDefault="005673D0" w:rsidP="005673D0">
      <w:r w:rsidRPr="006204F6">
        <w:rPr>
          <w:b/>
          <w:bCs/>
          <w:u w:val="single"/>
        </w:rPr>
        <w:t>COMPLAINTS</w:t>
      </w:r>
      <w:r w:rsidRPr="006204F6">
        <w:br/>
        <w:t>If you feel your Provider has engaged in improper or unethical behavior</w:t>
      </w:r>
      <w:r w:rsidR="000440A5">
        <w:t>:</w:t>
      </w:r>
      <w:r w:rsidRPr="006204F6">
        <w:t xml:space="preserve"> you can talk to </w:t>
      </w:r>
      <w:r w:rsidR="000440A5">
        <w:t xml:space="preserve">the Provider directly </w:t>
      </w:r>
      <w:r w:rsidR="007308BA">
        <w:t>and/</w:t>
      </w:r>
      <w:r w:rsidR="000440A5">
        <w:t>or speak with the front office staff</w:t>
      </w:r>
      <w:r w:rsidR="007308BA">
        <w:t xml:space="preserve"> who will involve the O</w:t>
      </w:r>
      <w:r w:rsidR="000440A5">
        <w:t xml:space="preserve">wner of the practice to voice your concerns so we can address the situation. </w:t>
      </w:r>
    </w:p>
    <w:p w14:paraId="581322E9" w14:textId="50B4FB98" w:rsidR="005673D0" w:rsidRPr="006204F6" w:rsidRDefault="000440A5" w:rsidP="005673D0">
      <w:r>
        <w:t>After speaking with the Owner, you may</w:t>
      </w:r>
      <w:r w:rsidR="005673D0" w:rsidRPr="006204F6">
        <w:t xml:space="preserve"> </w:t>
      </w:r>
      <w:r>
        <w:t xml:space="preserve">also </w:t>
      </w:r>
      <w:r w:rsidR="005673D0" w:rsidRPr="006204F6">
        <w:t>contact the licensing board that issued your Provider's license, your insurance company (if applicable), or the US Department of Health and Human Services</w:t>
      </w:r>
      <w:r w:rsidR="007308BA">
        <w:t xml:space="preserve"> if you feel your concerns are not addressed appropriately. </w:t>
      </w:r>
    </w:p>
    <w:p w14:paraId="712F2B12" w14:textId="77777777" w:rsidR="005673D0" w:rsidRDefault="005673D0" w:rsidP="005673D0">
      <w:r w:rsidRPr="006204F6">
        <w:t>Michigan Department of Licensing and Regulatory Affairs, Bureau of Professional Licensing, Investigations &amp; Inspections Division, P.O. Box 30670, Lansing, MI 48909. Phone: 517-241-0205.</w:t>
      </w:r>
    </w:p>
    <w:p w14:paraId="399436FE" w14:textId="77777777" w:rsidR="005673D0" w:rsidRDefault="005673D0" w:rsidP="005673D0"/>
    <w:p w14:paraId="060E8605" w14:textId="77777777" w:rsidR="005673D0" w:rsidRDefault="005673D0" w:rsidP="005673D0"/>
    <w:p w14:paraId="763815D3" w14:textId="77777777" w:rsidR="005673D0" w:rsidRDefault="005673D0" w:rsidP="005673D0">
      <w:pPr>
        <w:jc w:val="center"/>
      </w:pPr>
      <w:r>
        <w:t xml:space="preserve">By signing below, you agree to our Consent for Services document. </w:t>
      </w:r>
    </w:p>
    <w:p w14:paraId="7BF33D67" w14:textId="77777777" w:rsidR="000440A5" w:rsidRDefault="000440A5" w:rsidP="005673D0">
      <w:pPr>
        <w:jc w:val="center"/>
      </w:pPr>
    </w:p>
    <w:p w14:paraId="60AA3FB4" w14:textId="2D639830" w:rsidR="005673D0" w:rsidRDefault="005673D0" w:rsidP="005673D0">
      <w:r>
        <w:t xml:space="preserve">Client first and last </w:t>
      </w:r>
      <w:r w:rsidR="000440A5">
        <w:t>names</w:t>
      </w:r>
      <w:r w:rsidR="00E74AD1">
        <w:t xml:space="preserve"> printed</w:t>
      </w:r>
      <w:r>
        <w:t>:</w:t>
      </w:r>
      <w:r w:rsidRPr="006204F6">
        <w:rPr>
          <w:rFonts w:ascii="Agency FB" w:hAnsi="Agency FB"/>
        </w:rPr>
        <w:t xml:space="preserve"> ____</w:t>
      </w:r>
      <w:r>
        <w:rPr>
          <w:rFonts w:ascii="Agency FB" w:hAnsi="Agency FB"/>
        </w:rPr>
        <w:t>_______</w:t>
      </w:r>
      <w:r w:rsidRPr="006204F6">
        <w:rPr>
          <w:rFonts w:ascii="Agency FB" w:hAnsi="Agency FB"/>
        </w:rPr>
        <w:t>______________</w:t>
      </w:r>
      <w:r w:rsidR="000440A5">
        <w:rPr>
          <w:rFonts w:ascii="Agency FB" w:hAnsi="Agency FB"/>
        </w:rPr>
        <w:t>_________</w:t>
      </w:r>
      <w:r w:rsidRPr="006204F6">
        <w:rPr>
          <w:rFonts w:ascii="Agency FB" w:hAnsi="Agency FB"/>
        </w:rPr>
        <w:t>__</w:t>
      </w:r>
      <w:r>
        <w:rPr>
          <w:rFonts w:ascii="Agency FB" w:hAnsi="Agency FB"/>
        </w:rPr>
        <w:t>____</w:t>
      </w:r>
      <w:r w:rsidRPr="006204F6">
        <w:rPr>
          <w:rFonts w:ascii="Agency FB" w:hAnsi="Agency FB"/>
        </w:rPr>
        <w:t>_____</w:t>
      </w:r>
      <w:r>
        <w:rPr>
          <w:rFonts w:ascii="Agency FB" w:hAnsi="Agency FB"/>
        </w:rPr>
        <w:t>____________________</w:t>
      </w:r>
      <w:r>
        <w:t xml:space="preserve"> </w:t>
      </w:r>
    </w:p>
    <w:p w14:paraId="4B6AE6A2" w14:textId="77777777" w:rsidR="00E74AD1" w:rsidRPr="006204F6" w:rsidRDefault="00E74AD1" w:rsidP="005673D0">
      <w:pPr>
        <w:rPr>
          <w:rFonts w:ascii="Agency FB" w:hAnsi="Agency FB"/>
        </w:rPr>
      </w:pPr>
    </w:p>
    <w:p w14:paraId="7E5AC68F" w14:textId="133CFFE7" w:rsidR="005673D0" w:rsidRDefault="005673D0" w:rsidP="005673D0">
      <w:pPr>
        <w:rPr>
          <w:rFonts w:ascii="Agency FB" w:hAnsi="Agency FB"/>
        </w:rPr>
      </w:pPr>
      <w:r w:rsidRPr="006204F6">
        <w:t xml:space="preserve">Client </w:t>
      </w:r>
      <w:r w:rsidR="000440A5" w:rsidRPr="006204F6">
        <w:t>signature:</w:t>
      </w:r>
      <w:r w:rsidR="000440A5">
        <w:t xml:space="preserve"> </w:t>
      </w:r>
      <w:r w:rsidRPr="006204F6">
        <w:rPr>
          <w:rFonts w:ascii="Agency FB" w:hAnsi="Agency FB"/>
        </w:rPr>
        <w:t>______________</w:t>
      </w:r>
      <w:r w:rsidR="000440A5">
        <w:rPr>
          <w:rFonts w:ascii="Agency FB" w:hAnsi="Agency FB"/>
        </w:rPr>
        <w:t>___</w:t>
      </w:r>
      <w:r w:rsidRPr="006204F6">
        <w:rPr>
          <w:rFonts w:ascii="Agency FB" w:hAnsi="Agency FB"/>
        </w:rPr>
        <w:t>____________</w:t>
      </w:r>
      <w:r>
        <w:rPr>
          <w:rFonts w:ascii="Agency FB" w:hAnsi="Agency FB"/>
        </w:rPr>
        <w:t xml:space="preserve">________________________ </w:t>
      </w:r>
      <w:r w:rsidR="00E74AD1" w:rsidRPr="006204F6">
        <w:t>Date</w:t>
      </w:r>
      <w:r w:rsidR="00E74AD1" w:rsidRPr="006204F6">
        <w:rPr>
          <w:rFonts w:ascii="Agency FB" w:hAnsi="Agency FB"/>
        </w:rPr>
        <w:t xml:space="preserve">: </w:t>
      </w:r>
      <w:r w:rsidRPr="006204F6">
        <w:rPr>
          <w:rFonts w:ascii="Agency FB" w:hAnsi="Agency FB"/>
        </w:rPr>
        <w:t>_____</w:t>
      </w:r>
      <w:r>
        <w:rPr>
          <w:rFonts w:ascii="Agency FB" w:hAnsi="Agency FB"/>
        </w:rPr>
        <w:t>____________</w:t>
      </w:r>
      <w:r w:rsidRPr="006204F6">
        <w:rPr>
          <w:rFonts w:ascii="Agency FB" w:hAnsi="Agency FB"/>
        </w:rPr>
        <w:t>__________</w:t>
      </w:r>
    </w:p>
    <w:p w14:paraId="16DA52C8" w14:textId="77777777" w:rsidR="000440A5" w:rsidRPr="006204F6" w:rsidRDefault="000440A5" w:rsidP="005673D0">
      <w:pPr>
        <w:rPr>
          <w:rFonts w:ascii="Agency FB" w:hAnsi="Agency FB"/>
        </w:rPr>
      </w:pPr>
    </w:p>
    <w:p w14:paraId="7B806AE9" w14:textId="447D989D" w:rsidR="005673D0" w:rsidRPr="006204F6" w:rsidRDefault="005673D0" w:rsidP="005673D0">
      <w:r w:rsidRPr="006204F6">
        <w:t>Parent/</w:t>
      </w:r>
      <w:r w:rsidR="000440A5" w:rsidRPr="006204F6">
        <w:t>caregiver:</w:t>
      </w:r>
      <w:r w:rsidR="000440A5" w:rsidRPr="006204F6">
        <w:rPr>
          <w:rFonts w:ascii="Agency FB" w:hAnsi="Agency FB"/>
        </w:rPr>
        <w:t xml:space="preserve"> </w:t>
      </w:r>
      <w:r w:rsidRPr="006204F6">
        <w:rPr>
          <w:rFonts w:ascii="Agency FB" w:hAnsi="Agency FB"/>
        </w:rPr>
        <w:t>___________</w:t>
      </w:r>
      <w:r>
        <w:rPr>
          <w:rFonts w:ascii="Agency FB" w:hAnsi="Agency FB"/>
        </w:rPr>
        <w:t>___</w:t>
      </w:r>
      <w:r w:rsidR="000440A5">
        <w:rPr>
          <w:rFonts w:ascii="Agency FB" w:hAnsi="Agency FB"/>
        </w:rPr>
        <w:t>__</w:t>
      </w:r>
      <w:r>
        <w:rPr>
          <w:rFonts w:ascii="Agency FB" w:hAnsi="Agency FB"/>
        </w:rPr>
        <w:t>____________________________________</w:t>
      </w:r>
      <w:r w:rsidRPr="006204F6">
        <w:t xml:space="preserve">Date: </w:t>
      </w:r>
      <w:r w:rsidRPr="006204F6">
        <w:rPr>
          <w:rFonts w:ascii="Agency FB" w:hAnsi="Agency FB"/>
        </w:rPr>
        <w:t>____</w:t>
      </w:r>
      <w:r>
        <w:rPr>
          <w:rFonts w:ascii="Agency FB" w:hAnsi="Agency FB"/>
        </w:rPr>
        <w:t>____________</w:t>
      </w:r>
      <w:r w:rsidRPr="006204F6">
        <w:rPr>
          <w:rFonts w:ascii="Agency FB" w:hAnsi="Agency FB"/>
        </w:rPr>
        <w:t>_</w:t>
      </w:r>
      <w:r>
        <w:rPr>
          <w:rFonts w:ascii="Agency FB" w:hAnsi="Agency FB"/>
        </w:rPr>
        <w:t>_____</w:t>
      </w:r>
      <w:r w:rsidRPr="006204F6">
        <w:rPr>
          <w:rFonts w:ascii="Agency FB" w:hAnsi="Agency FB"/>
        </w:rPr>
        <w:t>______</w:t>
      </w:r>
    </w:p>
    <w:p w14:paraId="3B8673CD" w14:textId="77777777" w:rsidR="005673D0" w:rsidRPr="005673D0" w:rsidRDefault="005673D0" w:rsidP="005673D0">
      <w:pPr>
        <w:jc w:val="center"/>
      </w:pPr>
    </w:p>
    <w:sectPr w:rsidR="005673D0" w:rsidRPr="00567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3E"/>
    <w:rsid w:val="000440A5"/>
    <w:rsid w:val="003423BA"/>
    <w:rsid w:val="003B1908"/>
    <w:rsid w:val="003C1646"/>
    <w:rsid w:val="003E33C2"/>
    <w:rsid w:val="005673D0"/>
    <w:rsid w:val="00663683"/>
    <w:rsid w:val="007308BA"/>
    <w:rsid w:val="00840EB9"/>
    <w:rsid w:val="008C7E69"/>
    <w:rsid w:val="00AC19E7"/>
    <w:rsid w:val="00BC07AA"/>
    <w:rsid w:val="00C5453E"/>
    <w:rsid w:val="00C96ED9"/>
    <w:rsid w:val="00CB47EE"/>
    <w:rsid w:val="00D17A47"/>
    <w:rsid w:val="00E11591"/>
    <w:rsid w:val="00E52926"/>
    <w:rsid w:val="00E73BBC"/>
    <w:rsid w:val="00E74AD1"/>
    <w:rsid w:val="00F54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F027"/>
  <w15:chartTrackingRefBased/>
  <w15:docId w15:val="{5D0F62A2-D9BE-48AF-A832-1C249731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53E"/>
    <w:rPr>
      <w:rFonts w:eastAsiaTheme="majorEastAsia" w:cstheme="majorBidi"/>
      <w:color w:val="272727" w:themeColor="text1" w:themeTint="D8"/>
    </w:rPr>
  </w:style>
  <w:style w:type="paragraph" w:styleId="Title">
    <w:name w:val="Title"/>
    <w:basedOn w:val="Normal"/>
    <w:next w:val="Normal"/>
    <w:link w:val="TitleChar"/>
    <w:uiPriority w:val="10"/>
    <w:qFormat/>
    <w:rsid w:val="00C54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53E"/>
    <w:pPr>
      <w:spacing w:before="160"/>
      <w:jc w:val="center"/>
    </w:pPr>
    <w:rPr>
      <w:i/>
      <w:iCs/>
      <w:color w:val="404040" w:themeColor="text1" w:themeTint="BF"/>
    </w:rPr>
  </w:style>
  <w:style w:type="character" w:customStyle="1" w:styleId="QuoteChar">
    <w:name w:val="Quote Char"/>
    <w:basedOn w:val="DefaultParagraphFont"/>
    <w:link w:val="Quote"/>
    <w:uiPriority w:val="29"/>
    <w:rsid w:val="00C5453E"/>
    <w:rPr>
      <w:i/>
      <w:iCs/>
      <w:color w:val="404040" w:themeColor="text1" w:themeTint="BF"/>
    </w:rPr>
  </w:style>
  <w:style w:type="paragraph" w:styleId="ListParagraph">
    <w:name w:val="List Paragraph"/>
    <w:basedOn w:val="Normal"/>
    <w:uiPriority w:val="34"/>
    <w:qFormat/>
    <w:rsid w:val="00C5453E"/>
    <w:pPr>
      <w:ind w:left="720"/>
      <w:contextualSpacing/>
    </w:pPr>
  </w:style>
  <w:style w:type="character" w:styleId="IntenseEmphasis">
    <w:name w:val="Intense Emphasis"/>
    <w:basedOn w:val="DefaultParagraphFont"/>
    <w:uiPriority w:val="21"/>
    <w:qFormat/>
    <w:rsid w:val="00C5453E"/>
    <w:rPr>
      <w:i/>
      <w:iCs/>
      <w:color w:val="0F4761" w:themeColor="accent1" w:themeShade="BF"/>
    </w:rPr>
  </w:style>
  <w:style w:type="paragraph" w:styleId="IntenseQuote">
    <w:name w:val="Intense Quote"/>
    <w:basedOn w:val="Normal"/>
    <w:next w:val="Normal"/>
    <w:link w:val="IntenseQuoteChar"/>
    <w:uiPriority w:val="30"/>
    <w:qFormat/>
    <w:rsid w:val="00C54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53E"/>
    <w:rPr>
      <w:i/>
      <w:iCs/>
      <w:color w:val="0F4761" w:themeColor="accent1" w:themeShade="BF"/>
    </w:rPr>
  </w:style>
  <w:style w:type="character" w:styleId="IntenseReference">
    <w:name w:val="Intense Reference"/>
    <w:basedOn w:val="DefaultParagraphFont"/>
    <w:uiPriority w:val="32"/>
    <w:qFormat/>
    <w:rsid w:val="00C5453E"/>
    <w:rPr>
      <w:b/>
      <w:bCs/>
      <w:smallCaps/>
      <w:color w:val="0F4761" w:themeColor="accent1" w:themeShade="BF"/>
      <w:spacing w:val="5"/>
    </w:rPr>
  </w:style>
  <w:style w:type="paragraph" w:styleId="NoSpacing">
    <w:name w:val="No Spacing"/>
    <w:link w:val="NoSpacingChar"/>
    <w:uiPriority w:val="1"/>
    <w:qFormat/>
    <w:rsid w:val="005673D0"/>
    <w:pPr>
      <w:spacing w:after="0" w:line="240" w:lineRule="auto"/>
    </w:pPr>
    <w:rPr>
      <w:rFonts w:ascii="Poppins" w:eastAsia="Poppins" w:hAnsi="Poppins" w:cs="Poppins"/>
      <w:color w:val="212529"/>
      <w:kern w:val="0"/>
      <w:sz w:val="20"/>
      <w:szCs w:val="20"/>
      <w:lang w:val="en"/>
      <w14:ligatures w14:val="none"/>
    </w:rPr>
  </w:style>
  <w:style w:type="character" w:customStyle="1" w:styleId="NoSpacingChar">
    <w:name w:val="No Spacing Char"/>
    <w:basedOn w:val="DefaultParagraphFont"/>
    <w:link w:val="NoSpacing"/>
    <w:uiPriority w:val="1"/>
    <w:rsid w:val="005673D0"/>
    <w:rPr>
      <w:rFonts w:ascii="Poppins" w:eastAsia="Poppins" w:hAnsi="Poppins" w:cs="Poppins"/>
      <w:color w:val="212529"/>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Irwin</dc:creator>
  <cp:keywords/>
  <dc:description/>
  <cp:lastModifiedBy>Clint Irwin</cp:lastModifiedBy>
  <cp:revision>6</cp:revision>
  <dcterms:created xsi:type="dcterms:W3CDTF">2025-11-14T19:16:00Z</dcterms:created>
  <dcterms:modified xsi:type="dcterms:W3CDTF">2025-11-14T21:55:00Z</dcterms:modified>
</cp:coreProperties>
</file>