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E96E" w14:textId="0405EDCB" w:rsidR="004F56ED" w:rsidRDefault="004F56ED" w:rsidP="004F56ED">
      <w:pPr>
        <w:keepNext/>
        <w:spacing w:after="80" w:line="276" w:lineRule="auto"/>
        <w:jc w:val="both"/>
        <w:outlineLvl w:val="4"/>
        <w:rPr>
          <w:rFonts w:eastAsia="Times New Roman" w:cstheme="minorHAnsi"/>
          <w:color w:val="000000"/>
          <w:sz w:val="40"/>
          <w:szCs w:val="40"/>
        </w:rPr>
      </w:pPr>
      <w:r w:rsidRPr="002C75C6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 w:rsidRPr="004F56ED">
        <w:rPr>
          <w:rFonts w:eastAsia="Times New Roman" w:cstheme="minorHAnsi"/>
          <w:color w:val="000000"/>
          <w:sz w:val="40"/>
          <w:szCs w:val="40"/>
        </w:rPr>
        <w:t>CGRP monoclonal antibodies</w:t>
      </w:r>
    </w:p>
    <w:p w14:paraId="149505EE" w14:textId="28B5B36A" w:rsidR="004F56ED" w:rsidRPr="004F56ED" w:rsidRDefault="004F56ED" w:rsidP="004F56ED">
      <w:pPr>
        <w:keepNext/>
        <w:spacing w:after="80" w:line="276" w:lineRule="auto"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These are a recently introduced group of drugs that block the effect of a molecule known as CGRP which is important in the migraine mechanism.</w:t>
      </w:r>
    </w:p>
    <w:p w14:paraId="51C003A4" w14:textId="77777777" w:rsidR="004F56ED" w:rsidRP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</w:rPr>
        <w:t>Currently available in the NHS when three previous preventive medications have failed.</w:t>
      </w:r>
    </w:p>
    <w:p w14:paraId="4E588CE2" w14:textId="77777777" w:rsidR="004F56ED" w:rsidRP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</w:rPr>
        <w:t>Prescribed in specialist care only.</w:t>
      </w:r>
    </w:p>
    <w:p w14:paraId="36219FEE" w14:textId="77777777" w:rsidR="004F56ED" w:rsidRP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</w:rPr>
        <w:t>When there are four or more migraine days a month.</w:t>
      </w:r>
    </w:p>
    <w:p w14:paraId="43014188" w14:textId="77777777" w:rsidR="004F56ED" w:rsidRP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</w:rPr>
        <w:t>Low side effect profile includes inflammation at injection site, constipation and potential increase in blood pressure.</w:t>
      </w:r>
    </w:p>
    <w:p w14:paraId="223BD09B" w14:textId="77777777" w:rsidR="004F56ED" w:rsidRP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</w:rPr>
        <w:t>Cannot be taken by mouth. Injection and infusion only.</w:t>
      </w:r>
    </w:p>
    <w:p w14:paraId="4EEE734A" w14:textId="2EE70BBB" w:rsid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F56ED">
        <w:rPr>
          <w:rFonts w:eastAsia="Times New Roman" w:cstheme="minorHAnsi"/>
          <w:color w:val="000000"/>
          <w:sz w:val="24"/>
          <w:szCs w:val="24"/>
          <w:lang w:val="en-US"/>
        </w:rPr>
        <w:t xml:space="preserve">The table below shows the drugs in this class that are available. </w:t>
      </w:r>
    </w:p>
    <w:p w14:paraId="5BD3BD99" w14:textId="421121C6" w:rsidR="004F56ED" w:rsidRDefault="004F56ED" w:rsidP="004F56ED">
      <w:pPr>
        <w:keepNext/>
        <w:numPr>
          <w:ilvl w:val="0"/>
          <w:numId w:val="1"/>
        </w:numPr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Pregnancy should be avoided when taking these drugs and for six months after cessation.</w:t>
      </w:r>
    </w:p>
    <w:p w14:paraId="6DEE0871" w14:textId="1719B2CC" w:rsidR="004F56ED" w:rsidRDefault="004F56ED" w:rsidP="004F56ED">
      <w:pPr>
        <w:keepNext/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December 2025.</w:t>
      </w:r>
    </w:p>
    <w:p w14:paraId="07F0506C" w14:textId="77777777" w:rsidR="004F56ED" w:rsidRPr="004F56ED" w:rsidRDefault="004F56ED" w:rsidP="004F56ED">
      <w:pPr>
        <w:keepNext/>
        <w:spacing w:after="80" w:line="276" w:lineRule="auto"/>
        <w:contextualSpacing/>
        <w:jc w:val="both"/>
        <w:outlineLvl w:val="4"/>
        <w:rPr>
          <w:rFonts w:eastAsia="Times New Roman" w:cstheme="minorHAnsi"/>
          <w:color w:val="000000"/>
          <w:sz w:val="24"/>
          <w:szCs w:val="24"/>
          <w:lang w:val="en-US"/>
        </w:rPr>
      </w:pPr>
    </w:p>
    <w:tbl>
      <w:tblPr>
        <w:tblStyle w:val="TableGrid1"/>
        <w:tblW w:w="0" w:type="auto"/>
        <w:jc w:val="center"/>
        <w:tblLook w:val="01E0" w:firstRow="1" w:lastRow="1" w:firstColumn="1" w:lastColumn="1" w:noHBand="0" w:noVBand="0"/>
      </w:tblPr>
      <w:tblGrid>
        <w:gridCol w:w="1710"/>
        <w:gridCol w:w="1843"/>
        <w:gridCol w:w="1631"/>
      </w:tblGrid>
      <w:tr w:rsidR="004F56ED" w:rsidRPr="00B734B7" w14:paraId="4FF2B247" w14:textId="77777777" w:rsidTr="004F0B0A">
        <w:trPr>
          <w:jc w:val="center"/>
        </w:trPr>
        <w:tc>
          <w:tcPr>
            <w:tcW w:w="1710" w:type="dxa"/>
          </w:tcPr>
          <w:p w14:paraId="06269EE9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12AB0878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B4DE0">
              <w:rPr>
                <w:rFonts w:asciiTheme="minorHAnsi" w:eastAsia="Times New Roman" w:hAnsiTheme="minorHAnsi" w:cstheme="minorHAnsi"/>
              </w:rPr>
              <w:t>Monoclonal antibody</w:t>
            </w:r>
          </w:p>
        </w:tc>
        <w:tc>
          <w:tcPr>
            <w:tcW w:w="1843" w:type="dxa"/>
          </w:tcPr>
          <w:p w14:paraId="4670A36F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A3AA9DF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B4DE0">
              <w:rPr>
                <w:rFonts w:asciiTheme="minorHAnsi" w:eastAsia="Times New Roman" w:hAnsiTheme="minorHAnsi" w:cstheme="minorHAnsi"/>
              </w:rPr>
              <w:t>Dose</w:t>
            </w:r>
          </w:p>
        </w:tc>
        <w:tc>
          <w:tcPr>
            <w:tcW w:w="1631" w:type="dxa"/>
          </w:tcPr>
          <w:p w14:paraId="6793B3F7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86BF069" w14:textId="77777777" w:rsidR="004F56ED" w:rsidRPr="003B4DE0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B4DE0">
              <w:rPr>
                <w:rFonts w:asciiTheme="minorHAnsi" w:eastAsia="Times New Roman" w:hAnsiTheme="minorHAnsi" w:cstheme="minorHAnsi"/>
              </w:rPr>
              <w:t xml:space="preserve">Current UK license </w:t>
            </w:r>
          </w:p>
        </w:tc>
      </w:tr>
      <w:tr w:rsidR="004F56ED" w:rsidRPr="00B734B7" w14:paraId="56BB92E8" w14:textId="77777777" w:rsidTr="004F0B0A">
        <w:trPr>
          <w:jc w:val="center"/>
        </w:trPr>
        <w:tc>
          <w:tcPr>
            <w:tcW w:w="1710" w:type="dxa"/>
          </w:tcPr>
          <w:p w14:paraId="2CAE283C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Erenumab</w:t>
            </w:r>
            <w:proofErr w:type="spellEnd"/>
          </w:p>
          <w:p w14:paraId="304A427D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(Aimovig)</w:t>
            </w:r>
          </w:p>
        </w:tc>
        <w:tc>
          <w:tcPr>
            <w:tcW w:w="1843" w:type="dxa"/>
          </w:tcPr>
          <w:p w14:paraId="2BE59432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140 mg monthly self-injection</w:t>
            </w:r>
          </w:p>
        </w:tc>
        <w:tc>
          <w:tcPr>
            <w:tcW w:w="1631" w:type="dxa"/>
          </w:tcPr>
          <w:p w14:paraId="21731363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Episodic and chronic migraine</w:t>
            </w:r>
          </w:p>
        </w:tc>
      </w:tr>
      <w:tr w:rsidR="004F56ED" w:rsidRPr="00B734B7" w14:paraId="074ED5D3" w14:textId="77777777" w:rsidTr="004F0B0A">
        <w:trPr>
          <w:jc w:val="center"/>
        </w:trPr>
        <w:tc>
          <w:tcPr>
            <w:tcW w:w="1710" w:type="dxa"/>
          </w:tcPr>
          <w:p w14:paraId="74FFB53B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Fremanezumab</w:t>
            </w:r>
            <w:proofErr w:type="spellEnd"/>
          </w:p>
          <w:p w14:paraId="10D8884E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Ajovy</w:t>
            </w:r>
            <w:proofErr w:type="spellEnd"/>
            <w:r w:rsidRPr="00B734B7">
              <w:rPr>
                <w:rFonts w:asciiTheme="minorHAnsi" w:eastAsia="Times New Roman" w:hAnsiTheme="minorHAnsi" w:cstheme="minorHAnsi"/>
                <w:sz w:val="20"/>
              </w:rPr>
              <w:t>)</w:t>
            </w:r>
          </w:p>
          <w:p w14:paraId="5DF1D327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3E6F90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225 mg monthly or</w:t>
            </w:r>
          </w:p>
          <w:p w14:paraId="734AAC78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675 mg three-monthly self-injection</w:t>
            </w:r>
          </w:p>
        </w:tc>
        <w:tc>
          <w:tcPr>
            <w:tcW w:w="1631" w:type="dxa"/>
          </w:tcPr>
          <w:p w14:paraId="12C76A89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Episodic and chronic migraine</w:t>
            </w:r>
          </w:p>
        </w:tc>
      </w:tr>
      <w:tr w:rsidR="004F56ED" w:rsidRPr="00B734B7" w14:paraId="2C4EDAED" w14:textId="77777777" w:rsidTr="004F0B0A">
        <w:trPr>
          <w:trHeight w:val="900"/>
          <w:jc w:val="center"/>
        </w:trPr>
        <w:tc>
          <w:tcPr>
            <w:tcW w:w="1710" w:type="dxa"/>
          </w:tcPr>
          <w:p w14:paraId="766DC123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Galcanezumab</w:t>
            </w:r>
            <w:proofErr w:type="spellEnd"/>
          </w:p>
          <w:p w14:paraId="6B975279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Emgality</w:t>
            </w:r>
            <w:proofErr w:type="spellEnd"/>
            <w:r w:rsidRPr="00B734B7">
              <w:rPr>
                <w:rFonts w:asciiTheme="minorHAnsi" w:eastAsia="Times New Roman" w:hAnsiTheme="minorHAnsi" w:cstheme="minorHAnsi"/>
                <w:sz w:val="20"/>
              </w:rPr>
              <w:t>)</w:t>
            </w:r>
          </w:p>
          <w:p w14:paraId="2743E86A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337F91B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120-240 mg monthly self-injection</w:t>
            </w:r>
          </w:p>
        </w:tc>
        <w:tc>
          <w:tcPr>
            <w:tcW w:w="1631" w:type="dxa"/>
          </w:tcPr>
          <w:p w14:paraId="455C6F67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Episodic and chronic migraine</w:t>
            </w:r>
          </w:p>
          <w:p w14:paraId="062AA028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4F56ED" w:rsidRPr="00B734B7" w14:paraId="73DC3C8F" w14:textId="77777777" w:rsidTr="004F0B0A">
        <w:trPr>
          <w:trHeight w:val="330"/>
          <w:jc w:val="center"/>
        </w:trPr>
        <w:tc>
          <w:tcPr>
            <w:tcW w:w="1710" w:type="dxa"/>
          </w:tcPr>
          <w:p w14:paraId="68317902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Epinezumab</w:t>
            </w:r>
            <w:proofErr w:type="spellEnd"/>
          </w:p>
          <w:p w14:paraId="4CFC236F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FE82DC4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Intravenous infusion</w:t>
            </w:r>
          </w:p>
        </w:tc>
        <w:tc>
          <w:tcPr>
            <w:tcW w:w="1631" w:type="dxa"/>
          </w:tcPr>
          <w:p w14:paraId="0930AD3F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Episodic and chronic migraine</w:t>
            </w:r>
          </w:p>
          <w:p w14:paraId="2B72F2E0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4F56ED" w:rsidRPr="00B734B7" w14:paraId="492D90E8" w14:textId="77777777" w:rsidTr="004F0B0A">
        <w:trPr>
          <w:trHeight w:val="330"/>
          <w:jc w:val="center"/>
        </w:trPr>
        <w:tc>
          <w:tcPr>
            <w:tcW w:w="1710" w:type="dxa"/>
          </w:tcPr>
          <w:p w14:paraId="630C3B33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Rimegepant</w:t>
            </w:r>
          </w:p>
          <w:p w14:paraId="6747FA1A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Vydura</w:t>
            </w:r>
            <w:proofErr w:type="spellEnd"/>
            <w:r w:rsidRPr="00B734B7">
              <w:rPr>
                <w:rFonts w:asciiTheme="minorHAnsi" w:eastAsia="Times New Roman" w:hAnsiTheme="minorHAnsi" w:cstheme="minorHAnsi"/>
                <w:sz w:val="20"/>
              </w:rPr>
              <w:t>)</w:t>
            </w:r>
          </w:p>
        </w:tc>
        <w:tc>
          <w:tcPr>
            <w:tcW w:w="1843" w:type="dxa"/>
          </w:tcPr>
          <w:p w14:paraId="4F52AAD6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75mg every other day by mouth</w:t>
            </w:r>
          </w:p>
        </w:tc>
        <w:tc>
          <w:tcPr>
            <w:tcW w:w="1631" w:type="dxa"/>
          </w:tcPr>
          <w:p w14:paraId="3170A318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Migraine attack and episodic migraine prevention</w:t>
            </w:r>
          </w:p>
        </w:tc>
      </w:tr>
      <w:tr w:rsidR="004F56ED" w:rsidRPr="00B734B7" w14:paraId="27ECF62D" w14:textId="77777777" w:rsidTr="004F0B0A">
        <w:trPr>
          <w:trHeight w:val="330"/>
          <w:jc w:val="center"/>
        </w:trPr>
        <w:tc>
          <w:tcPr>
            <w:tcW w:w="1710" w:type="dxa"/>
          </w:tcPr>
          <w:p w14:paraId="741CEF2B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Atogepant</w:t>
            </w:r>
            <w:proofErr w:type="spellEnd"/>
          </w:p>
          <w:p w14:paraId="15102B20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spellStart"/>
            <w:r w:rsidRPr="00B734B7">
              <w:rPr>
                <w:rFonts w:asciiTheme="minorHAnsi" w:eastAsia="Times New Roman" w:hAnsiTheme="minorHAnsi" w:cstheme="minorHAnsi"/>
                <w:sz w:val="20"/>
              </w:rPr>
              <w:t>Qulipta</w:t>
            </w:r>
            <w:proofErr w:type="spellEnd"/>
            <w:r w:rsidRPr="00B734B7">
              <w:rPr>
                <w:rFonts w:asciiTheme="minorHAnsi" w:eastAsia="Times New Roman" w:hAnsiTheme="minorHAnsi" w:cstheme="minorHAnsi"/>
                <w:sz w:val="20"/>
              </w:rPr>
              <w:t>)</w:t>
            </w:r>
          </w:p>
        </w:tc>
        <w:tc>
          <w:tcPr>
            <w:tcW w:w="1843" w:type="dxa"/>
          </w:tcPr>
          <w:p w14:paraId="285330AF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60 mg daily by mouth</w:t>
            </w:r>
          </w:p>
        </w:tc>
        <w:tc>
          <w:tcPr>
            <w:tcW w:w="1631" w:type="dxa"/>
          </w:tcPr>
          <w:p w14:paraId="1A7F7D0C" w14:textId="77777777" w:rsidR="004F56ED" w:rsidRPr="00B734B7" w:rsidRDefault="004F56ED" w:rsidP="004F0B0A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B734B7">
              <w:rPr>
                <w:rFonts w:asciiTheme="minorHAnsi" w:eastAsia="Times New Roman" w:hAnsiTheme="minorHAnsi" w:cstheme="minorHAnsi"/>
                <w:sz w:val="20"/>
              </w:rPr>
              <w:t>Prevention of episodic and chronic migraine</w:t>
            </w:r>
          </w:p>
        </w:tc>
      </w:tr>
    </w:tbl>
    <w:p w14:paraId="0A74D599" w14:textId="77777777" w:rsidR="004F56ED" w:rsidRDefault="004F56ED"/>
    <w:sectPr w:rsidR="004F5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B1AD9"/>
    <w:multiLevelType w:val="hybridMultilevel"/>
    <w:tmpl w:val="4A065EE6"/>
    <w:lvl w:ilvl="0" w:tplc="75C6CB5E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ED"/>
    <w:rsid w:val="004F56ED"/>
    <w:rsid w:val="006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CEE3"/>
  <w15:chartTrackingRefBased/>
  <w15:docId w15:val="{5B030D64-7EE6-46AF-B50E-2BDDA8F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E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6E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F56ED"/>
    <w:pPr>
      <w:spacing w:after="0" w:line="240" w:lineRule="auto"/>
    </w:pPr>
    <w:rPr>
      <w:rFonts w:ascii="Calibri" w:eastAsia="Calibri" w:hAnsi="Calibri" w:cs="Times New Roman"/>
      <w:color w:val="000000"/>
      <w:kern w:val="0"/>
      <w:sz w:val="22"/>
      <w:szCs w:val="20"/>
      <w:lang w:eastAsia="en-GB"/>
      <w14:ligatures w14:val="none"/>
    </w:rPr>
    <w:tblPr>
      <w:tblBorders>
        <w:top w:val="single" w:sz="8" w:space="0" w:color="000000"/>
        <w:bottom w:val="single" w:sz="8" w:space="0" w:color="000000"/>
        <w:insideH w:val="dotted" w:sz="4" w:space="0" w:color="auto"/>
      </w:tblBorders>
    </w:tblPr>
    <w:tcPr>
      <w:shd w:val="clear" w:color="auto" w:fill="D9D9D9"/>
    </w:tcPr>
  </w:style>
  <w:style w:type="table" w:styleId="TableGrid">
    <w:name w:val="Table Grid"/>
    <w:basedOn w:val="TableNormal"/>
    <w:uiPriority w:val="39"/>
    <w:rsid w:val="004F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 (GP LOCUM)</dc:creator>
  <cp:keywords/>
  <dc:description/>
  <cp:lastModifiedBy>KERNICK, David (GP LOCUM)</cp:lastModifiedBy>
  <cp:revision>1</cp:revision>
  <dcterms:created xsi:type="dcterms:W3CDTF">2025-12-17T11:19:00Z</dcterms:created>
  <dcterms:modified xsi:type="dcterms:W3CDTF">2025-12-17T11:25:00Z</dcterms:modified>
</cp:coreProperties>
</file>