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7074" w14:textId="5B884553" w:rsidR="00D27263" w:rsidRDefault="00C627AA" w:rsidP="00D27263">
      <w:pPr>
        <w:rPr>
          <w:sz w:val="48"/>
        </w:rPr>
      </w:pPr>
      <w:r>
        <w:rPr>
          <w:b/>
          <w:noProof/>
        </w:rPr>
        <w:drawing>
          <wp:inline distT="0" distB="0" distL="0" distR="0" wp14:anchorId="7DAEC0B0" wp14:editId="3423138E">
            <wp:extent cx="956945" cy="9569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pic:spPr>
                </pic:pic>
              </a:graphicData>
            </a:graphic>
          </wp:inline>
        </w:drawing>
      </w:r>
      <w:r w:rsidR="00D27263">
        <w:rPr>
          <w:b/>
        </w:rPr>
        <w:t xml:space="preserve">        </w:t>
      </w:r>
      <w:r w:rsidR="00D27263" w:rsidRPr="000E60B2">
        <w:rPr>
          <w:sz w:val="36"/>
          <w:szCs w:val="36"/>
        </w:rPr>
        <w:t>Revisión de la Literatura IPHMI</w:t>
      </w:r>
      <w:r w:rsidR="00D27263">
        <w:rPr>
          <w:sz w:val="40"/>
        </w:rPr>
        <w:t xml:space="preserve">   </w:t>
      </w:r>
      <w:r w:rsidR="00D27263">
        <w:rPr>
          <w:b/>
          <w:noProof/>
        </w:rPr>
        <w:drawing>
          <wp:inline distT="0" distB="0" distL="0" distR="0" wp14:anchorId="40B1EC8D" wp14:editId="04CCBF62">
            <wp:extent cx="1402080" cy="881243"/>
            <wp:effectExtent l="19050" t="19050" r="26670"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nlCoversS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3989" cy="901298"/>
                    </a:xfrm>
                    <a:prstGeom prst="rect">
                      <a:avLst/>
                    </a:prstGeom>
                    <a:ln w="25400">
                      <a:solidFill>
                        <a:schemeClr val="tx1"/>
                      </a:solidFill>
                    </a:ln>
                  </pic:spPr>
                </pic:pic>
              </a:graphicData>
            </a:graphic>
          </wp:inline>
        </w:drawing>
      </w:r>
    </w:p>
    <w:p w14:paraId="58BCD5BA" w14:textId="2AF7040E" w:rsidR="00D27263" w:rsidRPr="00323738" w:rsidRDefault="00D27263" w:rsidP="00D27263">
      <w:pPr>
        <w:jc w:val="center"/>
        <w:rPr>
          <w:sz w:val="28"/>
          <w:szCs w:val="28"/>
        </w:rPr>
      </w:pPr>
      <w:r>
        <w:rPr>
          <w:sz w:val="28"/>
          <w:szCs w:val="28"/>
        </w:rPr>
        <w:t>Manteniéndote al día con la literatura y los estudios actuales sobre EMS</w:t>
      </w:r>
    </w:p>
    <w:p w14:paraId="5F601443" w14:textId="7FF715AD" w:rsidR="00D27263" w:rsidRDefault="00332A7D" w:rsidP="00332A7D">
      <w:pPr>
        <w:ind w:left="2160" w:firstLine="720"/>
        <w:rPr>
          <w:sz w:val="40"/>
          <w:szCs w:val="40"/>
        </w:rPr>
      </w:pPr>
      <w:r>
        <w:rPr>
          <w:sz w:val="40"/>
          <w:szCs w:val="40"/>
        </w:rPr>
        <w:t xml:space="preserve">    Vol. 8.10</w:t>
      </w:r>
    </w:p>
    <w:p w14:paraId="0DE2D581" w14:textId="77777777" w:rsidR="00692F42" w:rsidRPr="00CD6CCC" w:rsidRDefault="00692F42" w:rsidP="00CD6CCC">
      <w:pPr>
        <w:ind w:firstLine="0"/>
        <w:rPr>
          <w:rFonts w:cstheme="minorHAnsi"/>
        </w:rPr>
      </w:pPr>
      <w:bookmarkStart w:id="0" w:name="_Hlk94267765"/>
      <w:bookmarkStart w:id="1" w:name="_Hlk99358131"/>
      <w:bookmarkStart w:id="2" w:name="_Hlk91327920"/>
    </w:p>
    <w:p w14:paraId="342CE0BC" w14:textId="6036AE74" w:rsidR="007D1A55" w:rsidRPr="007D1A55" w:rsidRDefault="007D1A55" w:rsidP="007D1A55">
      <w:pPr>
        <w:pStyle w:val="Prrafodelista"/>
        <w:numPr>
          <w:ilvl w:val="0"/>
          <w:numId w:val="1"/>
        </w:numPr>
        <w:autoSpaceDE w:val="0"/>
        <w:autoSpaceDN w:val="0"/>
        <w:adjustRightInd w:val="0"/>
        <w:spacing w:before="100" w:beforeAutospacing="1" w:after="100" w:afterAutospacing="1"/>
        <w:rPr>
          <w:rFonts w:ascii="Calibri" w:hAnsi="Calibri" w:cs="Calibri"/>
        </w:rPr>
      </w:pPr>
      <w:bookmarkStart w:id="3" w:name="_Hlk104805474"/>
      <w:bookmarkStart w:id="4" w:name="_Hlk109814945"/>
      <w:bookmarkStart w:id="5" w:name="_Hlk91665549"/>
      <w:bookmarkStart w:id="6" w:name="_Hlk101786252"/>
      <w:bookmarkStart w:id="7" w:name="_Hlk188787144"/>
      <w:bookmarkStart w:id="8" w:name="_Hlk203820641"/>
      <w:bookmarkStart w:id="9" w:name="_Hlk209350553"/>
      <w:bookmarkStart w:id="10" w:name="_Hlk220156538"/>
      <w:bookmarkStart w:id="11" w:name="_Hlk217123478"/>
      <w:bookmarkEnd w:id="0"/>
      <w:bookmarkEnd w:id="1"/>
      <w:bookmarkEnd w:id="2"/>
      <w:r w:rsidRPr="007D1A55">
        <w:rPr>
          <w:rFonts w:cstheme="minorHAnsi"/>
          <w:b/>
          <w:bCs/>
        </w:rPr>
        <w:t xml:space="preserve">El uso prehospitalario de luces y sirenas en el ictus se asocia con tiempos de transición puerta a TAC más rápidos, pero no con la </w:t>
      </w:r>
      <w:proofErr w:type="spellStart"/>
      <w:r w:rsidRPr="007D1A55">
        <w:rPr>
          <w:rFonts w:cstheme="minorHAnsi"/>
          <w:b/>
          <w:bCs/>
        </w:rPr>
        <w:t>trombolisis</w:t>
      </w:r>
      <w:proofErr w:type="spellEnd"/>
      <w:r w:rsidRPr="007D1A55">
        <w:rPr>
          <w:rFonts w:cstheme="minorHAnsi"/>
          <w:b/>
          <w:bCs/>
        </w:rPr>
        <w:t xml:space="preserve"> puerta a puerta ni con la terapia endovascular.  </w:t>
      </w:r>
      <w:bookmarkEnd w:id="3"/>
      <w:bookmarkEnd w:id="4"/>
      <w:bookmarkEnd w:id="5"/>
      <w:bookmarkEnd w:id="6"/>
      <w:bookmarkEnd w:id="7"/>
      <w:bookmarkEnd w:id="8"/>
      <w:bookmarkEnd w:id="9"/>
      <w:bookmarkEnd w:id="10"/>
      <w:bookmarkEnd w:id="11"/>
      <w:proofErr w:type="spellStart"/>
      <w:r w:rsidRPr="007D1A55">
        <w:rPr>
          <w:rFonts w:cstheme="minorHAnsi"/>
        </w:rPr>
        <w:t>Wham</w:t>
      </w:r>
      <w:proofErr w:type="spellEnd"/>
      <w:r w:rsidRPr="007D1A55">
        <w:rPr>
          <w:rFonts w:cstheme="minorHAnsi"/>
        </w:rPr>
        <w:t xml:space="preserve"> CD, </w:t>
      </w:r>
      <w:proofErr w:type="spellStart"/>
      <w:r w:rsidRPr="007D1A55">
        <w:rPr>
          <w:rFonts w:cstheme="minorHAnsi"/>
        </w:rPr>
        <w:t>Nicke</w:t>
      </w:r>
      <w:proofErr w:type="spellEnd"/>
      <w:r w:rsidRPr="007D1A55">
        <w:rPr>
          <w:rFonts w:cstheme="minorHAnsi"/>
        </w:rPr>
        <w:t xml:space="preserve"> D, Espinoza IS, entre otros.  </w:t>
      </w:r>
      <w:r w:rsidRPr="007D1A55">
        <w:rPr>
          <w:rFonts w:cstheme="minorHAnsi"/>
          <w:i/>
          <w:iCs/>
        </w:rPr>
        <w:t xml:space="preserve">J </w:t>
      </w:r>
      <w:proofErr w:type="spellStart"/>
      <w:r w:rsidRPr="007D1A55">
        <w:rPr>
          <w:rFonts w:cstheme="minorHAnsi"/>
          <w:i/>
          <w:iCs/>
        </w:rPr>
        <w:t>Amer</w:t>
      </w:r>
      <w:proofErr w:type="spellEnd"/>
      <w:r w:rsidRPr="007D1A55">
        <w:rPr>
          <w:rFonts w:cstheme="minorHAnsi"/>
          <w:i/>
          <w:iCs/>
        </w:rPr>
        <w:t xml:space="preserve"> Coll </w:t>
      </w:r>
      <w:proofErr w:type="spellStart"/>
      <w:r w:rsidRPr="007D1A55">
        <w:rPr>
          <w:rFonts w:cstheme="minorHAnsi"/>
          <w:i/>
          <w:iCs/>
        </w:rPr>
        <w:t>Emerg</w:t>
      </w:r>
      <w:proofErr w:type="spellEnd"/>
      <w:r w:rsidRPr="007D1A55">
        <w:rPr>
          <w:rFonts w:cstheme="minorHAnsi"/>
          <w:i/>
          <w:iCs/>
        </w:rPr>
        <w:t xml:space="preserve"> </w:t>
      </w:r>
      <w:proofErr w:type="spellStart"/>
      <w:r w:rsidRPr="007D1A55">
        <w:rPr>
          <w:rFonts w:cstheme="minorHAnsi"/>
          <w:i/>
          <w:iCs/>
        </w:rPr>
        <w:t>Phys</w:t>
      </w:r>
      <w:proofErr w:type="spellEnd"/>
      <w:r w:rsidRPr="007D1A55">
        <w:rPr>
          <w:rFonts w:cstheme="minorHAnsi"/>
          <w:i/>
          <w:iCs/>
        </w:rPr>
        <w:t xml:space="preserve"> Open</w:t>
      </w:r>
      <w:r w:rsidRPr="007D1A55">
        <w:rPr>
          <w:rFonts w:cstheme="minorHAnsi"/>
        </w:rPr>
        <w:t xml:space="preserve"> 2026, texto completo disponible en línea en </w:t>
      </w:r>
      <w:hyperlink r:id="rId10" w:history="1">
        <w:r w:rsidRPr="00533C1D">
          <w:rPr>
            <w:rStyle w:val="Hipervnculo"/>
            <w:rFonts w:cstheme="minorHAnsi"/>
          </w:rPr>
          <w:t>https://doi.org/10.1016/j.acepjo.2026.100415</w:t>
        </w:r>
      </w:hyperlink>
    </w:p>
    <w:p w14:paraId="5D742736" w14:textId="7ADF98C9" w:rsidR="00EA1B39" w:rsidRPr="00EA1B39" w:rsidRDefault="005655CF" w:rsidP="00EA1B39">
      <w:pPr>
        <w:pStyle w:val="Prrafodelista"/>
        <w:numPr>
          <w:ilvl w:val="0"/>
          <w:numId w:val="1"/>
        </w:numPr>
        <w:autoSpaceDE w:val="0"/>
        <w:autoSpaceDN w:val="0"/>
        <w:adjustRightInd w:val="0"/>
        <w:spacing w:before="100" w:beforeAutospacing="1" w:after="100" w:afterAutospacing="1"/>
        <w:rPr>
          <w:rFonts w:ascii="Calibri" w:hAnsi="Calibri" w:cs="Calibri"/>
        </w:rPr>
      </w:pPr>
      <w:r w:rsidRPr="005655CF">
        <w:rPr>
          <w:rFonts w:ascii="Calibri" w:hAnsi="Calibri" w:cs="Calibri"/>
          <w:b/>
          <w:bCs/>
        </w:rPr>
        <w:t xml:space="preserve">Comparando la dosis inicial de adenosina prehospitalaria de 6 mg frente a 12 mg para la presunta taquicardia paroxística supraventricular (PSVT)  </w:t>
      </w:r>
      <w:proofErr w:type="spellStart"/>
      <w:r w:rsidRPr="00EA1B39">
        <w:rPr>
          <w:rFonts w:ascii="Calibri" w:hAnsi="Calibri" w:cs="Calibri"/>
        </w:rPr>
        <w:t>Fernandez</w:t>
      </w:r>
      <w:proofErr w:type="spellEnd"/>
      <w:r w:rsidRPr="00EA1B39">
        <w:rPr>
          <w:rFonts w:ascii="Calibri" w:hAnsi="Calibri" w:cs="Calibri"/>
        </w:rPr>
        <w:t xml:space="preserve"> A, </w:t>
      </w:r>
      <w:proofErr w:type="spellStart"/>
      <w:r w:rsidRPr="00EA1B39">
        <w:rPr>
          <w:rFonts w:ascii="Calibri" w:hAnsi="Calibri" w:cs="Calibri"/>
        </w:rPr>
        <w:t>Bourn</w:t>
      </w:r>
      <w:proofErr w:type="spellEnd"/>
      <w:r w:rsidRPr="00EA1B39">
        <w:rPr>
          <w:rFonts w:ascii="Calibri" w:hAnsi="Calibri" w:cs="Calibri"/>
        </w:rPr>
        <w:t xml:space="preserve"> S, Duncan D, et al.  </w:t>
      </w:r>
      <w:proofErr w:type="spellStart"/>
      <w:r w:rsidRPr="00EA1B39">
        <w:rPr>
          <w:rFonts w:ascii="Calibri" w:hAnsi="Calibri" w:cs="Calibri"/>
          <w:i/>
          <w:iCs/>
        </w:rPr>
        <w:t>Prehosp</w:t>
      </w:r>
      <w:proofErr w:type="spellEnd"/>
      <w:r w:rsidRPr="00EA1B39">
        <w:rPr>
          <w:rFonts w:ascii="Calibri" w:hAnsi="Calibri" w:cs="Calibri"/>
          <w:i/>
          <w:iCs/>
        </w:rPr>
        <w:t xml:space="preserve"> </w:t>
      </w:r>
      <w:proofErr w:type="spellStart"/>
      <w:r w:rsidRPr="00EA1B39">
        <w:rPr>
          <w:rFonts w:ascii="Calibri" w:hAnsi="Calibri" w:cs="Calibri"/>
          <w:i/>
          <w:iCs/>
        </w:rPr>
        <w:t>Urg</w:t>
      </w:r>
      <w:proofErr w:type="spellEnd"/>
      <w:r w:rsidRPr="00EA1B39">
        <w:rPr>
          <w:rFonts w:ascii="Calibri" w:hAnsi="Calibri" w:cs="Calibri"/>
          <w:i/>
          <w:iCs/>
        </w:rPr>
        <w:t xml:space="preserve"> Care </w:t>
      </w:r>
      <w:r w:rsidRPr="00EA1B39">
        <w:rPr>
          <w:rFonts w:ascii="Calibri" w:hAnsi="Calibri" w:cs="Calibri"/>
        </w:rPr>
        <w:t>2026;30:672-677.</w:t>
      </w:r>
    </w:p>
    <w:p w14:paraId="703D046F" w14:textId="59E24090" w:rsidR="00EA1B39" w:rsidRPr="00EA1B39" w:rsidRDefault="00EA1B39" w:rsidP="00EA1B39">
      <w:pPr>
        <w:pStyle w:val="Prrafodelista"/>
        <w:numPr>
          <w:ilvl w:val="0"/>
          <w:numId w:val="1"/>
        </w:numPr>
        <w:rPr>
          <w:rFonts w:ascii="Calibri" w:hAnsi="Calibri" w:cs="Calibri"/>
        </w:rPr>
      </w:pPr>
      <w:r w:rsidRPr="00EA1B39">
        <w:rPr>
          <w:rFonts w:ascii="Calibri" w:hAnsi="Calibri" w:cs="Calibri"/>
          <w:b/>
          <w:bCs/>
        </w:rPr>
        <w:t>Toracostomía con aguja prehospitalaria y la necesidad de implementar criterios objetivos para la intervención: un estudio retrospectivo.</w:t>
      </w:r>
      <w:r w:rsidRPr="00EA1B39">
        <w:rPr>
          <w:rFonts w:ascii="Calibri" w:hAnsi="Calibri" w:cs="Calibri"/>
        </w:rPr>
        <w:t xml:space="preserve">  </w:t>
      </w:r>
      <w:proofErr w:type="spellStart"/>
      <w:r w:rsidRPr="00EA1B39">
        <w:rPr>
          <w:rFonts w:ascii="Calibri" w:hAnsi="Calibri" w:cs="Calibri"/>
        </w:rPr>
        <w:t>Boever</w:t>
      </w:r>
      <w:proofErr w:type="spellEnd"/>
      <w:r w:rsidRPr="00EA1B39">
        <w:rPr>
          <w:rFonts w:ascii="Calibri" w:hAnsi="Calibri" w:cs="Calibri"/>
        </w:rPr>
        <w:t xml:space="preserve"> JC, </w:t>
      </w:r>
      <w:proofErr w:type="spellStart"/>
      <w:r w:rsidRPr="00EA1B39">
        <w:rPr>
          <w:rFonts w:ascii="Calibri" w:hAnsi="Calibri" w:cs="Calibri"/>
        </w:rPr>
        <w:t>Ott</w:t>
      </w:r>
      <w:proofErr w:type="spellEnd"/>
      <w:r w:rsidRPr="00EA1B39">
        <w:rPr>
          <w:rFonts w:ascii="Calibri" w:hAnsi="Calibri" w:cs="Calibri"/>
        </w:rPr>
        <w:t xml:space="preserve"> MJ, </w:t>
      </w:r>
      <w:proofErr w:type="spellStart"/>
      <w:r w:rsidRPr="00EA1B39">
        <w:rPr>
          <w:rFonts w:ascii="Calibri" w:hAnsi="Calibri" w:cs="Calibri"/>
        </w:rPr>
        <w:t>Muldiiarov</w:t>
      </w:r>
      <w:proofErr w:type="spellEnd"/>
      <w:r w:rsidRPr="00EA1B39">
        <w:rPr>
          <w:rFonts w:ascii="Calibri" w:hAnsi="Calibri" w:cs="Calibri"/>
        </w:rPr>
        <w:t xml:space="preserve"> V, entre otros.  </w:t>
      </w:r>
      <w:r w:rsidRPr="00EA1B39">
        <w:rPr>
          <w:rFonts w:ascii="Calibri" w:hAnsi="Calibri" w:cs="Calibri"/>
          <w:i/>
          <w:iCs/>
        </w:rPr>
        <w:t xml:space="preserve">Lesión </w:t>
      </w:r>
      <w:r w:rsidRPr="00EA1B39">
        <w:rPr>
          <w:rFonts w:ascii="Calibri" w:hAnsi="Calibri" w:cs="Calibri"/>
        </w:rPr>
        <w:t xml:space="preserve">2026; 57:112973 </w:t>
      </w:r>
    </w:p>
    <w:p w14:paraId="00EAC925" w14:textId="3C054B51" w:rsidR="00DB3A4E" w:rsidRPr="00EA1B39" w:rsidRDefault="00EA1B39" w:rsidP="00EA1B39">
      <w:pPr>
        <w:pStyle w:val="Prrafodelista"/>
        <w:numPr>
          <w:ilvl w:val="0"/>
          <w:numId w:val="1"/>
        </w:numPr>
        <w:autoSpaceDE w:val="0"/>
        <w:autoSpaceDN w:val="0"/>
        <w:adjustRightInd w:val="0"/>
        <w:spacing w:before="100" w:beforeAutospacing="1" w:after="100" w:afterAutospacing="1"/>
        <w:rPr>
          <w:rFonts w:ascii="Calibri" w:hAnsi="Calibri" w:cs="Calibri"/>
        </w:rPr>
      </w:pPr>
      <w:r w:rsidRPr="00EA1B39">
        <w:rPr>
          <w:rFonts w:ascii="Calibri" w:hAnsi="Calibri" w:cs="Calibri"/>
          <w:b/>
          <w:bCs/>
        </w:rPr>
        <w:t xml:space="preserve">Resultados a largo plazo de pacientes con trauma tras el tratamiento con ácido tranexámico prehospitalario: análisis de subgrupos del ensayo PATCH-Trauma.  </w:t>
      </w:r>
      <w:r w:rsidRPr="00EA1B39">
        <w:rPr>
          <w:rFonts w:ascii="Calibri" w:hAnsi="Calibri" w:cs="Calibri"/>
        </w:rPr>
        <w:t xml:space="preserve">Mitra B, </w:t>
      </w:r>
      <w:proofErr w:type="spellStart"/>
      <w:r w:rsidRPr="00EA1B39">
        <w:rPr>
          <w:rFonts w:ascii="Calibri" w:hAnsi="Calibri" w:cs="Calibri"/>
        </w:rPr>
        <w:t>MacKenzie</w:t>
      </w:r>
      <w:proofErr w:type="spellEnd"/>
      <w:r w:rsidRPr="00EA1B39">
        <w:rPr>
          <w:rFonts w:ascii="Calibri" w:hAnsi="Calibri" w:cs="Calibri"/>
        </w:rPr>
        <w:t xml:space="preserve"> S, </w:t>
      </w:r>
      <w:proofErr w:type="spellStart"/>
      <w:r w:rsidRPr="00EA1B39">
        <w:rPr>
          <w:rFonts w:ascii="Calibri" w:hAnsi="Calibri" w:cs="Calibri"/>
        </w:rPr>
        <w:t>Bourke</w:t>
      </w:r>
      <w:proofErr w:type="spellEnd"/>
      <w:r w:rsidRPr="00EA1B39">
        <w:rPr>
          <w:rFonts w:ascii="Calibri" w:hAnsi="Calibri" w:cs="Calibri"/>
        </w:rPr>
        <w:t xml:space="preserve"> EM, et al.  </w:t>
      </w:r>
      <w:r w:rsidRPr="00EA1B39">
        <w:rPr>
          <w:rFonts w:ascii="Calibri" w:hAnsi="Calibri" w:cs="Calibri"/>
          <w:i/>
          <w:iCs/>
        </w:rPr>
        <w:t xml:space="preserve">J </w:t>
      </w:r>
      <w:proofErr w:type="spellStart"/>
      <w:r w:rsidRPr="00EA1B39">
        <w:rPr>
          <w:rFonts w:ascii="Calibri" w:hAnsi="Calibri" w:cs="Calibri"/>
          <w:i/>
          <w:iCs/>
        </w:rPr>
        <w:t>Amer</w:t>
      </w:r>
      <w:proofErr w:type="spellEnd"/>
      <w:r w:rsidRPr="00EA1B39">
        <w:rPr>
          <w:rFonts w:ascii="Calibri" w:hAnsi="Calibri" w:cs="Calibri"/>
          <w:i/>
          <w:iCs/>
        </w:rPr>
        <w:t xml:space="preserve"> Coll </w:t>
      </w:r>
      <w:proofErr w:type="spellStart"/>
      <w:r w:rsidRPr="00EA1B39">
        <w:rPr>
          <w:rFonts w:ascii="Calibri" w:hAnsi="Calibri" w:cs="Calibri"/>
          <w:i/>
          <w:iCs/>
        </w:rPr>
        <w:t>Emerg</w:t>
      </w:r>
      <w:proofErr w:type="spellEnd"/>
      <w:r w:rsidRPr="00EA1B39">
        <w:rPr>
          <w:rFonts w:ascii="Calibri" w:hAnsi="Calibri" w:cs="Calibri"/>
          <w:i/>
          <w:iCs/>
        </w:rPr>
        <w:t xml:space="preserve"> </w:t>
      </w:r>
      <w:proofErr w:type="spellStart"/>
      <w:r w:rsidRPr="00EA1B39">
        <w:rPr>
          <w:rFonts w:ascii="Calibri" w:hAnsi="Calibri" w:cs="Calibri"/>
          <w:i/>
          <w:iCs/>
        </w:rPr>
        <w:t>Phys</w:t>
      </w:r>
      <w:proofErr w:type="spellEnd"/>
      <w:r w:rsidRPr="00EA1B39">
        <w:rPr>
          <w:rFonts w:ascii="Calibri" w:hAnsi="Calibri" w:cs="Calibri"/>
          <w:i/>
          <w:iCs/>
        </w:rPr>
        <w:t xml:space="preserve"> Open </w:t>
      </w:r>
      <w:r w:rsidRPr="00EA1B39">
        <w:rPr>
          <w:rFonts w:ascii="Calibri" w:hAnsi="Calibri" w:cs="Calibri"/>
        </w:rPr>
        <w:t>2026;7:100417.  El texto completo está disponible en línea en https://doi.org/10.1016/j.acepjo.2026.100417</w:t>
      </w:r>
    </w:p>
    <w:p w14:paraId="2E2BAA1E" w14:textId="4A33530D" w:rsidR="00030CC4" w:rsidRPr="00DB3A4E" w:rsidRDefault="00030CC4" w:rsidP="00DB3A4E">
      <w:pPr>
        <w:pStyle w:val="Prrafodelista"/>
        <w:autoSpaceDE w:val="0"/>
        <w:autoSpaceDN w:val="0"/>
        <w:adjustRightInd w:val="0"/>
        <w:spacing w:before="100" w:beforeAutospacing="1" w:after="100" w:afterAutospacing="1"/>
        <w:ind w:left="360" w:firstLine="0"/>
        <w:rPr>
          <w:rFonts w:cstheme="minorHAnsi"/>
        </w:rPr>
      </w:pPr>
    </w:p>
    <w:p w14:paraId="4FE41DE7" w14:textId="77777777" w:rsidR="007D1A55" w:rsidRPr="007D1A55" w:rsidRDefault="007D1A55" w:rsidP="007D1A55">
      <w:pPr>
        <w:pStyle w:val="Prrafodelista"/>
        <w:numPr>
          <w:ilvl w:val="0"/>
          <w:numId w:val="4"/>
        </w:numPr>
        <w:autoSpaceDE w:val="0"/>
        <w:autoSpaceDN w:val="0"/>
        <w:adjustRightInd w:val="0"/>
        <w:spacing w:before="100" w:beforeAutospacing="1" w:after="100" w:afterAutospacing="1"/>
        <w:rPr>
          <w:rFonts w:ascii="Calibri" w:hAnsi="Calibri" w:cs="Calibri"/>
        </w:rPr>
      </w:pPr>
      <w:r w:rsidRPr="007D1A55">
        <w:rPr>
          <w:rFonts w:cstheme="minorHAnsi"/>
          <w:b/>
          <w:bCs/>
        </w:rPr>
        <w:t xml:space="preserve">El uso prehospitalario de luces y sirenas en el ictus se asocia con tiempos de transición puerta a TAC más rápidos, pero no con la </w:t>
      </w:r>
      <w:proofErr w:type="spellStart"/>
      <w:r w:rsidRPr="007D1A55">
        <w:rPr>
          <w:rFonts w:cstheme="minorHAnsi"/>
          <w:b/>
          <w:bCs/>
        </w:rPr>
        <w:t>trombolisis</w:t>
      </w:r>
      <w:proofErr w:type="spellEnd"/>
      <w:r w:rsidRPr="007D1A55">
        <w:rPr>
          <w:rFonts w:cstheme="minorHAnsi"/>
          <w:b/>
          <w:bCs/>
        </w:rPr>
        <w:t xml:space="preserve"> puerta a puerta ni con la terapia endovascular.  </w:t>
      </w:r>
      <w:proofErr w:type="spellStart"/>
      <w:r w:rsidRPr="007D1A55">
        <w:rPr>
          <w:rFonts w:cstheme="minorHAnsi"/>
        </w:rPr>
        <w:t>Wham</w:t>
      </w:r>
      <w:proofErr w:type="spellEnd"/>
      <w:r w:rsidRPr="007D1A55">
        <w:rPr>
          <w:rFonts w:cstheme="minorHAnsi"/>
        </w:rPr>
        <w:t xml:space="preserve"> CD, </w:t>
      </w:r>
      <w:proofErr w:type="spellStart"/>
      <w:r w:rsidRPr="007D1A55">
        <w:rPr>
          <w:rFonts w:cstheme="minorHAnsi"/>
        </w:rPr>
        <w:t>Nicke</w:t>
      </w:r>
      <w:proofErr w:type="spellEnd"/>
      <w:r w:rsidRPr="007D1A55">
        <w:rPr>
          <w:rFonts w:cstheme="minorHAnsi"/>
        </w:rPr>
        <w:t xml:space="preserve"> D, Espinoza IS, entre otros.  </w:t>
      </w:r>
      <w:r w:rsidRPr="007D1A55">
        <w:rPr>
          <w:rFonts w:cstheme="minorHAnsi"/>
          <w:i/>
          <w:iCs/>
        </w:rPr>
        <w:t xml:space="preserve">J </w:t>
      </w:r>
      <w:proofErr w:type="spellStart"/>
      <w:r w:rsidRPr="007D1A55">
        <w:rPr>
          <w:rFonts w:cstheme="minorHAnsi"/>
          <w:i/>
          <w:iCs/>
        </w:rPr>
        <w:t>Amer</w:t>
      </w:r>
      <w:proofErr w:type="spellEnd"/>
      <w:r w:rsidRPr="007D1A55">
        <w:rPr>
          <w:rFonts w:cstheme="minorHAnsi"/>
          <w:i/>
          <w:iCs/>
        </w:rPr>
        <w:t xml:space="preserve"> Coll </w:t>
      </w:r>
      <w:proofErr w:type="spellStart"/>
      <w:r w:rsidRPr="007D1A55">
        <w:rPr>
          <w:rFonts w:cstheme="minorHAnsi"/>
          <w:i/>
          <w:iCs/>
        </w:rPr>
        <w:t>Emerg</w:t>
      </w:r>
      <w:proofErr w:type="spellEnd"/>
      <w:r w:rsidRPr="007D1A55">
        <w:rPr>
          <w:rFonts w:cstheme="minorHAnsi"/>
          <w:i/>
          <w:iCs/>
        </w:rPr>
        <w:t xml:space="preserve"> </w:t>
      </w:r>
      <w:proofErr w:type="spellStart"/>
      <w:r w:rsidRPr="007D1A55">
        <w:rPr>
          <w:rFonts w:cstheme="minorHAnsi"/>
          <w:i/>
          <w:iCs/>
        </w:rPr>
        <w:t>Phys</w:t>
      </w:r>
      <w:proofErr w:type="spellEnd"/>
      <w:r w:rsidRPr="007D1A55">
        <w:rPr>
          <w:rFonts w:cstheme="minorHAnsi"/>
          <w:i/>
          <w:iCs/>
        </w:rPr>
        <w:t xml:space="preserve"> Open</w:t>
      </w:r>
      <w:r w:rsidRPr="007D1A55">
        <w:rPr>
          <w:rFonts w:cstheme="minorHAnsi"/>
        </w:rPr>
        <w:t xml:space="preserve"> 2026, texto completo disponible en línea en </w:t>
      </w:r>
      <w:hyperlink r:id="rId11" w:history="1">
        <w:r w:rsidRPr="007D1A55">
          <w:rPr>
            <w:rStyle w:val="Hipervnculo"/>
            <w:rFonts w:cstheme="minorHAnsi"/>
          </w:rPr>
          <w:t>https://doi.org/10.1016/j.acepjo.2026.100415</w:t>
        </w:r>
      </w:hyperlink>
    </w:p>
    <w:p w14:paraId="3D8CE902" w14:textId="77777777" w:rsidR="007D3AB0" w:rsidRPr="007D3AB0" w:rsidRDefault="007D3AB0" w:rsidP="007D3AB0">
      <w:pPr>
        <w:pStyle w:val="Prrafodelista"/>
        <w:ind w:left="360" w:firstLine="0"/>
        <w:rPr>
          <w:rFonts w:cstheme="minorHAnsi"/>
        </w:rPr>
      </w:pPr>
    </w:p>
    <w:p w14:paraId="32E82B8E" w14:textId="26600820" w:rsidR="007D1A55" w:rsidRPr="00413423" w:rsidRDefault="007D1A55" w:rsidP="007D1A55">
      <w:pPr>
        <w:rPr>
          <w:rFonts w:ascii="Calibri" w:hAnsi="Calibri" w:cs="Calibri"/>
        </w:rPr>
      </w:pPr>
      <w:r w:rsidRPr="00413423">
        <w:rPr>
          <w:rFonts w:ascii="Calibri" w:hAnsi="Calibri" w:cs="Calibri"/>
        </w:rPr>
        <w:t>El uso prehospitalario de luces y sirenas (L&amp;S) para atravesar rápidamente el tráfico y llevar a los pacientes a una atención definitiva ha sido un pilar del tratamiento desde la creación de los modernos sistemas de Servicios Médicos de Emergencia (S</w:t>
      </w:r>
      <w:r w:rsidR="000E60B2">
        <w:rPr>
          <w:rFonts w:ascii="Calibri" w:hAnsi="Calibri" w:cs="Calibri"/>
        </w:rPr>
        <w:t>ME</w:t>
      </w:r>
      <w:r w:rsidRPr="00413423">
        <w:rPr>
          <w:rFonts w:ascii="Calibri" w:hAnsi="Calibri" w:cs="Calibri"/>
        </w:rPr>
        <w:t>). Aunque se asume que los resultados para los pacientes mejoran con el uso de L&amp;S por S</w:t>
      </w:r>
      <w:r w:rsidR="000E60B2">
        <w:rPr>
          <w:rFonts w:ascii="Calibri" w:hAnsi="Calibri" w:cs="Calibri"/>
        </w:rPr>
        <w:t>ME</w:t>
      </w:r>
      <w:r w:rsidRPr="00413423">
        <w:rPr>
          <w:rFonts w:ascii="Calibri" w:hAnsi="Calibri" w:cs="Calibri"/>
        </w:rPr>
        <w:t xml:space="preserve">, datos de otros estudios muestran que esto puede no ser realmente cierto. En el caso del ictus, la administración de trombolíticos intravenosos (TV) y la trombectomía endovascular (EVT) son las únicas intervenciones agudas utilizadas. Estos tratamientos se consideran sensibles al tiempo y hasta pequeñas diferencias en el tiempo hasta el tratamiento pueden mejorar los resultados. Por el contrario, el uso de L&amp;S no está exento de riesgos para los proveedores prehospitalarios y el público en general. La tasa de accidentes de ambulancias se duplica más que el doble cuando se utilizan L&amp;S. Se ha descrito un "efecto de estela", donde ocurren accidentes que involucran al público general después de que el tráfico se reanuda una vez que la ambulancia pasa. </w:t>
      </w:r>
    </w:p>
    <w:p w14:paraId="0FDBB1F8" w14:textId="77777777" w:rsidR="007D1A55" w:rsidRPr="00413423" w:rsidRDefault="007D1A55" w:rsidP="007D1A55">
      <w:pPr>
        <w:rPr>
          <w:rFonts w:ascii="Calibri" w:hAnsi="Calibri" w:cs="Calibri"/>
        </w:rPr>
      </w:pPr>
      <w:r w:rsidRPr="00413423">
        <w:rPr>
          <w:rFonts w:ascii="Calibri" w:hAnsi="Calibri" w:cs="Calibri"/>
        </w:rPr>
        <w:t xml:space="preserve">El objetivo de este estudio es determinar si el uso de L&amp;S por parte de emergencias médicas en ictus agudo está asociado con una mejora en la atención hospitalaria y los resultados para los pacientes. El estudio es un análisis retrospectivo de cohortes de pacientes identificados por el EMS como con una impresión primaria o secundaria de ictus, accidente cerebrovascular (AVC) o ataque isquémico transitorio (AIT), o que fueron activados como "alerta de ictus" desde el entorno prehospitalario entre 2020 y 2022. La población del estudio se derivó de una mezcla de 70 agencias privadas y de servicios de </w:t>
      </w:r>
      <w:r w:rsidRPr="00413423">
        <w:rPr>
          <w:rFonts w:ascii="Calibri" w:hAnsi="Calibri" w:cs="Calibri"/>
        </w:rPr>
        <w:lastRenderedPageBreak/>
        <w:t xml:space="preserve">emergencia médicas basadas en bomberos y 30 hospitales asociados. Se excluyeron los traslados entre instalaciones. Los hospitales participantes eran una mezcla de centros médicos comunitarios y académicos, con distintos niveles de capacidad de atención al ictus. Se extrajeron datos hospitalarios de los registros locales </w:t>
      </w:r>
      <w:proofErr w:type="spellStart"/>
      <w:r w:rsidRPr="00413423">
        <w:rPr>
          <w:rFonts w:ascii="Calibri" w:hAnsi="Calibri" w:cs="Calibri"/>
        </w:rPr>
        <w:t>Get</w:t>
      </w:r>
      <w:proofErr w:type="spellEnd"/>
      <w:r w:rsidRPr="00413423">
        <w:rPr>
          <w:rFonts w:ascii="Calibri" w:hAnsi="Calibri" w:cs="Calibri"/>
        </w:rPr>
        <w:t xml:space="preserve"> </w:t>
      </w:r>
      <w:proofErr w:type="spellStart"/>
      <w:r w:rsidRPr="00413423">
        <w:rPr>
          <w:rFonts w:ascii="Calibri" w:hAnsi="Calibri" w:cs="Calibri"/>
        </w:rPr>
        <w:t>with</w:t>
      </w:r>
      <w:proofErr w:type="spellEnd"/>
      <w:r w:rsidRPr="00413423">
        <w:rPr>
          <w:rFonts w:ascii="Calibri" w:hAnsi="Calibri" w:cs="Calibri"/>
        </w:rPr>
        <w:t xml:space="preserve"> </w:t>
      </w:r>
      <w:proofErr w:type="spellStart"/>
      <w:r w:rsidRPr="00413423">
        <w:rPr>
          <w:rFonts w:ascii="Calibri" w:hAnsi="Calibri" w:cs="Calibri"/>
        </w:rPr>
        <w:t>the</w:t>
      </w:r>
      <w:proofErr w:type="spellEnd"/>
      <w:r w:rsidRPr="00413423">
        <w:rPr>
          <w:rFonts w:ascii="Calibri" w:hAnsi="Calibri" w:cs="Calibri"/>
        </w:rPr>
        <w:t xml:space="preserve"> </w:t>
      </w:r>
      <w:proofErr w:type="spellStart"/>
      <w:r w:rsidRPr="00413423">
        <w:rPr>
          <w:rFonts w:ascii="Calibri" w:hAnsi="Calibri" w:cs="Calibri"/>
        </w:rPr>
        <w:t>Guidelines</w:t>
      </w:r>
      <w:proofErr w:type="spellEnd"/>
      <w:r w:rsidRPr="00413423">
        <w:rPr>
          <w:rFonts w:ascii="Calibri" w:hAnsi="Calibri" w:cs="Calibri"/>
        </w:rPr>
        <w:t xml:space="preserve"> </w:t>
      </w:r>
      <w:proofErr w:type="spellStart"/>
      <w:r w:rsidRPr="00413423">
        <w:rPr>
          <w:rFonts w:ascii="Calibri" w:hAnsi="Calibri" w:cs="Calibri"/>
        </w:rPr>
        <w:t>Stroke</w:t>
      </w:r>
      <w:proofErr w:type="spellEnd"/>
      <w:r w:rsidRPr="00413423">
        <w:rPr>
          <w:rFonts w:ascii="Calibri" w:hAnsi="Calibri" w:cs="Calibri"/>
        </w:rPr>
        <w:t xml:space="preserve"> (GSTG-S) de cualquier hospital que sea un centro de ictus registrado y de un formulario estandarizado creado para agencias de emergencias médicas y centros no relacionados con ictus. </w:t>
      </w:r>
    </w:p>
    <w:p w14:paraId="7A47203A" w14:textId="77777777" w:rsidR="007D1A55" w:rsidRPr="00413423" w:rsidRDefault="007D1A55" w:rsidP="007D1A55">
      <w:pPr>
        <w:rPr>
          <w:rFonts w:ascii="Calibri" w:hAnsi="Calibri" w:cs="Calibri"/>
        </w:rPr>
      </w:pPr>
      <w:r w:rsidRPr="00413423">
        <w:rPr>
          <w:rFonts w:ascii="Calibri" w:hAnsi="Calibri" w:cs="Calibri"/>
        </w:rPr>
        <w:t xml:space="preserve">En total, se incluyeron 3.161 pacientes en el estudio. De esos, el 75% (n=2.384) fueron transportados con L&amp;S y el 25% (n=776) se transportaron sin ella. Los transportados con y sin L&amp;S no diferían por raza, sexo o etnia, aunque el grupo L&amp;S era más joven (75 frente a 76 años). La puntuación mediana de la Escala de Ictus del </w:t>
      </w:r>
      <w:proofErr w:type="spellStart"/>
      <w:r w:rsidRPr="00413423">
        <w:rPr>
          <w:rFonts w:ascii="Calibri" w:hAnsi="Calibri" w:cs="Calibri"/>
        </w:rPr>
        <w:t>National</w:t>
      </w:r>
      <w:proofErr w:type="spellEnd"/>
      <w:r w:rsidRPr="00413423">
        <w:rPr>
          <w:rFonts w:ascii="Calibri" w:hAnsi="Calibri" w:cs="Calibri"/>
        </w:rPr>
        <w:t xml:space="preserve"> </w:t>
      </w:r>
      <w:proofErr w:type="spellStart"/>
      <w:r w:rsidRPr="00413423">
        <w:rPr>
          <w:rFonts w:ascii="Calibri" w:hAnsi="Calibri" w:cs="Calibri"/>
        </w:rPr>
        <w:t>Institutes</w:t>
      </w:r>
      <w:proofErr w:type="spellEnd"/>
      <w:r w:rsidRPr="00413423">
        <w:rPr>
          <w:rFonts w:ascii="Calibri" w:hAnsi="Calibri" w:cs="Calibri"/>
        </w:rPr>
        <w:t xml:space="preserve"> of Health (NIHSS) transportada por L&amp;S fue más alta que la de quienes no lo transportaron (8 frente a 3). El tiempo total de transporte para los pacientes transportados sin L&amp;S fue 2,7 minutos más largo que para los transportados con L&amp;S. Las recomendaciones de la Asociación Americana del Corazón (AHA) para la atención prehospitalaria de pacientes con sospecha de ictus se siguieron con mayor cumplimiento en aquellos transportados con L&amp;S (13% frente a 5%). </w:t>
      </w:r>
    </w:p>
    <w:p w14:paraId="15AC4690" w14:textId="77777777" w:rsidR="007D1A55" w:rsidRPr="00413423" w:rsidRDefault="007D1A55" w:rsidP="007D1A55">
      <w:pPr>
        <w:rPr>
          <w:rFonts w:ascii="Calibri" w:hAnsi="Calibri" w:cs="Calibri"/>
        </w:rPr>
      </w:pPr>
      <w:r w:rsidRPr="00413423">
        <w:rPr>
          <w:rFonts w:ascii="Calibri" w:hAnsi="Calibri" w:cs="Calibri"/>
        </w:rPr>
        <w:t xml:space="preserve">El transporte con L&amp;S se asoció a un tiempo más rápido de puerta a CT. Además, la notificación previa por parte de los servicios de emergencia resultó en una reducción del 31% en el tiempo de TAC en la puerta. Aunque el tiempo de TAC en puerta mejoró con L&amp;S, esto no se tradujo en un tiempo mejorado hasta el tratamiento definitivo, ya que la diferencia general entre los transportados con y sin L&amp;S fue pequeña. De toda la cohorte, el 18% (n=5790) de los pacientes recibieron TIVI. De estos, el 89% (n=513) fueron transportados con L&amp;S. Al controlar para cofundadores, el transporte con L&amp;S comparado con el transporte sin L&amp;S no se asociaba con una reducción del tiempo de IVT por puerta. El tiempo total de transporte tampoco se asoció con una reducción del tiempo de IVT en la puerta. El tiempo medio de IVT en puerta con L&amp;S era de 45 minutos y sin L&amp;S de 48 minutos. Un total del 5,6% (n=182) recibió terapia endovascular (EVT). Al controlar para cofundadores, ni el transporte con L&amp;S ni el tiempo total de transporte se asociaron con una mejora en el tiempo de puerta y EVT. El tiempo medio de la puerta para EVT con L&amp;S era de 101 minutos, frente a 104 minutos en aquellos sin L&amp;S. Por último, el uso de L&amp;S no se asoció con una diferencia en los resultados de los pacientes: la tasa de alta a domicilio o cuidados a largo plazo en comparación con la muerte o la colocación en hospicio no difería entre quienes fueron transportados con o sin L&amp;S. Los pacientes trasladados a un centro de ictus de primaria en lugar de a un hospital no reconocido tenían 19 veces más probabilidades de alta a domicilio en lugar de muerte o cuidados paliativos, pero el uso de L&amp;S por parte de emergencias médicas no cambió este resultado. </w:t>
      </w:r>
    </w:p>
    <w:p w14:paraId="0D1BAE99" w14:textId="77777777" w:rsidR="007D1A55" w:rsidRPr="00413423" w:rsidRDefault="007D1A55" w:rsidP="007D1A55">
      <w:pPr>
        <w:rPr>
          <w:rFonts w:ascii="Calibri" w:hAnsi="Calibri" w:cs="Calibri"/>
        </w:rPr>
      </w:pPr>
      <w:r w:rsidRPr="00413423">
        <w:rPr>
          <w:rFonts w:ascii="Calibri" w:hAnsi="Calibri" w:cs="Calibri"/>
        </w:rPr>
        <w:t xml:space="preserve">Este estudio tenía algunas limitaciones. Fue un estudio retrospectivo de una base de datos que involucraba a múltiples agencias y tipos diferentes de hospitales de emergencias médicas. Sin embargo, esto también podría ser una fortaleza del estudio, ya que incluyó a una población muy heterogénea. Como el conjunto de datos se derivó de situaciones de emergencia, faltaban algunos datos. </w:t>
      </w:r>
    </w:p>
    <w:p w14:paraId="7A05E477" w14:textId="77777777" w:rsidR="007D1A55" w:rsidRPr="00413423" w:rsidRDefault="007D1A55" w:rsidP="007D1A55">
      <w:pPr>
        <w:rPr>
          <w:rFonts w:ascii="Calibri" w:hAnsi="Calibri" w:cs="Calibri"/>
        </w:rPr>
      </w:pPr>
      <w:r w:rsidRPr="00413423">
        <w:rPr>
          <w:rFonts w:ascii="Calibri" w:hAnsi="Calibri" w:cs="Calibri"/>
        </w:rPr>
        <w:t xml:space="preserve">Este estudio demuestra que el uso de L&amp;S por EMS para transportar a pacientes sospechosos de ictus no mejoró el tiempo hasta la terapia trombolítica intravenosa, la trombectomía endovascular ni el resultado general. Como se ha señalado, el uso de L&amp;S solo redujo el tiempo de transporte en una media de 2,7 minutos, sin que se demuestre ninguna mejora en los resultados. Al considerar los peligros inherentes para el personal de emergencias médicas y el público general con el uso de L&amp;S y el ahorro mínimo de tiempo, hay que tener en cuenta que el riesgo de esta práctica puede superar cualquier beneficio potencial. Definitivamente se justifican más estudios para ver si esto también se aplica a posibles emergencias cardíacas y </w:t>
      </w:r>
      <w:proofErr w:type="spellStart"/>
      <w:r w:rsidRPr="00413423">
        <w:rPr>
          <w:rFonts w:ascii="Calibri" w:hAnsi="Calibri" w:cs="Calibri"/>
        </w:rPr>
        <w:t>traumatismáticas</w:t>
      </w:r>
      <w:proofErr w:type="spellEnd"/>
      <w:r w:rsidRPr="00413423">
        <w:rPr>
          <w:rFonts w:ascii="Calibri" w:hAnsi="Calibri" w:cs="Calibri"/>
        </w:rPr>
        <w:t xml:space="preserve">. </w:t>
      </w:r>
    </w:p>
    <w:p w14:paraId="40C9912E" w14:textId="77777777" w:rsidR="00EA1B39" w:rsidRPr="00EA1B39" w:rsidRDefault="00EA1B39" w:rsidP="00EA1B39">
      <w:pPr>
        <w:pStyle w:val="Prrafodelista"/>
        <w:numPr>
          <w:ilvl w:val="0"/>
          <w:numId w:val="5"/>
        </w:numPr>
        <w:autoSpaceDE w:val="0"/>
        <w:autoSpaceDN w:val="0"/>
        <w:adjustRightInd w:val="0"/>
        <w:spacing w:before="100" w:beforeAutospacing="1" w:after="100" w:afterAutospacing="1"/>
        <w:rPr>
          <w:rFonts w:ascii="Calibri" w:hAnsi="Calibri" w:cs="Calibri"/>
        </w:rPr>
      </w:pPr>
      <w:r w:rsidRPr="005655CF">
        <w:rPr>
          <w:rFonts w:ascii="Calibri" w:hAnsi="Calibri" w:cs="Calibri"/>
          <w:b/>
          <w:bCs/>
        </w:rPr>
        <w:lastRenderedPageBreak/>
        <w:t xml:space="preserve">Comparando la dosis inicial de adenosina prehospitalaria de 6 mg frente a 12 mg para la presunta taquicardia paroxística supraventricular (PSVT)  </w:t>
      </w:r>
      <w:proofErr w:type="spellStart"/>
      <w:r w:rsidRPr="00EA1B39">
        <w:rPr>
          <w:rFonts w:ascii="Calibri" w:hAnsi="Calibri" w:cs="Calibri"/>
        </w:rPr>
        <w:t>Fernandez</w:t>
      </w:r>
      <w:proofErr w:type="spellEnd"/>
      <w:r w:rsidRPr="00EA1B39">
        <w:rPr>
          <w:rFonts w:ascii="Calibri" w:hAnsi="Calibri" w:cs="Calibri"/>
        </w:rPr>
        <w:t xml:space="preserve"> A, </w:t>
      </w:r>
      <w:proofErr w:type="spellStart"/>
      <w:r w:rsidRPr="00EA1B39">
        <w:rPr>
          <w:rFonts w:ascii="Calibri" w:hAnsi="Calibri" w:cs="Calibri"/>
        </w:rPr>
        <w:t>Bourn</w:t>
      </w:r>
      <w:proofErr w:type="spellEnd"/>
      <w:r w:rsidRPr="00EA1B39">
        <w:rPr>
          <w:rFonts w:ascii="Calibri" w:hAnsi="Calibri" w:cs="Calibri"/>
        </w:rPr>
        <w:t xml:space="preserve"> S, Duncan D, et al.  </w:t>
      </w:r>
      <w:proofErr w:type="spellStart"/>
      <w:r w:rsidRPr="00EA1B39">
        <w:rPr>
          <w:rFonts w:ascii="Calibri" w:hAnsi="Calibri" w:cs="Calibri"/>
          <w:i/>
          <w:iCs/>
        </w:rPr>
        <w:t>Prehosp</w:t>
      </w:r>
      <w:proofErr w:type="spellEnd"/>
      <w:r w:rsidRPr="00EA1B39">
        <w:rPr>
          <w:rFonts w:ascii="Calibri" w:hAnsi="Calibri" w:cs="Calibri"/>
          <w:i/>
          <w:iCs/>
        </w:rPr>
        <w:t xml:space="preserve"> </w:t>
      </w:r>
      <w:proofErr w:type="spellStart"/>
      <w:r w:rsidRPr="00EA1B39">
        <w:rPr>
          <w:rFonts w:ascii="Calibri" w:hAnsi="Calibri" w:cs="Calibri"/>
          <w:i/>
          <w:iCs/>
        </w:rPr>
        <w:t>Urg</w:t>
      </w:r>
      <w:proofErr w:type="spellEnd"/>
      <w:r w:rsidRPr="00EA1B39">
        <w:rPr>
          <w:rFonts w:ascii="Calibri" w:hAnsi="Calibri" w:cs="Calibri"/>
          <w:i/>
          <w:iCs/>
        </w:rPr>
        <w:t xml:space="preserve"> Care </w:t>
      </w:r>
      <w:r w:rsidRPr="00EA1B39">
        <w:rPr>
          <w:rFonts w:ascii="Calibri" w:hAnsi="Calibri" w:cs="Calibri"/>
        </w:rPr>
        <w:t>2026;30:672-677.</w:t>
      </w:r>
    </w:p>
    <w:p w14:paraId="5457B17D" w14:textId="77777777" w:rsidR="000403B1" w:rsidRPr="009B3196" w:rsidRDefault="000403B1" w:rsidP="000403B1">
      <w:pPr>
        <w:pStyle w:val="Prrafodelista"/>
        <w:ind w:left="360" w:firstLine="0"/>
        <w:rPr>
          <w:rFonts w:cstheme="minorHAnsi"/>
          <w:b/>
        </w:rPr>
      </w:pPr>
    </w:p>
    <w:p w14:paraId="0AD0A850" w14:textId="77777777" w:rsidR="00EA1B39" w:rsidRPr="00EA1B39" w:rsidRDefault="00EA1B39" w:rsidP="00EA1B39">
      <w:pPr>
        <w:rPr>
          <w:rFonts w:cstheme="minorHAnsi"/>
        </w:rPr>
      </w:pPr>
      <w:r w:rsidRPr="00EA1B39">
        <w:rPr>
          <w:rFonts w:cstheme="minorHAnsi"/>
        </w:rPr>
        <w:t>En 1990, la Administración Federal de Medicamentos aprobó la adenosina para el tratamiento de la taquicardia supraventricular paroxística (TSVP). La Asociación Americana del Corazón adoptó el uso de adenosina en su algoritmo de tratamiento de la PSVT en 1992 y posteriormente se incorporó a los protocolos de tratamiento prehospitalario.  En Estados Unidos, se estima que hay 89.000 nuevos casos de PSVT anualmente.</w:t>
      </w:r>
    </w:p>
    <w:p w14:paraId="01D5B4A5" w14:textId="77777777" w:rsidR="00EA1B39" w:rsidRPr="00EA1B39" w:rsidRDefault="00EA1B39" w:rsidP="00EA1B39">
      <w:pPr>
        <w:rPr>
          <w:rFonts w:cstheme="minorHAnsi"/>
        </w:rPr>
      </w:pPr>
    </w:p>
    <w:p w14:paraId="7E7FDE87" w14:textId="77777777" w:rsidR="00EA1B39" w:rsidRPr="00EA1B39" w:rsidRDefault="00EA1B39" w:rsidP="00EA1B39">
      <w:pPr>
        <w:rPr>
          <w:rFonts w:cstheme="minorHAnsi"/>
        </w:rPr>
      </w:pPr>
      <w:r w:rsidRPr="00EA1B39">
        <w:rPr>
          <w:rFonts w:cstheme="minorHAnsi"/>
        </w:rPr>
        <w:t xml:space="preserve">Los pacientes que padecen PSVT suelen quejarse de palpitaciones, molestias torácicas, diaforesis, dificultad para respirar y dolores en el pecho.  Si no se trata, la TSVP puede provocar síncope, ictus isquémico, hipotensión e incluso muerte súbita.  La recomendación actual para el tratamiento de la PSVT consiste en administrar una dosis rápida intravenosa de adenosina de 6 mg, seguida de 12 mg de </w:t>
      </w:r>
      <w:proofErr w:type="spellStart"/>
      <w:r w:rsidRPr="00EA1B39">
        <w:rPr>
          <w:rFonts w:cstheme="minorHAnsi"/>
        </w:rPr>
        <w:t>bolus</w:t>
      </w:r>
      <w:proofErr w:type="spellEnd"/>
      <w:r w:rsidRPr="00EA1B39">
        <w:rPr>
          <w:rFonts w:cstheme="minorHAnsi"/>
        </w:rPr>
        <w:t xml:space="preserve"> intravenosos rápidos posteriores del fármaco si la primera dosis no es efectiva.  Los pacientes que no siguen el tratamiento con adenosina suelen someterse a una cardioversión sincronizada emergente.  </w:t>
      </w:r>
    </w:p>
    <w:p w14:paraId="3DC372C1" w14:textId="77777777" w:rsidR="00EA1B39" w:rsidRPr="00EA1B39" w:rsidRDefault="00EA1B39" w:rsidP="00EA1B39">
      <w:pPr>
        <w:rPr>
          <w:rFonts w:cstheme="minorHAnsi"/>
        </w:rPr>
      </w:pPr>
      <w:r w:rsidRPr="00EA1B39">
        <w:rPr>
          <w:rFonts w:cstheme="minorHAnsi"/>
        </w:rPr>
        <w:t xml:space="preserve">Los autores de este artículo realizaron un análisis retrospectivo de informes de atención prehospitalaria de pacientes que recibieron adenosina prehospitalaria para el comité de revisión institucional de </w:t>
      </w:r>
      <w:proofErr w:type="spellStart"/>
      <w:r w:rsidRPr="00EA1B39">
        <w:rPr>
          <w:rFonts w:cstheme="minorHAnsi"/>
        </w:rPr>
        <w:t>St</w:t>
      </w:r>
      <w:proofErr w:type="spellEnd"/>
      <w:r w:rsidRPr="00EA1B39">
        <w:rPr>
          <w:rFonts w:cstheme="minorHAnsi"/>
        </w:rPr>
        <w:t xml:space="preserve"> </w:t>
      </w:r>
      <w:proofErr w:type="spellStart"/>
      <w:r w:rsidRPr="00EA1B39">
        <w:rPr>
          <w:rFonts w:cstheme="minorHAnsi"/>
        </w:rPr>
        <w:t>David's</w:t>
      </w:r>
      <w:proofErr w:type="spellEnd"/>
      <w:r w:rsidRPr="00EA1B39">
        <w:rPr>
          <w:rFonts w:cstheme="minorHAnsi"/>
        </w:rPr>
        <w:t xml:space="preserve"> </w:t>
      </w:r>
      <w:proofErr w:type="spellStart"/>
      <w:r w:rsidRPr="00EA1B39">
        <w:rPr>
          <w:rFonts w:cstheme="minorHAnsi"/>
        </w:rPr>
        <w:t>Healthcare</w:t>
      </w:r>
      <w:proofErr w:type="spellEnd"/>
      <w:r w:rsidRPr="00EA1B39">
        <w:rPr>
          <w:rFonts w:cstheme="minorHAnsi"/>
        </w:rPr>
        <w:t xml:space="preserve">, que descartó informes de atención prehospitalaria de pacientes que recibieron adenosina prehospitalaria para el tratamiento de su PSVT.  Los datos se obtuvieron del conjunto de datos de uso público de la ESO Data </w:t>
      </w:r>
      <w:proofErr w:type="spellStart"/>
      <w:r w:rsidRPr="00EA1B39">
        <w:rPr>
          <w:rFonts w:cstheme="minorHAnsi"/>
        </w:rPr>
        <w:t>Collaborative</w:t>
      </w:r>
      <w:proofErr w:type="spellEnd"/>
      <w:r w:rsidRPr="00EA1B39">
        <w:rPr>
          <w:rFonts w:cstheme="minorHAnsi"/>
        </w:rPr>
        <w:t>.  El objetivo del estudio fue comparar los regímenes de dosificación de adenosina 6 mg con 12 mg para la TSVP.  Además de la demografía estándar de los pacientes; se examinaron las tasas de conversión, las estancias hospitalarias en urgencias y hospitalización, así como las complicaciones del paciente.</w:t>
      </w:r>
    </w:p>
    <w:p w14:paraId="05348A11" w14:textId="77777777" w:rsidR="00EA1B39" w:rsidRPr="00EA1B39" w:rsidRDefault="00EA1B39" w:rsidP="00EA1B39">
      <w:pPr>
        <w:rPr>
          <w:rFonts w:cstheme="minorHAnsi"/>
        </w:rPr>
      </w:pPr>
      <w:r w:rsidRPr="00EA1B39">
        <w:rPr>
          <w:rFonts w:cstheme="minorHAnsi"/>
        </w:rPr>
        <w:t>Todos los pacientes fueron tratados de emergencia mediante un sistema 9-11 entre el 1 de enero de 2022 y el 31 de diciembre de 2022.  En total, 1.350 agencias de EMS trataron a 11.245 pacientes con adenosina prehospitalaria.  Se administró una dosis inicial de 6 mg a 7.825 (70 %) pacientes y 3.314 (30 %) a los pacientes recibieron una dosis inicial de 12 mg.  Se excluyeron ciento seis pacientes por recibir una dosis inicial distinta de 6 o 12 mg.</w:t>
      </w:r>
    </w:p>
    <w:p w14:paraId="071E0D03" w14:textId="77777777" w:rsidR="00EA1B39" w:rsidRPr="00EA1B39" w:rsidRDefault="00EA1B39" w:rsidP="00EA1B39">
      <w:pPr>
        <w:rPr>
          <w:rFonts w:cstheme="minorHAnsi"/>
        </w:rPr>
      </w:pPr>
      <w:r w:rsidRPr="00EA1B39">
        <w:rPr>
          <w:rFonts w:cstheme="minorHAnsi"/>
        </w:rPr>
        <w:t xml:space="preserve">Los pacientes que recibieron la dosis inicial de 12 mg tenían un 65% más de probabilidades de mejora prehospitalaria.  El grupo de 12 mg tenía más probabilidades de mejorar con una dosis de adenosina que el de 6 mg (75% frente a 52%).  Una dosis inicial de 12 mg se asoció con una menor probabilidad de ingreso hospitalario.  Las complicaciones tras la administración de adenosina fueron poco frecuentes y no hubo diferencia estadística en las probabilidades de mortalidad entre los grupos de 6mg y 12mg.  </w:t>
      </w:r>
    </w:p>
    <w:p w14:paraId="59B646C1" w14:textId="4D247E67" w:rsidR="00EA1B39" w:rsidRPr="00EA1B39" w:rsidRDefault="00EA1B39" w:rsidP="00EA1B39">
      <w:pPr>
        <w:rPr>
          <w:rFonts w:cstheme="minorHAnsi"/>
        </w:rPr>
      </w:pPr>
      <w:r w:rsidRPr="00EA1B39">
        <w:rPr>
          <w:rFonts w:cstheme="minorHAnsi"/>
        </w:rPr>
        <w:t xml:space="preserve">Este estudio estuvo limitado por su diseño retrospectivo y el uso de datos </w:t>
      </w:r>
      <w:proofErr w:type="spellStart"/>
      <w:r w:rsidRPr="00EA1B39">
        <w:rPr>
          <w:rFonts w:cstheme="minorHAnsi"/>
        </w:rPr>
        <w:t>auto</w:t>
      </w:r>
      <w:r w:rsidR="000E60B2">
        <w:rPr>
          <w:rFonts w:cstheme="minorHAnsi"/>
        </w:rPr>
        <w:t>-</w:t>
      </w:r>
      <w:r w:rsidRPr="00EA1B39">
        <w:rPr>
          <w:rFonts w:cstheme="minorHAnsi"/>
        </w:rPr>
        <w:t>informados</w:t>
      </w:r>
      <w:proofErr w:type="spellEnd"/>
      <w:r w:rsidRPr="00EA1B39">
        <w:rPr>
          <w:rFonts w:cstheme="minorHAnsi"/>
        </w:rPr>
        <w:t xml:space="preserve"> por el proveedor.  Otras limitaciones incluían la suposición de que todos los pacientes que recibieron adenosina para la TSVP estaban realmente en TVP.  No se examinaron los trazos ECG previos a la administración de adenosina.  El tamaño del catéter intravenoso y la ubicación del acceso vascular no estaban estandarizados.  El estado del paciente tras la administración de adenosina era subjetivo y limitado a la documentación del proveedor prehospitalario (mejorada, sin cambios o peor).</w:t>
      </w:r>
    </w:p>
    <w:p w14:paraId="6AE22CBB" w14:textId="0C1219E6" w:rsidR="00EA1B39" w:rsidRDefault="00EA1B39" w:rsidP="00EA1B39">
      <w:pPr>
        <w:rPr>
          <w:rFonts w:cstheme="minorHAnsi"/>
        </w:rPr>
      </w:pPr>
      <w:r w:rsidRPr="00EA1B39">
        <w:rPr>
          <w:rFonts w:cstheme="minorHAnsi"/>
        </w:rPr>
        <w:t xml:space="preserve">Este artículo presenta evidencia de que se puede lograr una mayor mejora prehospitalaria en el paciente, una disminución de las tasas de ingreso hospitalario y menos </w:t>
      </w:r>
      <w:proofErr w:type="spellStart"/>
      <w:r w:rsidRPr="00EA1B39">
        <w:rPr>
          <w:rFonts w:cstheme="minorHAnsi"/>
        </w:rPr>
        <w:t>re</w:t>
      </w:r>
      <w:r w:rsidR="000E60B2">
        <w:rPr>
          <w:rFonts w:cstheme="minorHAnsi"/>
        </w:rPr>
        <w:t>-</w:t>
      </w:r>
      <w:r w:rsidRPr="00EA1B39">
        <w:rPr>
          <w:rFonts w:cstheme="minorHAnsi"/>
        </w:rPr>
        <w:t>dosis</w:t>
      </w:r>
      <w:proofErr w:type="spellEnd"/>
      <w:r w:rsidRPr="00EA1B39">
        <w:rPr>
          <w:rFonts w:cstheme="minorHAnsi"/>
        </w:rPr>
        <w:t xml:space="preserve"> de medicación utilizando una dosis inicial de adenosina de 12 mg, en lugar de la frecuente dosis inicial de 6 mg, para el tratamiento de la TSVP prehospitalaria. Cabe señalar que la Asociación Americana del Corazón 2025 sobre taquiarritmia en adultos con algoritmo de pulso recomienda una primera dosis de 6 mg de adenosina cuando se utiliza adenosina para tratar pacientes normotensos sin alteraciones del estado mental, signos de shock, molestias isquémicas en el pecho o insuficiencia cardíaca aguda.  </w:t>
      </w:r>
    </w:p>
    <w:p w14:paraId="016BFB42" w14:textId="77777777" w:rsidR="00EA1B39" w:rsidRPr="00EA1B39" w:rsidRDefault="00EA1B39" w:rsidP="00EA1B39">
      <w:pPr>
        <w:rPr>
          <w:rFonts w:eastAsia="Times New Roman" w:cstheme="minorHAnsi"/>
        </w:rPr>
      </w:pPr>
    </w:p>
    <w:p w14:paraId="3AC9ABCF" w14:textId="77777777" w:rsidR="00EA1B39" w:rsidRPr="00EA1B39" w:rsidRDefault="00EA1B39" w:rsidP="00EA1B39">
      <w:pPr>
        <w:pStyle w:val="Prrafodelista"/>
        <w:numPr>
          <w:ilvl w:val="0"/>
          <w:numId w:val="6"/>
        </w:numPr>
        <w:rPr>
          <w:rFonts w:ascii="Calibri" w:hAnsi="Calibri" w:cs="Calibri"/>
        </w:rPr>
      </w:pPr>
      <w:r w:rsidRPr="00EA1B39">
        <w:rPr>
          <w:rFonts w:ascii="Calibri" w:hAnsi="Calibri" w:cs="Calibri"/>
          <w:b/>
          <w:bCs/>
        </w:rPr>
        <w:t>Toracostomía con aguja prehospitalaria y la necesidad de implementar criterios objetivos para la intervención: un estudio retrospectivo.</w:t>
      </w:r>
      <w:r w:rsidRPr="00EA1B39">
        <w:rPr>
          <w:rFonts w:ascii="Calibri" w:hAnsi="Calibri" w:cs="Calibri"/>
        </w:rPr>
        <w:t xml:space="preserve">  </w:t>
      </w:r>
      <w:proofErr w:type="spellStart"/>
      <w:r w:rsidRPr="00EA1B39">
        <w:rPr>
          <w:rFonts w:ascii="Calibri" w:hAnsi="Calibri" w:cs="Calibri"/>
        </w:rPr>
        <w:t>Boever</w:t>
      </w:r>
      <w:proofErr w:type="spellEnd"/>
      <w:r w:rsidRPr="00EA1B39">
        <w:rPr>
          <w:rFonts w:ascii="Calibri" w:hAnsi="Calibri" w:cs="Calibri"/>
        </w:rPr>
        <w:t xml:space="preserve"> JC, </w:t>
      </w:r>
      <w:proofErr w:type="spellStart"/>
      <w:r w:rsidRPr="00EA1B39">
        <w:rPr>
          <w:rFonts w:ascii="Calibri" w:hAnsi="Calibri" w:cs="Calibri"/>
        </w:rPr>
        <w:t>Ott</w:t>
      </w:r>
      <w:proofErr w:type="spellEnd"/>
      <w:r w:rsidRPr="00EA1B39">
        <w:rPr>
          <w:rFonts w:ascii="Calibri" w:hAnsi="Calibri" w:cs="Calibri"/>
        </w:rPr>
        <w:t xml:space="preserve"> MJ, </w:t>
      </w:r>
      <w:proofErr w:type="spellStart"/>
      <w:r w:rsidRPr="00EA1B39">
        <w:rPr>
          <w:rFonts w:ascii="Calibri" w:hAnsi="Calibri" w:cs="Calibri"/>
        </w:rPr>
        <w:t>Muldiiarov</w:t>
      </w:r>
      <w:proofErr w:type="spellEnd"/>
      <w:r w:rsidRPr="00EA1B39">
        <w:rPr>
          <w:rFonts w:ascii="Calibri" w:hAnsi="Calibri" w:cs="Calibri"/>
        </w:rPr>
        <w:t xml:space="preserve"> V, entre otros.  </w:t>
      </w:r>
      <w:r w:rsidRPr="00EA1B39">
        <w:rPr>
          <w:rFonts w:ascii="Calibri" w:hAnsi="Calibri" w:cs="Calibri"/>
          <w:i/>
          <w:iCs/>
        </w:rPr>
        <w:t xml:space="preserve">Lesión </w:t>
      </w:r>
      <w:r w:rsidRPr="00EA1B39">
        <w:rPr>
          <w:rFonts w:ascii="Calibri" w:hAnsi="Calibri" w:cs="Calibri"/>
        </w:rPr>
        <w:t xml:space="preserve">2026; 57:112973 </w:t>
      </w:r>
    </w:p>
    <w:p w14:paraId="65EA8B40" w14:textId="32A1EF15" w:rsidR="00CE5A35" w:rsidRPr="00030CC4" w:rsidRDefault="00CE5A35" w:rsidP="00030CC4">
      <w:pPr>
        <w:pStyle w:val="Prrafodelista"/>
        <w:ind w:left="360" w:firstLine="0"/>
        <w:rPr>
          <w:rFonts w:eastAsia="Times New Roman" w:cstheme="minorHAnsi"/>
          <w:b/>
          <w:bCs/>
        </w:rPr>
      </w:pPr>
    </w:p>
    <w:p w14:paraId="1D08522B" w14:textId="77777777" w:rsidR="00EA1B39" w:rsidRDefault="00EA1B39" w:rsidP="00EA1B39">
      <w:pPr>
        <w:rPr>
          <w:rFonts w:ascii="Calibri" w:hAnsi="Calibri" w:cs="Calibri"/>
        </w:rPr>
      </w:pPr>
      <w:r w:rsidRPr="008C44FB">
        <w:rPr>
          <w:rFonts w:ascii="Calibri" w:hAnsi="Calibri" w:cs="Calibri"/>
        </w:rPr>
        <w:t xml:space="preserve">La toracostomía con aguja (NT) ha sido enseñada y utilizada por profesionales prehospitalarios avanzados durante décadas.  Frente al neumotórax por tensión, la NT es el procedimiento más común disponible para la mayoría de los proveedores prehospitalarios para descomprimir el tórax.  Sin embargo, sigue habiendo debate sobre la seguridad y eficacia del procedimiento.  </w:t>
      </w:r>
    </w:p>
    <w:p w14:paraId="63450BCB" w14:textId="77777777" w:rsidR="00EA1B39" w:rsidRPr="008C44FB" w:rsidRDefault="00EA1B39" w:rsidP="00EA1B39">
      <w:pPr>
        <w:rPr>
          <w:rFonts w:ascii="Calibri" w:hAnsi="Calibri" w:cs="Calibri"/>
        </w:rPr>
      </w:pPr>
      <w:r w:rsidRPr="008C44FB">
        <w:rPr>
          <w:rFonts w:ascii="Calibri" w:hAnsi="Calibri" w:cs="Calibri"/>
        </w:rPr>
        <w:t xml:space="preserve">Los autores de este estudio retrospectivo revisaron los registros de pacientes trasladados a un centro de trauma acreditado por el Nivel 1 ACS en Omaha entre el 1 de enero de 2015 y el 12 de septiembre de 2024. Los pacientes se identificaron a partir del registro de trauma y se obtuvieron datos para aquellos que fueron identificados con ND en la fase prehospitalaria.  El resultado principal de la investigación fue evaluar la efectividad del NT en relación con los hallazgos clínicos.  </w:t>
      </w:r>
    </w:p>
    <w:p w14:paraId="6AE25238" w14:textId="5C5F7A99" w:rsidR="00EA1B39" w:rsidRPr="008C44FB" w:rsidRDefault="00EA1B39" w:rsidP="00EA1B39">
      <w:pPr>
        <w:rPr>
          <w:rFonts w:ascii="Calibri" w:hAnsi="Calibri" w:cs="Calibri"/>
        </w:rPr>
      </w:pPr>
      <w:r w:rsidRPr="008C44FB">
        <w:rPr>
          <w:rFonts w:ascii="Calibri" w:hAnsi="Calibri" w:cs="Calibri"/>
        </w:rPr>
        <w:t xml:space="preserve">Durante el periodo del estudio, un total de 214 pacientes recibieron NT por parte de los profesionales de EMS. Setenta y nueve (37%) de los pacientes recibieron RCP durante el traslado y, de ellos, dos (2) sobrevivieron (3%).  El traumatismo contundente representó la mayoría de los casos con un 68%, y el resto fue por trauma penetrante.  La mortalidad en el grupo de trauma contundente fue del 49%, y del 60% en el grupo con penetración.  Las indicaciones primarias cartografiadas por el personal de emergencias fueron: ausencia de sonidos respiratorios (55%), paro cardíaco (37%) con una tasa combinada de mortalidad del 53%.  De los 118 pacientes con disminución o ausencia de sonidos respiratorios, 33 tuvieron hipoxia.  El 66 por ciento de los pacientes que presentaban hipoxia y ausencia de sonidos respiratorios mostraron mejoría en la hipoxia tras la NT.  En general, el 30% de los pacientes inscritos mostró mejoría tras la NT.  Cuando se excluyeron a los pacientes que recibieron RCP, el 54% mostró mejoría.  No se observó mejoría documentada en la tensión.  En el estudio, excluyendo a pacientes con paro cardíaco, el 14% había documentado una colocación incorrecta de la aguja identificada mediante tomografía computarizada.  En el estudio, a 9 pacientes se les insertaron agujas en el tejido pulmonar y 7 pacientes necesitaron posteriormente </w:t>
      </w:r>
      <w:proofErr w:type="spellStart"/>
      <w:r w:rsidRPr="008C44FB">
        <w:rPr>
          <w:rFonts w:ascii="Calibri" w:hAnsi="Calibri" w:cs="Calibri"/>
        </w:rPr>
        <w:t>drenos</w:t>
      </w:r>
      <w:proofErr w:type="spellEnd"/>
      <w:r w:rsidRPr="008C44FB">
        <w:rPr>
          <w:rFonts w:ascii="Calibri" w:hAnsi="Calibri" w:cs="Calibri"/>
        </w:rPr>
        <w:t xml:space="preserve"> torácicos debido a que las agujas se colocaron en las cavidades torácicas sin la presencia de neumotórax. Además, un paciente experimentó una inserción de aguja en el corazón, lo que provocó un paro cardíaco y requirió intervención quirúrgica para su reparación.</w:t>
      </w:r>
    </w:p>
    <w:p w14:paraId="077928A1" w14:textId="77777777" w:rsidR="00EA1B39" w:rsidRPr="008C44FB" w:rsidRDefault="00EA1B39" w:rsidP="00EA1B39">
      <w:pPr>
        <w:rPr>
          <w:rFonts w:ascii="Calibri" w:hAnsi="Calibri" w:cs="Calibri"/>
        </w:rPr>
      </w:pPr>
      <w:r>
        <w:rPr>
          <w:rFonts w:ascii="Calibri" w:hAnsi="Calibri" w:cs="Calibri"/>
        </w:rPr>
        <w:t>Este estudio muestra que el uso de sonidos respiratorios disminuidos o ausentes como indicación de NT no es suficiente para justificar la intervención.  El neumotórax simple, que es mucho más común que el neumotórax a tensión, no necesita tratamiento en el entorno prehospitalario.</w:t>
      </w:r>
    </w:p>
    <w:p w14:paraId="4E186CBF" w14:textId="77777777" w:rsidR="00EA1B39" w:rsidRPr="008C44FB" w:rsidRDefault="00EA1B39" w:rsidP="00EA1B39">
      <w:pPr>
        <w:rPr>
          <w:rFonts w:ascii="Calibri" w:hAnsi="Calibri" w:cs="Calibri"/>
        </w:rPr>
      </w:pPr>
      <w:r w:rsidRPr="008C44FB">
        <w:rPr>
          <w:rFonts w:ascii="Calibri" w:hAnsi="Calibri" w:cs="Calibri"/>
        </w:rPr>
        <w:t xml:space="preserve">Los autores concluyen que "existe una necesidad urgente de protocolos estandarizados que enfaticen criterios objetivos para la intervención, asegurando que la NT se realice solo cuando exista evidencia clara de beneficio. Es necesaria una investigación futura para evaluar la eficacia y las indicaciones de la NT en el entorno prehospitalario."  </w:t>
      </w:r>
    </w:p>
    <w:p w14:paraId="01655661" w14:textId="79C5EE76" w:rsidR="00DB3A4E" w:rsidRPr="00EA1B39" w:rsidRDefault="00EA1B39" w:rsidP="00EA1B39">
      <w:pPr>
        <w:pStyle w:val="Prrafodelista"/>
        <w:numPr>
          <w:ilvl w:val="0"/>
          <w:numId w:val="7"/>
        </w:numPr>
        <w:autoSpaceDE w:val="0"/>
        <w:autoSpaceDN w:val="0"/>
        <w:adjustRightInd w:val="0"/>
        <w:spacing w:before="100" w:beforeAutospacing="1" w:after="100" w:afterAutospacing="1"/>
        <w:rPr>
          <w:rFonts w:ascii="Calibri" w:hAnsi="Calibri" w:cs="Calibri"/>
        </w:rPr>
      </w:pPr>
      <w:r w:rsidRPr="00EA1B39">
        <w:rPr>
          <w:rFonts w:ascii="Calibri" w:hAnsi="Calibri" w:cs="Calibri"/>
          <w:b/>
          <w:bCs/>
        </w:rPr>
        <w:t xml:space="preserve">Resultados a largo plazo de pacientes con trauma tras el tratamiento con ácido tranexámico prehospitalario: análisis de subgrupos del ensayo PATCH-Trauma.  </w:t>
      </w:r>
      <w:r w:rsidRPr="00EA1B39">
        <w:rPr>
          <w:rFonts w:ascii="Calibri" w:hAnsi="Calibri" w:cs="Calibri"/>
        </w:rPr>
        <w:t xml:space="preserve">Mitra B, </w:t>
      </w:r>
      <w:proofErr w:type="spellStart"/>
      <w:r w:rsidRPr="00EA1B39">
        <w:rPr>
          <w:rFonts w:ascii="Calibri" w:hAnsi="Calibri" w:cs="Calibri"/>
        </w:rPr>
        <w:t>MacKenzie</w:t>
      </w:r>
      <w:proofErr w:type="spellEnd"/>
      <w:r w:rsidRPr="00EA1B39">
        <w:rPr>
          <w:rFonts w:ascii="Calibri" w:hAnsi="Calibri" w:cs="Calibri"/>
        </w:rPr>
        <w:t xml:space="preserve"> S, </w:t>
      </w:r>
      <w:proofErr w:type="spellStart"/>
      <w:r w:rsidRPr="00EA1B39">
        <w:rPr>
          <w:rFonts w:ascii="Calibri" w:hAnsi="Calibri" w:cs="Calibri"/>
        </w:rPr>
        <w:t>Bourke</w:t>
      </w:r>
      <w:proofErr w:type="spellEnd"/>
      <w:r w:rsidRPr="00EA1B39">
        <w:rPr>
          <w:rFonts w:ascii="Calibri" w:hAnsi="Calibri" w:cs="Calibri"/>
        </w:rPr>
        <w:t xml:space="preserve"> EM, et al.  </w:t>
      </w:r>
      <w:r w:rsidRPr="00EA1B39">
        <w:rPr>
          <w:rFonts w:ascii="Calibri" w:hAnsi="Calibri" w:cs="Calibri"/>
          <w:i/>
          <w:iCs/>
        </w:rPr>
        <w:t xml:space="preserve">J </w:t>
      </w:r>
      <w:proofErr w:type="spellStart"/>
      <w:r w:rsidRPr="00EA1B39">
        <w:rPr>
          <w:rFonts w:ascii="Calibri" w:hAnsi="Calibri" w:cs="Calibri"/>
          <w:i/>
          <w:iCs/>
        </w:rPr>
        <w:t>Amer</w:t>
      </w:r>
      <w:proofErr w:type="spellEnd"/>
      <w:r w:rsidRPr="00EA1B39">
        <w:rPr>
          <w:rFonts w:ascii="Calibri" w:hAnsi="Calibri" w:cs="Calibri"/>
          <w:i/>
          <w:iCs/>
        </w:rPr>
        <w:t xml:space="preserve"> Coll </w:t>
      </w:r>
      <w:proofErr w:type="spellStart"/>
      <w:r w:rsidRPr="00EA1B39">
        <w:rPr>
          <w:rFonts w:ascii="Calibri" w:hAnsi="Calibri" w:cs="Calibri"/>
          <w:i/>
          <w:iCs/>
        </w:rPr>
        <w:t>Emerg</w:t>
      </w:r>
      <w:proofErr w:type="spellEnd"/>
      <w:r w:rsidRPr="00EA1B39">
        <w:rPr>
          <w:rFonts w:ascii="Calibri" w:hAnsi="Calibri" w:cs="Calibri"/>
          <w:i/>
          <w:iCs/>
        </w:rPr>
        <w:t xml:space="preserve"> </w:t>
      </w:r>
      <w:proofErr w:type="spellStart"/>
      <w:r w:rsidRPr="00EA1B39">
        <w:rPr>
          <w:rFonts w:ascii="Calibri" w:hAnsi="Calibri" w:cs="Calibri"/>
          <w:i/>
          <w:iCs/>
        </w:rPr>
        <w:t>Phys</w:t>
      </w:r>
      <w:proofErr w:type="spellEnd"/>
      <w:r w:rsidRPr="00EA1B39">
        <w:rPr>
          <w:rFonts w:ascii="Calibri" w:hAnsi="Calibri" w:cs="Calibri"/>
          <w:i/>
          <w:iCs/>
        </w:rPr>
        <w:t xml:space="preserve"> Open </w:t>
      </w:r>
      <w:r w:rsidRPr="00EA1B39">
        <w:rPr>
          <w:rFonts w:ascii="Calibri" w:hAnsi="Calibri" w:cs="Calibri"/>
        </w:rPr>
        <w:t>2026;7:100417.  El texto completo está disponible en línea en https://doi.org/10.1016/j.acepjo.2026.100417</w:t>
      </w:r>
    </w:p>
    <w:p w14:paraId="7CEB7D3F" w14:textId="7AD6CEE0" w:rsidR="00EA1B39" w:rsidRDefault="00EA1B39" w:rsidP="00EA1B39">
      <w:pPr>
        <w:rPr>
          <w:rFonts w:ascii="Calibri" w:hAnsi="Calibri" w:cs="Calibri"/>
        </w:rPr>
      </w:pPr>
      <w:r>
        <w:rPr>
          <w:rFonts w:ascii="Calibri" w:hAnsi="Calibri" w:cs="Calibri"/>
        </w:rPr>
        <w:t xml:space="preserve">El ácido tranexámico es un medicamento antifibrinolítico comúnmente utilizado para tratar a pacientes con lesiones graves y se ha demostrado que reduce la mortalidad. El estudio PATCH-Trauma mostró una mejora en la supervivencia a los 28 días de lesión por POTS, aunque no hubo diferencias en los resultados funcionales tras 6 meses, según la Escala de Resultados de Glasgow-Extended.  </w:t>
      </w:r>
    </w:p>
    <w:p w14:paraId="7928C1BD" w14:textId="77777777" w:rsidR="00EA1B39" w:rsidRPr="00A866BC" w:rsidRDefault="00EA1B39" w:rsidP="00EA1B39">
      <w:pPr>
        <w:rPr>
          <w:rFonts w:ascii="Calibri" w:hAnsi="Calibri" w:cs="Calibri"/>
        </w:rPr>
      </w:pPr>
      <w:r w:rsidRPr="00A866BC">
        <w:rPr>
          <w:rFonts w:ascii="Calibri" w:hAnsi="Calibri" w:cs="Calibri"/>
        </w:rPr>
        <w:lastRenderedPageBreak/>
        <w:t>Los autores de este estudio se enfocaron en evaluar los resultados de supervivencia y la función a largo plazo de los pacientes con trauma tratados con ácido tranexámico (TXA) en comparación con placebo tras 24 meses. Para lograrlo, realizaron un análisis por subgrupo del ensayo PATCH-Trauma.</w:t>
      </w:r>
    </w:p>
    <w:p w14:paraId="50ED8DA3" w14:textId="77777777" w:rsidR="00EA1B39" w:rsidRPr="00A866BC" w:rsidRDefault="00EA1B39" w:rsidP="00EA1B39">
      <w:pPr>
        <w:rPr>
          <w:rFonts w:ascii="Calibri" w:hAnsi="Calibri" w:cs="Calibri"/>
        </w:rPr>
      </w:pPr>
      <w:r w:rsidRPr="00A866BC">
        <w:rPr>
          <w:rFonts w:ascii="Calibri" w:hAnsi="Calibri" w:cs="Calibri"/>
        </w:rPr>
        <w:t xml:space="preserve">En el ensayo </w:t>
      </w:r>
      <w:proofErr w:type="spellStart"/>
      <w:r w:rsidRPr="00A866BC">
        <w:rPr>
          <w:rFonts w:ascii="Calibri" w:hAnsi="Calibri" w:cs="Calibri"/>
        </w:rPr>
        <w:t>Patch</w:t>
      </w:r>
      <w:proofErr w:type="spellEnd"/>
      <w:r w:rsidRPr="00A866BC">
        <w:rPr>
          <w:rFonts w:ascii="Calibri" w:hAnsi="Calibri" w:cs="Calibri"/>
        </w:rPr>
        <w:t xml:space="preserve"> Trauma, pacientes adultos (</w:t>
      </w:r>
      <w:r w:rsidRPr="00A866BC">
        <w:rPr>
          <w:rFonts w:ascii="Calibri" w:hAnsi="Calibri" w:cs="Calibri"/>
          <w:u w:val="single"/>
        </w:rPr>
        <w:t xml:space="preserve">&gt;18 años) fueron inscritos en el lugar de sus incidentes por 15 agencias de EMS en Australia, Nueva Zelanda y Alemania. La aleatorización se estratificó según las jurisdicciones estatales. </w:t>
      </w:r>
      <w:r>
        <w:rPr>
          <w:rFonts w:ascii="Calibri" w:hAnsi="Calibri" w:cs="Calibri"/>
        </w:rPr>
        <w:t xml:space="preserve">Los pacientes recibieron una dosis de TXA o placebo prehospitalaria, seguida de una infusión de 8 horas en el hospital. Para este estudio, se incluyeron pacientes inscritos en el estado de Victoria, Australia. </w:t>
      </w:r>
    </w:p>
    <w:p w14:paraId="1EA0CC2F" w14:textId="77777777" w:rsidR="00EA1B39" w:rsidRPr="00A866BC" w:rsidRDefault="00EA1B39" w:rsidP="00EA1B39">
      <w:pPr>
        <w:rPr>
          <w:rFonts w:ascii="Calibri" w:hAnsi="Calibri" w:cs="Calibri"/>
        </w:rPr>
      </w:pPr>
      <w:r w:rsidRPr="00A866BC">
        <w:rPr>
          <w:rFonts w:ascii="Calibri" w:hAnsi="Calibri" w:cs="Calibri"/>
        </w:rPr>
        <w:t>El resultado principal en el estudio original se caracterizó como resultados funcionales favorables a los 6 meses, evaluados mediante el uso del GOS-E, administrado como un cuestionario estandarizado por entrevistadores telefónicos capacitados. Para este estudio, el plazo se amplió para evaluar a 24 meses utilizando una metodología coherente con el análisis principal. También evaluaron la mortalidad a las 24 horas, 28 días, 6 meses y 24 meses.</w:t>
      </w:r>
    </w:p>
    <w:p w14:paraId="575839A4" w14:textId="77777777" w:rsidR="00EA1B39" w:rsidRPr="00A866BC" w:rsidRDefault="00EA1B39" w:rsidP="00EA1B39">
      <w:pPr>
        <w:rPr>
          <w:rFonts w:ascii="Calibri" w:hAnsi="Calibri" w:cs="Calibri"/>
        </w:rPr>
      </w:pPr>
      <w:r w:rsidRPr="00A866BC">
        <w:rPr>
          <w:rFonts w:ascii="Calibri" w:hAnsi="Calibri" w:cs="Calibri"/>
        </w:rPr>
        <w:t>De los 584 pacientes del estudio original, 516 tenían datos de seguimiento disponibles durante 24 meses tras la lesión. A los 24 meses, 167 de estos pacientes tuvieron resultados favorables en el grupo TXA y 149 en el grupo placebo. No encontraron diferencias en el perfil GOS-E entre los 6 y los 24 meses ni diferencias estadísticas en la mortalidad en ningún momento. A las 24 horas de la lesión hubo 31 muertes en los grupos TXA y 42 muertes en el grupo placebo. A los 28 días de la lesión, hubo 51 muertes en el grupo TXA y 63 en el grupo placebo. A los 6 meses de la lesión, había 575 pacientes con datos de resultados disponibles y había 58 muertes en el grupo TXA, 66 muertes en el grupo placebo. A los 24 meses, se disponían de los datos de 516 pacientes. De los pacientes asignados aleatoriamente al grupo TXA, hubo 61 muertes mientras que en el grupo placebo hubo 71.</w:t>
      </w:r>
    </w:p>
    <w:p w14:paraId="46EEE9FF" w14:textId="77777777" w:rsidR="00EA1B39" w:rsidRPr="00A866BC" w:rsidRDefault="00EA1B39" w:rsidP="00EA1B39">
      <w:pPr>
        <w:rPr>
          <w:rFonts w:ascii="Calibri" w:hAnsi="Calibri" w:cs="Calibri"/>
        </w:rPr>
      </w:pPr>
      <w:r w:rsidRPr="00A866BC">
        <w:rPr>
          <w:rFonts w:ascii="Calibri" w:hAnsi="Calibri" w:cs="Calibri"/>
        </w:rPr>
        <w:t>Las limitaciones de este estudio incluyeron ser un análisis de subgrupo post hoc de pacientes del ensayo PATCH-Trauma. Aunque los pacientes fueron asignados aleatoriamente a TXA o placebo en este subgrupo, el tamaño menor de la muestra reduce el poder estadístico y está en riesgo de error tipo 2. La mejora continua en participantes con discapacidad grave tras 6 meses podría afectar la interpretación de los resultados de PATCH-Trauma. Toda esta población de pacientes fue transportada en helicóptero con largos tiempos prehospitalarios, por lo que estos resultados no pueden aplicarse fácilmente a sistemas EMS con tiempos prehospitalarios más cortos. Este subgrupo también presentaba una mayor gravedad de la lesión y una mayor lesión cerebral traumática.</w:t>
      </w:r>
    </w:p>
    <w:p w14:paraId="79A07245" w14:textId="77777777" w:rsidR="00EA1B39" w:rsidRPr="00A866BC" w:rsidRDefault="00EA1B39" w:rsidP="00EA1B39">
      <w:pPr>
        <w:rPr>
          <w:rFonts w:ascii="Calibri" w:hAnsi="Calibri" w:cs="Calibri"/>
        </w:rPr>
      </w:pPr>
      <w:r w:rsidRPr="00A866BC">
        <w:rPr>
          <w:rFonts w:ascii="Calibri" w:hAnsi="Calibri" w:cs="Calibri"/>
        </w:rPr>
        <w:t xml:space="preserve">Basándose en estos hallazgos, los autores concluyeron que "El tratamiento prehospitalario y la infusión hospitalaria continua de TXA no resultaron en una mejor supervivencia ni en resultados funcionales estadísticamente significativos a los 24 meses en comparación con el placebo."  La administración de TXA en la mayoría de los estudios prioriza la supervivencia sobre el resultado funcional a largo plazo.  Sugieren que quizás podrían observarse diferencias en los resultados funcionales a largo plazo, aunque una mejora significativa tras 24 meses no parece probable.  </w:t>
      </w:r>
    </w:p>
    <w:p w14:paraId="10A31740" w14:textId="230A41BA" w:rsidR="0008350C" w:rsidRPr="000577EB" w:rsidRDefault="0008350C" w:rsidP="00EA1B39">
      <w:pPr>
        <w:autoSpaceDE w:val="0"/>
        <w:autoSpaceDN w:val="0"/>
        <w:adjustRightInd w:val="0"/>
        <w:rPr>
          <w:rFonts w:cstheme="minorHAnsi"/>
        </w:rPr>
      </w:pPr>
    </w:p>
    <w:sectPr w:rsidR="0008350C" w:rsidRPr="000577EB" w:rsidSect="002B2E1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EC2C9" w14:textId="77777777" w:rsidR="00E32D55" w:rsidRDefault="00E32D55" w:rsidP="00CC1ECE">
      <w:r>
        <w:separator/>
      </w:r>
    </w:p>
  </w:endnote>
  <w:endnote w:type="continuationSeparator" w:id="0">
    <w:p w14:paraId="23CE8287" w14:textId="77777777" w:rsidR="00E32D55" w:rsidRDefault="00E32D55" w:rsidP="00CC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w:altName w:val="Corbel"/>
    <w:charset w:val="00"/>
    <w:family w:val="auto"/>
    <w:pitch w:val="variable"/>
    <w:sig w:usb0="00000001"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C9FD" w14:textId="77777777" w:rsidR="00EC556A" w:rsidRPr="00CC0C6C" w:rsidRDefault="00EC556A" w:rsidP="00EC556A">
    <w:pPr>
      <w:pStyle w:val="Piedepgina"/>
      <w:jc w:val="center"/>
      <w:rPr>
        <w:b/>
      </w:rPr>
    </w:pPr>
    <w:r w:rsidRPr="00CC0C6C">
      <w:rPr>
        <w:b/>
      </w:rPr>
      <w:t>www.IPHMI.com</w:t>
    </w:r>
  </w:p>
  <w:p w14:paraId="3911A5C2" w14:textId="77777777" w:rsidR="00EC556A" w:rsidRDefault="00EC55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574E" w14:textId="77777777" w:rsidR="00E32D55" w:rsidRDefault="00E32D55" w:rsidP="00CC1ECE">
      <w:r>
        <w:separator/>
      </w:r>
    </w:p>
  </w:footnote>
  <w:footnote w:type="continuationSeparator" w:id="0">
    <w:p w14:paraId="0C0CE93A" w14:textId="77777777" w:rsidR="00E32D55" w:rsidRDefault="00E32D55" w:rsidP="00CC1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FA8A" w14:textId="77777777" w:rsidR="00EC556A" w:rsidRPr="00CC0C6C" w:rsidRDefault="00EC556A" w:rsidP="00EC556A">
    <w:pPr>
      <w:pStyle w:val="Encabezado"/>
      <w:jc w:val="center"/>
      <w:rPr>
        <w:b/>
        <w:i/>
        <w:sz w:val="36"/>
        <w:u w:val="single"/>
      </w:rPr>
    </w:pPr>
    <w:r w:rsidRPr="00CC0C6C">
      <w:rPr>
        <w:b/>
        <w:i/>
        <w:sz w:val="36"/>
        <w:u w:val="single"/>
      </w:rPr>
      <w:t>Instituto Internacional de Medicina Prehospitalaria</w:t>
    </w:r>
  </w:p>
  <w:p w14:paraId="0A9D369C" w14:textId="77777777" w:rsidR="00EC556A" w:rsidRDefault="00EC55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022D9"/>
    <w:multiLevelType w:val="hybridMultilevel"/>
    <w:tmpl w:val="121E7000"/>
    <w:lvl w:ilvl="0" w:tplc="DF520E9A">
      <w:start w:val="3"/>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D0049"/>
    <w:multiLevelType w:val="hybridMultilevel"/>
    <w:tmpl w:val="25DA9CAC"/>
    <w:lvl w:ilvl="0" w:tplc="59EC46DA">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17F78"/>
    <w:multiLevelType w:val="hybridMultilevel"/>
    <w:tmpl w:val="C22A7D08"/>
    <w:lvl w:ilvl="0" w:tplc="E0606B28">
      <w:start w:val="2"/>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E523AB"/>
    <w:multiLevelType w:val="hybridMultilevel"/>
    <w:tmpl w:val="42144390"/>
    <w:lvl w:ilvl="0" w:tplc="9F5629CE">
      <w:start w:val="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0019B"/>
    <w:multiLevelType w:val="hybridMultilevel"/>
    <w:tmpl w:val="A7808528"/>
    <w:lvl w:ilvl="0" w:tplc="85C6882E">
      <w:start w:val="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E53DD4"/>
    <w:multiLevelType w:val="hybridMultilevel"/>
    <w:tmpl w:val="33B29DD6"/>
    <w:lvl w:ilvl="0" w:tplc="844A78D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4930ABD"/>
    <w:multiLevelType w:val="hybridMultilevel"/>
    <w:tmpl w:val="47224CEA"/>
    <w:lvl w:ilvl="0" w:tplc="EB84C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DB7"/>
    <w:rsid w:val="0000060E"/>
    <w:rsid w:val="00000D8B"/>
    <w:rsid w:val="00000FEC"/>
    <w:rsid w:val="00007BA6"/>
    <w:rsid w:val="00012F95"/>
    <w:rsid w:val="0001698B"/>
    <w:rsid w:val="00020D8A"/>
    <w:rsid w:val="0002464E"/>
    <w:rsid w:val="000251EC"/>
    <w:rsid w:val="00030CC4"/>
    <w:rsid w:val="00033677"/>
    <w:rsid w:val="00033B77"/>
    <w:rsid w:val="00037773"/>
    <w:rsid w:val="000403B1"/>
    <w:rsid w:val="00041C70"/>
    <w:rsid w:val="00046471"/>
    <w:rsid w:val="00053DC7"/>
    <w:rsid w:val="000548D0"/>
    <w:rsid w:val="00054BFF"/>
    <w:rsid w:val="000577EB"/>
    <w:rsid w:val="000607DE"/>
    <w:rsid w:val="0008350C"/>
    <w:rsid w:val="00086FB0"/>
    <w:rsid w:val="000942CA"/>
    <w:rsid w:val="00096298"/>
    <w:rsid w:val="000A39D8"/>
    <w:rsid w:val="000A500D"/>
    <w:rsid w:val="000A7673"/>
    <w:rsid w:val="000B2DC9"/>
    <w:rsid w:val="000B3977"/>
    <w:rsid w:val="000B5810"/>
    <w:rsid w:val="000C1C93"/>
    <w:rsid w:val="000C1ED3"/>
    <w:rsid w:val="000D737E"/>
    <w:rsid w:val="000E1EEE"/>
    <w:rsid w:val="000E60B2"/>
    <w:rsid w:val="000E61AC"/>
    <w:rsid w:val="000E7FF5"/>
    <w:rsid w:val="000F0391"/>
    <w:rsid w:val="000F44FE"/>
    <w:rsid w:val="000F6E4A"/>
    <w:rsid w:val="001053F1"/>
    <w:rsid w:val="00107449"/>
    <w:rsid w:val="00112343"/>
    <w:rsid w:val="0011511A"/>
    <w:rsid w:val="0012112A"/>
    <w:rsid w:val="00125483"/>
    <w:rsid w:val="00125AF1"/>
    <w:rsid w:val="00126D9C"/>
    <w:rsid w:val="001272F3"/>
    <w:rsid w:val="001327B9"/>
    <w:rsid w:val="00137FB9"/>
    <w:rsid w:val="00140F42"/>
    <w:rsid w:val="001459A9"/>
    <w:rsid w:val="001465D4"/>
    <w:rsid w:val="001505DB"/>
    <w:rsid w:val="00155484"/>
    <w:rsid w:val="00161774"/>
    <w:rsid w:val="00176FE6"/>
    <w:rsid w:val="001810C4"/>
    <w:rsid w:val="00181E88"/>
    <w:rsid w:val="00184890"/>
    <w:rsid w:val="00184D1F"/>
    <w:rsid w:val="00193364"/>
    <w:rsid w:val="00193BAE"/>
    <w:rsid w:val="001A2AF5"/>
    <w:rsid w:val="001A2CA7"/>
    <w:rsid w:val="001B2C0E"/>
    <w:rsid w:val="001B69AC"/>
    <w:rsid w:val="001C0348"/>
    <w:rsid w:val="001C16EF"/>
    <w:rsid w:val="001C3615"/>
    <w:rsid w:val="001C5280"/>
    <w:rsid w:val="001D0851"/>
    <w:rsid w:val="001D229F"/>
    <w:rsid w:val="001D346A"/>
    <w:rsid w:val="001D57F6"/>
    <w:rsid w:val="001E10D6"/>
    <w:rsid w:val="001E4361"/>
    <w:rsid w:val="001F470D"/>
    <w:rsid w:val="001F6CFD"/>
    <w:rsid w:val="001F7C77"/>
    <w:rsid w:val="00200E21"/>
    <w:rsid w:val="00203A36"/>
    <w:rsid w:val="00204A3E"/>
    <w:rsid w:val="00204D61"/>
    <w:rsid w:val="00206296"/>
    <w:rsid w:val="00216EFE"/>
    <w:rsid w:val="00221F53"/>
    <w:rsid w:val="00234651"/>
    <w:rsid w:val="00234BAF"/>
    <w:rsid w:val="00235410"/>
    <w:rsid w:val="00235D40"/>
    <w:rsid w:val="0023757E"/>
    <w:rsid w:val="0024264F"/>
    <w:rsid w:val="00253C5C"/>
    <w:rsid w:val="002576B3"/>
    <w:rsid w:val="00264DF6"/>
    <w:rsid w:val="00265734"/>
    <w:rsid w:val="00265A59"/>
    <w:rsid w:val="00267862"/>
    <w:rsid w:val="00270EB5"/>
    <w:rsid w:val="0027336D"/>
    <w:rsid w:val="002736F8"/>
    <w:rsid w:val="002750A3"/>
    <w:rsid w:val="00275AE9"/>
    <w:rsid w:val="002816EF"/>
    <w:rsid w:val="00281AA8"/>
    <w:rsid w:val="00283B4B"/>
    <w:rsid w:val="002910C5"/>
    <w:rsid w:val="002943AA"/>
    <w:rsid w:val="0029612D"/>
    <w:rsid w:val="002A448D"/>
    <w:rsid w:val="002A612A"/>
    <w:rsid w:val="002B1C13"/>
    <w:rsid w:val="002B2E15"/>
    <w:rsid w:val="002C00B1"/>
    <w:rsid w:val="002C1439"/>
    <w:rsid w:val="002C41E8"/>
    <w:rsid w:val="002D18D0"/>
    <w:rsid w:val="002D385C"/>
    <w:rsid w:val="002E0AB2"/>
    <w:rsid w:val="002E6A42"/>
    <w:rsid w:val="002F1B9E"/>
    <w:rsid w:val="002F2158"/>
    <w:rsid w:val="00301C76"/>
    <w:rsid w:val="00303DEC"/>
    <w:rsid w:val="00304FCB"/>
    <w:rsid w:val="003058A2"/>
    <w:rsid w:val="003078BD"/>
    <w:rsid w:val="003111DD"/>
    <w:rsid w:val="003122CE"/>
    <w:rsid w:val="00316585"/>
    <w:rsid w:val="00317365"/>
    <w:rsid w:val="0032129A"/>
    <w:rsid w:val="00321528"/>
    <w:rsid w:val="00326AF1"/>
    <w:rsid w:val="00332A7D"/>
    <w:rsid w:val="003331AA"/>
    <w:rsid w:val="00346AB0"/>
    <w:rsid w:val="00347087"/>
    <w:rsid w:val="00356335"/>
    <w:rsid w:val="00361398"/>
    <w:rsid w:val="00362F86"/>
    <w:rsid w:val="00363F26"/>
    <w:rsid w:val="00367A88"/>
    <w:rsid w:val="003800B3"/>
    <w:rsid w:val="00381BDD"/>
    <w:rsid w:val="0038633C"/>
    <w:rsid w:val="0038790A"/>
    <w:rsid w:val="00390AEA"/>
    <w:rsid w:val="00392C1F"/>
    <w:rsid w:val="00395433"/>
    <w:rsid w:val="003962A4"/>
    <w:rsid w:val="003B3023"/>
    <w:rsid w:val="003B39E9"/>
    <w:rsid w:val="003B3A90"/>
    <w:rsid w:val="003B6592"/>
    <w:rsid w:val="003B7857"/>
    <w:rsid w:val="003D2244"/>
    <w:rsid w:val="003D44D9"/>
    <w:rsid w:val="003E0710"/>
    <w:rsid w:val="003E07DA"/>
    <w:rsid w:val="003E1465"/>
    <w:rsid w:val="003E51F2"/>
    <w:rsid w:val="003F1AAF"/>
    <w:rsid w:val="003F4BB7"/>
    <w:rsid w:val="0040407D"/>
    <w:rsid w:val="00404F6F"/>
    <w:rsid w:val="004068DD"/>
    <w:rsid w:val="00406B3D"/>
    <w:rsid w:val="0041124D"/>
    <w:rsid w:val="00413939"/>
    <w:rsid w:val="00415CB4"/>
    <w:rsid w:val="00417657"/>
    <w:rsid w:val="00424045"/>
    <w:rsid w:val="00424314"/>
    <w:rsid w:val="00425215"/>
    <w:rsid w:val="004269E1"/>
    <w:rsid w:val="00431361"/>
    <w:rsid w:val="004654DB"/>
    <w:rsid w:val="00472F9A"/>
    <w:rsid w:val="004749F7"/>
    <w:rsid w:val="00483D2C"/>
    <w:rsid w:val="00485330"/>
    <w:rsid w:val="00490A07"/>
    <w:rsid w:val="00491411"/>
    <w:rsid w:val="0049245A"/>
    <w:rsid w:val="00493BCD"/>
    <w:rsid w:val="004A1C81"/>
    <w:rsid w:val="004A2499"/>
    <w:rsid w:val="004A5FB7"/>
    <w:rsid w:val="004B5626"/>
    <w:rsid w:val="004B5707"/>
    <w:rsid w:val="004B6C92"/>
    <w:rsid w:val="004B7EE3"/>
    <w:rsid w:val="004D3C0D"/>
    <w:rsid w:val="004D5F8C"/>
    <w:rsid w:val="004E0756"/>
    <w:rsid w:val="004E27B8"/>
    <w:rsid w:val="004E3BCF"/>
    <w:rsid w:val="004E7694"/>
    <w:rsid w:val="004F050C"/>
    <w:rsid w:val="004F1CF2"/>
    <w:rsid w:val="005053A7"/>
    <w:rsid w:val="00506F03"/>
    <w:rsid w:val="00510B67"/>
    <w:rsid w:val="00520E73"/>
    <w:rsid w:val="005217D8"/>
    <w:rsid w:val="00523D0F"/>
    <w:rsid w:val="00526673"/>
    <w:rsid w:val="00527BE6"/>
    <w:rsid w:val="00530542"/>
    <w:rsid w:val="00536681"/>
    <w:rsid w:val="00540AB0"/>
    <w:rsid w:val="00542970"/>
    <w:rsid w:val="00550A12"/>
    <w:rsid w:val="005655CF"/>
    <w:rsid w:val="0057657B"/>
    <w:rsid w:val="005769AE"/>
    <w:rsid w:val="005830F5"/>
    <w:rsid w:val="00592D6B"/>
    <w:rsid w:val="00592EF2"/>
    <w:rsid w:val="00593D20"/>
    <w:rsid w:val="00597139"/>
    <w:rsid w:val="005A338C"/>
    <w:rsid w:val="005A340E"/>
    <w:rsid w:val="005A685A"/>
    <w:rsid w:val="005B1B93"/>
    <w:rsid w:val="005B3228"/>
    <w:rsid w:val="005B4D2F"/>
    <w:rsid w:val="005C209E"/>
    <w:rsid w:val="005D21B6"/>
    <w:rsid w:val="005D3C3C"/>
    <w:rsid w:val="005E1684"/>
    <w:rsid w:val="005E4774"/>
    <w:rsid w:val="005F2C3D"/>
    <w:rsid w:val="0060639D"/>
    <w:rsid w:val="00612DB7"/>
    <w:rsid w:val="0062363F"/>
    <w:rsid w:val="00632D45"/>
    <w:rsid w:val="00640BE7"/>
    <w:rsid w:val="00643503"/>
    <w:rsid w:val="0064535D"/>
    <w:rsid w:val="00653565"/>
    <w:rsid w:val="00656510"/>
    <w:rsid w:val="00657100"/>
    <w:rsid w:val="0066164D"/>
    <w:rsid w:val="00666AD9"/>
    <w:rsid w:val="0067234F"/>
    <w:rsid w:val="006758ED"/>
    <w:rsid w:val="006808BC"/>
    <w:rsid w:val="00687147"/>
    <w:rsid w:val="00692403"/>
    <w:rsid w:val="00692F42"/>
    <w:rsid w:val="00695417"/>
    <w:rsid w:val="00696332"/>
    <w:rsid w:val="006A73E8"/>
    <w:rsid w:val="006B01B5"/>
    <w:rsid w:val="006B4BCB"/>
    <w:rsid w:val="006B4C49"/>
    <w:rsid w:val="006B787B"/>
    <w:rsid w:val="006C1D46"/>
    <w:rsid w:val="006C28B6"/>
    <w:rsid w:val="006C78B2"/>
    <w:rsid w:val="006D0CA1"/>
    <w:rsid w:val="006D2989"/>
    <w:rsid w:val="006E1A31"/>
    <w:rsid w:val="006E632D"/>
    <w:rsid w:val="006E6E47"/>
    <w:rsid w:val="006F0274"/>
    <w:rsid w:val="006F5CBF"/>
    <w:rsid w:val="006F5DC6"/>
    <w:rsid w:val="006F7C8E"/>
    <w:rsid w:val="00701C52"/>
    <w:rsid w:val="007044CC"/>
    <w:rsid w:val="00717345"/>
    <w:rsid w:val="00732E6A"/>
    <w:rsid w:val="00733101"/>
    <w:rsid w:val="0073764B"/>
    <w:rsid w:val="007419D9"/>
    <w:rsid w:val="00742AC7"/>
    <w:rsid w:val="00745AC5"/>
    <w:rsid w:val="007537AD"/>
    <w:rsid w:val="00753E26"/>
    <w:rsid w:val="00757AE3"/>
    <w:rsid w:val="0077245B"/>
    <w:rsid w:val="007832E3"/>
    <w:rsid w:val="00783856"/>
    <w:rsid w:val="00783BAC"/>
    <w:rsid w:val="0078434F"/>
    <w:rsid w:val="007866D0"/>
    <w:rsid w:val="007953ED"/>
    <w:rsid w:val="007A125C"/>
    <w:rsid w:val="007A1647"/>
    <w:rsid w:val="007A3A49"/>
    <w:rsid w:val="007B4CDB"/>
    <w:rsid w:val="007B66CA"/>
    <w:rsid w:val="007B735B"/>
    <w:rsid w:val="007C09BD"/>
    <w:rsid w:val="007C1ECF"/>
    <w:rsid w:val="007C7235"/>
    <w:rsid w:val="007D0305"/>
    <w:rsid w:val="007D1A55"/>
    <w:rsid w:val="007D3AB0"/>
    <w:rsid w:val="007D3F72"/>
    <w:rsid w:val="007D5076"/>
    <w:rsid w:val="007D58BA"/>
    <w:rsid w:val="007D6F97"/>
    <w:rsid w:val="007E0612"/>
    <w:rsid w:val="007F3B34"/>
    <w:rsid w:val="007F7274"/>
    <w:rsid w:val="00803A9A"/>
    <w:rsid w:val="00805473"/>
    <w:rsid w:val="008141BF"/>
    <w:rsid w:val="008154BD"/>
    <w:rsid w:val="00822E86"/>
    <w:rsid w:val="00825722"/>
    <w:rsid w:val="008363AF"/>
    <w:rsid w:val="00837F82"/>
    <w:rsid w:val="00846182"/>
    <w:rsid w:val="00852D41"/>
    <w:rsid w:val="008548AF"/>
    <w:rsid w:val="008710B9"/>
    <w:rsid w:val="00873AD0"/>
    <w:rsid w:val="00880689"/>
    <w:rsid w:val="008A0008"/>
    <w:rsid w:val="008A0F53"/>
    <w:rsid w:val="008B00CB"/>
    <w:rsid w:val="008B038E"/>
    <w:rsid w:val="008B4ABE"/>
    <w:rsid w:val="008B6898"/>
    <w:rsid w:val="008C2DA9"/>
    <w:rsid w:val="008D4278"/>
    <w:rsid w:val="008E160E"/>
    <w:rsid w:val="008E2104"/>
    <w:rsid w:val="008E424C"/>
    <w:rsid w:val="008E502B"/>
    <w:rsid w:val="008E68F7"/>
    <w:rsid w:val="008E7368"/>
    <w:rsid w:val="008F3248"/>
    <w:rsid w:val="008F601D"/>
    <w:rsid w:val="00901F19"/>
    <w:rsid w:val="00903E7E"/>
    <w:rsid w:val="00904E9C"/>
    <w:rsid w:val="009073F7"/>
    <w:rsid w:val="009106F1"/>
    <w:rsid w:val="00912F3D"/>
    <w:rsid w:val="00914150"/>
    <w:rsid w:val="00922E3E"/>
    <w:rsid w:val="009260F6"/>
    <w:rsid w:val="009277B9"/>
    <w:rsid w:val="009308A2"/>
    <w:rsid w:val="009328CC"/>
    <w:rsid w:val="00940115"/>
    <w:rsid w:val="00943813"/>
    <w:rsid w:val="00945B96"/>
    <w:rsid w:val="009505B0"/>
    <w:rsid w:val="00950C94"/>
    <w:rsid w:val="00951957"/>
    <w:rsid w:val="00960913"/>
    <w:rsid w:val="009634BA"/>
    <w:rsid w:val="0097137D"/>
    <w:rsid w:val="00975B8C"/>
    <w:rsid w:val="009809EC"/>
    <w:rsid w:val="00985114"/>
    <w:rsid w:val="00987ADA"/>
    <w:rsid w:val="00996C8E"/>
    <w:rsid w:val="009979A0"/>
    <w:rsid w:val="009A5621"/>
    <w:rsid w:val="009A72C1"/>
    <w:rsid w:val="009B3196"/>
    <w:rsid w:val="009B5E3E"/>
    <w:rsid w:val="009D2B40"/>
    <w:rsid w:val="009D3589"/>
    <w:rsid w:val="009D57E7"/>
    <w:rsid w:val="009E2627"/>
    <w:rsid w:val="009E7393"/>
    <w:rsid w:val="009F25AA"/>
    <w:rsid w:val="009F53F7"/>
    <w:rsid w:val="00A03A18"/>
    <w:rsid w:val="00A11702"/>
    <w:rsid w:val="00A12D76"/>
    <w:rsid w:val="00A16ED6"/>
    <w:rsid w:val="00A322D2"/>
    <w:rsid w:val="00A33F37"/>
    <w:rsid w:val="00A34DB2"/>
    <w:rsid w:val="00A36579"/>
    <w:rsid w:val="00A406B3"/>
    <w:rsid w:val="00A45647"/>
    <w:rsid w:val="00A55EE6"/>
    <w:rsid w:val="00A569A0"/>
    <w:rsid w:val="00A57792"/>
    <w:rsid w:val="00A62253"/>
    <w:rsid w:val="00A65EF4"/>
    <w:rsid w:val="00A66C04"/>
    <w:rsid w:val="00A704B4"/>
    <w:rsid w:val="00A71B69"/>
    <w:rsid w:val="00A73410"/>
    <w:rsid w:val="00A779CC"/>
    <w:rsid w:val="00A834E7"/>
    <w:rsid w:val="00A83C04"/>
    <w:rsid w:val="00A84C1B"/>
    <w:rsid w:val="00A933AB"/>
    <w:rsid w:val="00A93E30"/>
    <w:rsid w:val="00AA5387"/>
    <w:rsid w:val="00AA7EC1"/>
    <w:rsid w:val="00AB1930"/>
    <w:rsid w:val="00AB5858"/>
    <w:rsid w:val="00AD2237"/>
    <w:rsid w:val="00AD7ED9"/>
    <w:rsid w:val="00AF221D"/>
    <w:rsid w:val="00AF5699"/>
    <w:rsid w:val="00B0092B"/>
    <w:rsid w:val="00B07EA7"/>
    <w:rsid w:val="00B13E10"/>
    <w:rsid w:val="00B1711F"/>
    <w:rsid w:val="00B31B87"/>
    <w:rsid w:val="00B31C7F"/>
    <w:rsid w:val="00B32740"/>
    <w:rsid w:val="00B33670"/>
    <w:rsid w:val="00B4144E"/>
    <w:rsid w:val="00B432F8"/>
    <w:rsid w:val="00B44CA8"/>
    <w:rsid w:val="00B50275"/>
    <w:rsid w:val="00B5115C"/>
    <w:rsid w:val="00B5424E"/>
    <w:rsid w:val="00B65219"/>
    <w:rsid w:val="00B662B4"/>
    <w:rsid w:val="00B67CE0"/>
    <w:rsid w:val="00B702EE"/>
    <w:rsid w:val="00B76069"/>
    <w:rsid w:val="00B817D8"/>
    <w:rsid w:val="00B903C9"/>
    <w:rsid w:val="00B916EB"/>
    <w:rsid w:val="00BA3A92"/>
    <w:rsid w:val="00BB10EC"/>
    <w:rsid w:val="00BB1C4D"/>
    <w:rsid w:val="00BB3360"/>
    <w:rsid w:val="00BC3FB1"/>
    <w:rsid w:val="00BC4278"/>
    <w:rsid w:val="00BD0399"/>
    <w:rsid w:val="00BD171A"/>
    <w:rsid w:val="00BD242E"/>
    <w:rsid w:val="00BE1F02"/>
    <w:rsid w:val="00BE6989"/>
    <w:rsid w:val="00BE7361"/>
    <w:rsid w:val="00BF6A4B"/>
    <w:rsid w:val="00C076B5"/>
    <w:rsid w:val="00C07D4B"/>
    <w:rsid w:val="00C101AC"/>
    <w:rsid w:val="00C106D8"/>
    <w:rsid w:val="00C11D96"/>
    <w:rsid w:val="00C22F59"/>
    <w:rsid w:val="00C23304"/>
    <w:rsid w:val="00C26485"/>
    <w:rsid w:val="00C33139"/>
    <w:rsid w:val="00C4127F"/>
    <w:rsid w:val="00C4140F"/>
    <w:rsid w:val="00C42D45"/>
    <w:rsid w:val="00C44324"/>
    <w:rsid w:val="00C459ED"/>
    <w:rsid w:val="00C571A0"/>
    <w:rsid w:val="00C627AA"/>
    <w:rsid w:val="00C644DC"/>
    <w:rsid w:val="00C704D2"/>
    <w:rsid w:val="00C70676"/>
    <w:rsid w:val="00C70A1D"/>
    <w:rsid w:val="00C7369A"/>
    <w:rsid w:val="00C7577A"/>
    <w:rsid w:val="00C8273A"/>
    <w:rsid w:val="00C83E13"/>
    <w:rsid w:val="00C90D69"/>
    <w:rsid w:val="00C94CBA"/>
    <w:rsid w:val="00C97C08"/>
    <w:rsid w:val="00CA15CD"/>
    <w:rsid w:val="00CB208E"/>
    <w:rsid w:val="00CB6B28"/>
    <w:rsid w:val="00CB7B80"/>
    <w:rsid w:val="00CC1ECE"/>
    <w:rsid w:val="00CC28FA"/>
    <w:rsid w:val="00CC3B9C"/>
    <w:rsid w:val="00CC60E0"/>
    <w:rsid w:val="00CD11FC"/>
    <w:rsid w:val="00CD47BF"/>
    <w:rsid w:val="00CD6CCC"/>
    <w:rsid w:val="00CE0E9F"/>
    <w:rsid w:val="00CE5A35"/>
    <w:rsid w:val="00CF26A5"/>
    <w:rsid w:val="00D03F51"/>
    <w:rsid w:val="00D07B9D"/>
    <w:rsid w:val="00D12076"/>
    <w:rsid w:val="00D20569"/>
    <w:rsid w:val="00D21EC7"/>
    <w:rsid w:val="00D24707"/>
    <w:rsid w:val="00D24E8B"/>
    <w:rsid w:val="00D27263"/>
    <w:rsid w:val="00D50450"/>
    <w:rsid w:val="00D551AD"/>
    <w:rsid w:val="00D60821"/>
    <w:rsid w:val="00D6189B"/>
    <w:rsid w:val="00D63344"/>
    <w:rsid w:val="00D635BE"/>
    <w:rsid w:val="00D706A9"/>
    <w:rsid w:val="00D72B85"/>
    <w:rsid w:val="00D72E64"/>
    <w:rsid w:val="00D7366F"/>
    <w:rsid w:val="00D73D4F"/>
    <w:rsid w:val="00D746F3"/>
    <w:rsid w:val="00D75F7A"/>
    <w:rsid w:val="00D764C8"/>
    <w:rsid w:val="00D80B58"/>
    <w:rsid w:val="00DA1520"/>
    <w:rsid w:val="00DA3D18"/>
    <w:rsid w:val="00DA7547"/>
    <w:rsid w:val="00DB3A4E"/>
    <w:rsid w:val="00DC0273"/>
    <w:rsid w:val="00DC08A7"/>
    <w:rsid w:val="00DC1BDF"/>
    <w:rsid w:val="00DC67D9"/>
    <w:rsid w:val="00DC6AC9"/>
    <w:rsid w:val="00DC7963"/>
    <w:rsid w:val="00DD3366"/>
    <w:rsid w:val="00DE6841"/>
    <w:rsid w:val="00DF0E6D"/>
    <w:rsid w:val="00DF1BB5"/>
    <w:rsid w:val="00DF551A"/>
    <w:rsid w:val="00E0109A"/>
    <w:rsid w:val="00E03092"/>
    <w:rsid w:val="00E06170"/>
    <w:rsid w:val="00E067C2"/>
    <w:rsid w:val="00E122A1"/>
    <w:rsid w:val="00E21606"/>
    <w:rsid w:val="00E32D55"/>
    <w:rsid w:val="00E32EFE"/>
    <w:rsid w:val="00E35014"/>
    <w:rsid w:val="00E36885"/>
    <w:rsid w:val="00E36F82"/>
    <w:rsid w:val="00E44B5A"/>
    <w:rsid w:val="00E52C61"/>
    <w:rsid w:val="00E653CA"/>
    <w:rsid w:val="00E7020E"/>
    <w:rsid w:val="00E71FDA"/>
    <w:rsid w:val="00E7332A"/>
    <w:rsid w:val="00E77606"/>
    <w:rsid w:val="00E8179F"/>
    <w:rsid w:val="00E86572"/>
    <w:rsid w:val="00E918D6"/>
    <w:rsid w:val="00EA1B39"/>
    <w:rsid w:val="00EA5606"/>
    <w:rsid w:val="00EC3111"/>
    <w:rsid w:val="00EC32F1"/>
    <w:rsid w:val="00EC4980"/>
    <w:rsid w:val="00EC556A"/>
    <w:rsid w:val="00ED5F07"/>
    <w:rsid w:val="00EF3522"/>
    <w:rsid w:val="00EF3E44"/>
    <w:rsid w:val="00EF6AF8"/>
    <w:rsid w:val="00F04C34"/>
    <w:rsid w:val="00F04F34"/>
    <w:rsid w:val="00F114EE"/>
    <w:rsid w:val="00F127E2"/>
    <w:rsid w:val="00F128FD"/>
    <w:rsid w:val="00F13C7C"/>
    <w:rsid w:val="00F15F8D"/>
    <w:rsid w:val="00F246AC"/>
    <w:rsid w:val="00F30BD1"/>
    <w:rsid w:val="00F36A03"/>
    <w:rsid w:val="00F36AD9"/>
    <w:rsid w:val="00F46E88"/>
    <w:rsid w:val="00F47D00"/>
    <w:rsid w:val="00F5437E"/>
    <w:rsid w:val="00F54978"/>
    <w:rsid w:val="00F62E6A"/>
    <w:rsid w:val="00F63757"/>
    <w:rsid w:val="00F67571"/>
    <w:rsid w:val="00F67C65"/>
    <w:rsid w:val="00F74DEA"/>
    <w:rsid w:val="00F80497"/>
    <w:rsid w:val="00F83E59"/>
    <w:rsid w:val="00F921FA"/>
    <w:rsid w:val="00FA207B"/>
    <w:rsid w:val="00FA3295"/>
    <w:rsid w:val="00FA3E27"/>
    <w:rsid w:val="00FA51B5"/>
    <w:rsid w:val="00FC4013"/>
    <w:rsid w:val="00FC4639"/>
    <w:rsid w:val="00FC467B"/>
    <w:rsid w:val="00FD1A6B"/>
    <w:rsid w:val="00FD5B32"/>
    <w:rsid w:val="00FE48DE"/>
    <w:rsid w:val="00FF6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6E6D"/>
  <w15:docId w15:val="{66A55C3E-23C0-4F59-A726-56252D2B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0B1"/>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419D9"/>
    <w:pPr>
      <w:ind w:left="720"/>
      <w:contextualSpacing/>
    </w:pPr>
  </w:style>
  <w:style w:type="character" w:customStyle="1" w:styleId="journaltitlesp1">
    <w:name w:val="journaltitlesp1"/>
    <w:basedOn w:val="Fuentedeprrafopredeter"/>
    <w:rsid w:val="00523D0F"/>
    <w:rPr>
      <w:i/>
      <w:iCs/>
    </w:rPr>
  </w:style>
  <w:style w:type="character" w:customStyle="1" w:styleId="issuevolsp">
    <w:name w:val="issuevolsp"/>
    <w:basedOn w:val="Fuentedeprrafopredeter"/>
    <w:rsid w:val="00523D0F"/>
  </w:style>
  <w:style w:type="character" w:customStyle="1" w:styleId="pagerange">
    <w:name w:val="pagerange"/>
    <w:basedOn w:val="Fuentedeprrafopredeter"/>
    <w:rsid w:val="00523D0F"/>
  </w:style>
  <w:style w:type="paragraph" w:styleId="Textodeglobo">
    <w:name w:val="Balloon Text"/>
    <w:basedOn w:val="Normal"/>
    <w:link w:val="TextodegloboCar"/>
    <w:uiPriority w:val="99"/>
    <w:semiHidden/>
    <w:unhideWhenUsed/>
    <w:rsid w:val="007C7235"/>
    <w:rPr>
      <w:rFonts w:ascii="Tahoma" w:hAnsi="Tahoma" w:cs="Tahoma"/>
      <w:sz w:val="16"/>
      <w:szCs w:val="16"/>
    </w:rPr>
  </w:style>
  <w:style w:type="character" w:customStyle="1" w:styleId="TextodegloboCar">
    <w:name w:val="Texto de globo Car"/>
    <w:basedOn w:val="Fuentedeprrafopredeter"/>
    <w:link w:val="Textodeglobo"/>
    <w:uiPriority w:val="99"/>
    <w:semiHidden/>
    <w:rsid w:val="007C7235"/>
    <w:rPr>
      <w:rFonts w:ascii="Tahoma" w:hAnsi="Tahoma" w:cs="Tahoma"/>
      <w:sz w:val="16"/>
      <w:szCs w:val="16"/>
    </w:rPr>
  </w:style>
  <w:style w:type="paragraph" w:styleId="Sinespaciado">
    <w:name w:val="No Spacing"/>
    <w:uiPriority w:val="1"/>
    <w:qFormat/>
    <w:rsid w:val="00B5424E"/>
  </w:style>
  <w:style w:type="paragraph" w:styleId="Encabezado">
    <w:name w:val="header"/>
    <w:basedOn w:val="Normal"/>
    <w:link w:val="EncabezadoCar"/>
    <w:uiPriority w:val="99"/>
    <w:unhideWhenUsed/>
    <w:rsid w:val="00CC1ECE"/>
    <w:pPr>
      <w:tabs>
        <w:tab w:val="center" w:pos="4680"/>
        <w:tab w:val="right" w:pos="9360"/>
      </w:tabs>
    </w:pPr>
  </w:style>
  <w:style w:type="character" w:customStyle="1" w:styleId="EncabezadoCar">
    <w:name w:val="Encabezado Car"/>
    <w:basedOn w:val="Fuentedeprrafopredeter"/>
    <w:link w:val="Encabezado"/>
    <w:uiPriority w:val="99"/>
    <w:rsid w:val="00CC1ECE"/>
  </w:style>
  <w:style w:type="paragraph" w:styleId="Piedepgina">
    <w:name w:val="footer"/>
    <w:basedOn w:val="Normal"/>
    <w:link w:val="PiedepginaCar"/>
    <w:uiPriority w:val="99"/>
    <w:unhideWhenUsed/>
    <w:rsid w:val="00CC1ECE"/>
    <w:pPr>
      <w:tabs>
        <w:tab w:val="center" w:pos="4680"/>
        <w:tab w:val="right" w:pos="9360"/>
      </w:tabs>
    </w:pPr>
  </w:style>
  <w:style w:type="character" w:customStyle="1" w:styleId="PiedepginaCar">
    <w:name w:val="Pie de página Car"/>
    <w:basedOn w:val="Fuentedeprrafopredeter"/>
    <w:link w:val="Piedepgina"/>
    <w:uiPriority w:val="99"/>
    <w:rsid w:val="00CC1ECE"/>
  </w:style>
  <w:style w:type="character" w:styleId="Hipervnculo">
    <w:name w:val="Hyperlink"/>
    <w:basedOn w:val="Fuentedeprrafopredeter"/>
    <w:uiPriority w:val="99"/>
    <w:unhideWhenUsed/>
    <w:rsid w:val="00943813"/>
    <w:rPr>
      <w:color w:val="0000FF" w:themeColor="hyperlink"/>
      <w:u w:val="single"/>
    </w:rPr>
  </w:style>
  <w:style w:type="character" w:styleId="Hipervnculovisitado">
    <w:name w:val="FollowedHyperlink"/>
    <w:basedOn w:val="Fuentedeprrafopredeter"/>
    <w:uiPriority w:val="99"/>
    <w:semiHidden/>
    <w:unhideWhenUsed/>
    <w:rsid w:val="00F67571"/>
    <w:rPr>
      <w:color w:val="800080" w:themeColor="followedHyperlink"/>
      <w:u w:val="single"/>
    </w:rPr>
  </w:style>
  <w:style w:type="table" w:styleId="Tablaconcuadrcula">
    <w:name w:val="Table Grid"/>
    <w:basedOn w:val="Tablanormal"/>
    <w:uiPriority w:val="59"/>
    <w:rsid w:val="004B5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22A1"/>
    <w:rPr>
      <w:rFonts w:ascii="Times New Roman" w:hAnsi="Times New Roman" w:cs="Times New Roman"/>
      <w:sz w:val="24"/>
      <w:szCs w:val="24"/>
    </w:rPr>
  </w:style>
  <w:style w:type="character" w:customStyle="1" w:styleId="A6">
    <w:name w:val="A6"/>
    <w:uiPriority w:val="99"/>
    <w:rsid w:val="00321528"/>
    <w:rPr>
      <w:color w:val="000000"/>
      <w:sz w:val="21"/>
      <w:szCs w:val="21"/>
    </w:rPr>
  </w:style>
  <w:style w:type="character" w:customStyle="1" w:styleId="UnresolvedMention1">
    <w:name w:val="Unresolved Mention1"/>
    <w:basedOn w:val="Fuentedeprrafopredeter"/>
    <w:uiPriority w:val="99"/>
    <w:semiHidden/>
    <w:unhideWhenUsed/>
    <w:rsid w:val="00DA1520"/>
    <w:rPr>
      <w:color w:val="605E5C"/>
      <w:shd w:val="clear" w:color="auto" w:fill="E1DFDD"/>
    </w:rPr>
  </w:style>
  <w:style w:type="paragraph" w:customStyle="1" w:styleId="Default">
    <w:name w:val="Default"/>
    <w:rsid w:val="00692F42"/>
    <w:pPr>
      <w:autoSpaceDE w:val="0"/>
      <w:autoSpaceDN w:val="0"/>
      <w:adjustRightInd w:val="0"/>
      <w:ind w:firstLine="0"/>
    </w:pPr>
    <w:rPr>
      <w:rFonts w:ascii="Avenir" w:hAnsi="Avenir" w:cs="Avenir"/>
      <w:color w:val="000000"/>
      <w:sz w:val="24"/>
      <w:szCs w:val="24"/>
      <w14:ligatures w14:val="standardContextual"/>
    </w:rPr>
  </w:style>
  <w:style w:type="character" w:styleId="Mencinsinresolver">
    <w:name w:val="Unresolved Mention"/>
    <w:basedOn w:val="Fuentedeprrafopredeter"/>
    <w:uiPriority w:val="99"/>
    <w:semiHidden/>
    <w:unhideWhenUsed/>
    <w:rsid w:val="000403B1"/>
    <w:rPr>
      <w:color w:val="605E5C"/>
      <w:shd w:val="clear" w:color="auto" w:fill="E1DFDD"/>
    </w:rPr>
  </w:style>
  <w:style w:type="character" w:styleId="Textodelmarcadordeposicin">
    <w:name w:val="Placeholder Text"/>
    <w:basedOn w:val="Fuentedeprrafopredeter"/>
    <w:uiPriority w:val="99"/>
    <w:semiHidden/>
    <w:rsid w:val="000E60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acepjo.2026.1004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16/j.acepjo.2026.10041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2B99C-3094-44CE-BAF1-E4DE088BA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2972</Words>
  <Characters>16347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PTP</dc:creator>
  <cp:lastModifiedBy>JORGE</cp:lastModifiedBy>
  <cp:revision>1</cp:revision>
  <cp:lastPrinted>2026-05-24T20:42:00Z</cp:lastPrinted>
  <dcterms:created xsi:type="dcterms:W3CDTF">2026-07-26T19:12:00Z</dcterms:created>
  <dcterms:modified xsi:type="dcterms:W3CDTF">2026-07-27T17:18:00Z</dcterms:modified>
</cp:coreProperties>
</file>