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673FC1" w14:textId="77777777" w:rsidR="009B3AB7" w:rsidRDefault="003A56EC" w:rsidP="00EC1B59">
      <w:pPr>
        <w:spacing w:after="0"/>
        <w:jc w:val="center"/>
        <w:rPr>
          <w:rStyle w:val="None"/>
          <w:sz w:val="48"/>
          <w:szCs w:val="48"/>
        </w:rPr>
      </w:pPr>
      <w:bookmarkStart w:id="0" w:name="GoBack"/>
      <w:bookmarkEnd w:id="0"/>
      <w:r>
        <w:rPr>
          <w:rStyle w:val="None"/>
          <w:b/>
          <w:bCs/>
          <w:noProof/>
        </w:rPr>
        <w:drawing>
          <wp:inline distT="0" distB="0" distL="0" distR="0" wp14:anchorId="24C97E1A" wp14:editId="60F78402">
            <wp:extent cx="952500" cy="952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ln w="12700" cap="flat">
                      <a:noFill/>
                      <a:round/>
                    </a:ln>
                    <a:effectLst/>
                  </pic:spPr>
                </pic:pic>
              </a:graphicData>
            </a:graphic>
          </wp:inline>
        </w:drawing>
      </w:r>
      <w:r w:rsidR="00EC1B59">
        <w:rPr>
          <w:rStyle w:val="None"/>
          <w:sz w:val="36"/>
          <w:szCs w:val="36"/>
        </w:rPr>
        <w:t xml:space="preserve">     </w:t>
      </w:r>
      <w:r w:rsidR="00EC1B59" w:rsidRPr="00EC1B59">
        <w:rPr>
          <w:rStyle w:val="None"/>
          <w:sz w:val="36"/>
          <w:szCs w:val="36"/>
        </w:rPr>
        <w:t xml:space="preserve">Revisão de Literatura do </w:t>
      </w:r>
      <w:proofErr w:type="gramStart"/>
      <w:r w:rsidR="00EC1B59" w:rsidRPr="00EC1B59">
        <w:rPr>
          <w:rStyle w:val="None"/>
          <w:sz w:val="36"/>
          <w:szCs w:val="36"/>
        </w:rPr>
        <w:t>IPHMI</w:t>
      </w:r>
      <w:r w:rsidR="00EC1B59">
        <w:rPr>
          <w:rStyle w:val="None"/>
          <w:sz w:val="40"/>
          <w:szCs w:val="40"/>
        </w:rPr>
        <w:t xml:space="preserve">     </w:t>
      </w:r>
      <w:proofErr w:type="gramEnd"/>
      <w:r>
        <w:rPr>
          <w:rStyle w:val="None"/>
          <w:noProof/>
          <w:sz w:val="40"/>
          <w:szCs w:val="40"/>
        </w:rPr>
        <w:drawing>
          <wp:inline distT="0" distB="0" distL="0" distR="0" wp14:anchorId="12903565" wp14:editId="415D100D">
            <wp:extent cx="1397000" cy="8763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876300"/>
                    </a:xfrm>
                    <a:prstGeom prst="rect">
                      <a:avLst/>
                    </a:prstGeom>
                    <a:ln w="25400" cap="flat">
                      <a:solidFill>
                        <a:srgbClr val="000000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A05B11F" w14:textId="5B0C01DE" w:rsidR="009B3AB7" w:rsidRDefault="00EC1B59">
      <w:pPr>
        <w:jc w:val="center"/>
        <w:rPr>
          <w:rStyle w:val="None"/>
          <w:sz w:val="28"/>
          <w:szCs w:val="28"/>
        </w:rPr>
      </w:pPr>
      <w:r>
        <w:rPr>
          <w:rStyle w:val="None"/>
          <w:sz w:val="28"/>
          <w:szCs w:val="28"/>
        </w:rPr>
        <w:t xml:space="preserve">Mantendo você atualizado </w:t>
      </w:r>
      <w:r w:rsidR="00CA134C">
        <w:rPr>
          <w:rStyle w:val="None"/>
          <w:sz w:val="28"/>
          <w:szCs w:val="28"/>
        </w:rPr>
        <w:t xml:space="preserve">por meio </w:t>
      </w:r>
      <w:r w:rsidR="002D386B">
        <w:rPr>
          <w:rStyle w:val="None"/>
          <w:sz w:val="28"/>
          <w:szCs w:val="28"/>
        </w:rPr>
        <w:t>dos</w:t>
      </w:r>
      <w:r w:rsidR="00DC12C1">
        <w:rPr>
          <w:rStyle w:val="None"/>
          <w:sz w:val="28"/>
          <w:szCs w:val="28"/>
        </w:rPr>
        <w:t xml:space="preserve"> estudos </w:t>
      </w:r>
      <w:r w:rsidR="002D386B">
        <w:rPr>
          <w:rStyle w:val="None"/>
          <w:sz w:val="28"/>
          <w:szCs w:val="28"/>
        </w:rPr>
        <w:t>mais atuais relacionados ao</w:t>
      </w:r>
      <w:r w:rsidR="00DC12C1">
        <w:rPr>
          <w:rStyle w:val="None"/>
          <w:sz w:val="28"/>
          <w:szCs w:val="28"/>
        </w:rPr>
        <w:t xml:space="preserve"> atendimento p</w:t>
      </w:r>
      <w:r>
        <w:rPr>
          <w:rStyle w:val="None"/>
          <w:sz w:val="28"/>
          <w:szCs w:val="28"/>
        </w:rPr>
        <w:t>ré</w:t>
      </w:r>
      <w:r w:rsidR="00DC12C1">
        <w:rPr>
          <w:rStyle w:val="None"/>
          <w:sz w:val="28"/>
          <w:szCs w:val="28"/>
        </w:rPr>
        <w:t>-h</w:t>
      </w:r>
      <w:r>
        <w:rPr>
          <w:rStyle w:val="None"/>
          <w:sz w:val="28"/>
          <w:szCs w:val="28"/>
        </w:rPr>
        <w:t>ospitalar</w:t>
      </w:r>
      <w:r w:rsidR="002D386B">
        <w:rPr>
          <w:rStyle w:val="None"/>
          <w:sz w:val="28"/>
          <w:szCs w:val="28"/>
        </w:rPr>
        <w:t xml:space="preserve"> </w:t>
      </w:r>
    </w:p>
    <w:p w14:paraId="6768BC37" w14:textId="77777777" w:rsidR="009B3AB7" w:rsidRDefault="003A56EC">
      <w:pPr>
        <w:ind w:left="2160" w:firstLine="720"/>
        <w:rPr>
          <w:rStyle w:val="None"/>
          <w:sz w:val="48"/>
          <w:szCs w:val="48"/>
        </w:rPr>
      </w:pPr>
      <w:r>
        <w:rPr>
          <w:rStyle w:val="None"/>
          <w:sz w:val="48"/>
          <w:szCs w:val="48"/>
        </w:rPr>
        <w:t xml:space="preserve"> V.</w:t>
      </w:r>
      <w:r w:rsidR="00EC1B59">
        <w:rPr>
          <w:rStyle w:val="None"/>
          <w:sz w:val="48"/>
          <w:szCs w:val="48"/>
        </w:rPr>
        <w:t xml:space="preserve"> </w:t>
      </w:r>
      <w:r>
        <w:rPr>
          <w:rStyle w:val="None"/>
          <w:sz w:val="48"/>
          <w:szCs w:val="48"/>
        </w:rPr>
        <w:t>1.4</w:t>
      </w:r>
    </w:p>
    <w:p w14:paraId="38096E89" w14:textId="79891EC1" w:rsidR="009B3AB7" w:rsidRPr="007662F8" w:rsidRDefault="003A56E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7662F8">
        <w:rPr>
          <w:rStyle w:val="None"/>
          <w:b/>
          <w:bCs/>
          <w:sz w:val="20"/>
          <w:szCs w:val="20"/>
        </w:rPr>
        <w:t xml:space="preserve">Toracocentese </w:t>
      </w:r>
      <w:proofErr w:type="gramStart"/>
      <w:r w:rsidR="002363DB" w:rsidRPr="007662F8">
        <w:rPr>
          <w:rStyle w:val="None"/>
          <w:b/>
          <w:bCs/>
          <w:sz w:val="20"/>
          <w:szCs w:val="20"/>
        </w:rPr>
        <w:t>com</w:t>
      </w:r>
      <w:proofErr w:type="gramEnd"/>
      <w:r w:rsidRPr="007662F8">
        <w:rPr>
          <w:rStyle w:val="None"/>
          <w:b/>
          <w:bCs/>
          <w:sz w:val="20"/>
          <w:szCs w:val="20"/>
        </w:rPr>
        <w:t xml:space="preserve"> agulha: Mudando o tamanho da agulha e o local da punção muda-se o resultado do </w:t>
      </w:r>
      <w:r w:rsidR="00FD4B56">
        <w:rPr>
          <w:rStyle w:val="None"/>
          <w:b/>
          <w:bCs/>
          <w:sz w:val="20"/>
          <w:szCs w:val="20"/>
        </w:rPr>
        <w:t>doente</w:t>
      </w:r>
      <w:r w:rsidRPr="007662F8">
        <w:rPr>
          <w:rStyle w:val="None"/>
          <w:b/>
          <w:bCs/>
          <w:sz w:val="20"/>
          <w:szCs w:val="20"/>
        </w:rPr>
        <w:t xml:space="preserve">? </w:t>
      </w:r>
      <w:r w:rsidRPr="007662F8">
        <w:rPr>
          <w:rStyle w:val="None"/>
          <w:sz w:val="20"/>
          <w:szCs w:val="20"/>
        </w:rPr>
        <w:t>Weichenthal LA, Owen S, Stroh G, Ramos J.   Prehosp Disaster Med 2018</w:t>
      </w:r>
      <w:proofErr w:type="gramStart"/>
      <w:r w:rsidRPr="007662F8">
        <w:rPr>
          <w:rStyle w:val="None"/>
          <w:sz w:val="20"/>
          <w:szCs w:val="20"/>
        </w:rPr>
        <w:t>;33:237</w:t>
      </w:r>
      <w:proofErr w:type="gramEnd"/>
      <w:r w:rsidRPr="007662F8">
        <w:rPr>
          <w:rStyle w:val="None"/>
          <w:sz w:val="20"/>
          <w:szCs w:val="20"/>
        </w:rPr>
        <w:t>-244.</w:t>
      </w:r>
    </w:p>
    <w:p w14:paraId="5CE24E77" w14:textId="12754EF5" w:rsidR="009B3AB7" w:rsidRPr="007662F8" w:rsidRDefault="002D386B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1622F9">
        <w:rPr>
          <w:rStyle w:val="None"/>
          <w:b/>
          <w:bCs/>
          <w:sz w:val="20"/>
          <w:szCs w:val="20"/>
          <w:lang w:val="pt-BR"/>
        </w:rPr>
        <w:t>Morbidade e mortalidade associadas à</w:t>
      </w:r>
      <w:r>
        <w:rPr>
          <w:rStyle w:val="None"/>
          <w:b/>
          <w:bCs/>
          <w:sz w:val="20"/>
          <w:szCs w:val="20"/>
          <w:lang w:val="pt-BR"/>
        </w:rPr>
        <w:t>s</w:t>
      </w:r>
      <w:r w:rsidRPr="001622F9">
        <w:rPr>
          <w:rStyle w:val="None"/>
          <w:b/>
          <w:bCs/>
          <w:sz w:val="20"/>
          <w:szCs w:val="20"/>
          <w:lang w:val="pt-BR"/>
        </w:rPr>
        <w:t xml:space="preserve"> chamadas pré-hospitalares</w:t>
      </w:r>
      <w:r>
        <w:rPr>
          <w:rStyle w:val="None"/>
          <w:b/>
          <w:bCs/>
          <w:sz w:val="20"/>
          <w:szCs w:val="20"/>
          <w:lang w:val="pt-BR"/>
        </w:rPr>
        <w:t xml:space="preserve"> de</w:t>
      </w:r>
      <w:r w:rsidRPr="001622F9">
        <w:rPr>
          <w:rStyle w:val="None"/>
          <w:b/>
          <w:bCs/>
          <w:sz w:val="20"/>
          <w:szCs w:val="20"/>
          <w:lang w:val="pt-BR"/>
        </w:rPr>
        <w:t xml:space="preserve"> “</w:t>
      </w:r>
      <w:r>
        <w:rPr>
          <w:rStyle w:val="None"/>
          <w:b/>
          <w:bCs/>
          <w:sz w:val="20"/>
          <w:szCs w:val="20"/>
          <w:lang w:val="pt-BR"/>
        </w:rPr>
        <w:t>auxílio para mobilização</w:t>
      </w:r>
      <w:r w:rsidRPr="001622F9">
        <w:rPr>
          <w:rStyle w:val="None"/>
          <w:b/>
          <w:bCs/>
          <w:sz w:val="20"/>
          <w:szCs w:val="20"/>
          <w:lang w:val="pt-BR"/>
        </w:rPr>
        <w:t>”.</w:t>
      </w:r>
      <w:r w:rsidRPr="001622F9">
        <w:rPr>
          <w:sz w:val="20"/>
          <w:szCs w:val="20"/>
          <w:lang w:val="pt-BR"/>
        </w:rPr>
        <w:t xml:space="preserve">  </w:t>
      </w:r>
      <w:r w:rsidR="003A56EC" w:rsidRPr="007662F8">
        <w:rPr>
          <w:sz w:val="20"/>
          <w:szCs w:val="20"/>
        </w:rPr>
        <w:t>Leggatt L, Van Aarsen K, Columbus M, Et al.  Prehosp Emerg Care 2017</w:t>
      </w:r>
      <w:proofErr w:type="gramStart"/>
      <w:r w:rsidR="003A56EC" w:rsidRPr="007662F8">
        <w:rPr>
          <w:sz w:val="20"/>
          <w:szCs w:val="20"/>
        </w:rPr>
        <w:t>;21:556</w:t>
      </w:r>
      <w:proofErr w:type="gramEnd"/>
      <w:r w:rsidR="003A56EC" w:rsidRPr="007662F8">
        <w:rPr>
          <w:sz w:val="20"/>
          <w:szCs w:val="20"/>
        </w:rPr>
        <w:t>-562.</w:t>
      </w:r>
    </w:p>
    <w:p w14:paraId="70E91D1E" w14:textId="7626DB92" w:rsidR="009B3AB7" w:rsidRPr="007662F8" w:rsidRDefault="0052588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525889">
        <w:rPr>
          <w:rStyle w:val="None"/>
          <w:b/>
          <w:bCs/>
          <w:sz w:val="20"/>
          <w:szCs w:val="20"/>
          <w:lang w:val="pt-BR"/>
        </w:rPr>
        <w:t>Paramédic</w:t>
      </w:r>
      <w:r>
        <w:rPr>
          <w:rStyle w:val="None"/>
          <w:b/>
          <w:bCs/>
          <w:sz w:val="20"/>
          <w:szCs w:val="20"/>
          <w:lang w:val="pt-BR"/>
        </w:rPr>
        <w:t xml:space="preserve">os como um novo recurso para </w:t>
      </w:r>
      <w:r w:rsidRPr="00525889">
        <w:rPr>
          <w:rStyle w:val="None"/>
          <w:b/>
          <w:bCs/>
          <w:sz w:val="20"/>
          <w:szCs w:val="20"/>
          <w:lang w:val="pt-BR"/>
        </w:rPr>
        <w:t>mulheres que vivenciam violência por parceiro íntimo</w:t>
      </w:r>
      <w:r w:rsidRPr="001622F9">
        <w:rPr>
          <w:rStyle w:val="None"/>
          <w:b/>
          <w:bCs/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  <w:r w:rsidR="003A56EC" w:rsidRPr="007662F8">
        <w:rPr>
          <w:sz w:val="20"/>
          <w:szCs w:val="20"/>
        </w:rPr>
        <w:t>Sawyer S, Coles J, Williams A, Williams B.  J Interpersonal Violence 2018</w:t>
      </w:r>
    </w:p>
    <w:p w14:paraId="3A0F0BB3" w14:textId="7B37B4A5" w:rsidR="009B3AB7" w:rsidRPr="007662F8" w:rsidRDefault="004354AE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rStyle w:val="None"/>
          <w:b/>
          <w:bCs/>
          <w:sz w:val="20"/>
          <w:szCs w:val="20"/>
          <w:lang w:val="pt-BR"/>
        </w:rPr>
        <w:t xml:space="preserve">Subtriagem de </w:t>
      </w:r>
      <w:r w:rsidR="00A51D8E">
        <w:rPr>
          <w:rStyle w:val="None"/>
          <w:b/>
          <w:bCs/>
          <w:sz w:val="20"/>
          <w:szCs w:val="20"/>
          <w:lang w:val="pt-BR"/>
        </w:rPr>
        <w:t xml:space="preserve">vítimas de ferimento por </w:t>
      </w:r>
      <w:r>
        <w:rPr>
          <w:rStyle w:val="None"/>
          <w:b/>
          <w:bCs/>
          <w:sz w:val="20"/>
          <w:szCs w:val="20"/>
          <w:lang w:val="pt-BR"/>
        </w:rPr>
        <w:t xml:space="preserve">armas de fogo </w:t>
      </w:r>
      <w:r w:rsidRPr="004F0EC8">
        <w:rPr>
          <w:rStyle w:val="None"/>
          <w:b/>
          <w:bCs/>
          <w:sz w:val="20"/>
          <w:szCs w:val="20"/>
          <w:lang w:val="pt-BR"/>
        </w:rPr>
        <w:t>em uma grande área metropolitana</w:t>
      </w:r>
      <w:r w:rsidR="003A56EC" w:rsidRPr="007662F8">
        <w:rPr>
          <w:rStyle w:val="None"/>
          <w:b/>
          <w:bCs/>
          <w:sz w:val="20"/>
          <w:szCs w:val="20"/>
        </w:rPr>
        <w:t>.</w:t>
      </w:r>
      <w:r w:rsidR="003A56EC" w:rsidRPr="007662F8">
        <w:rPr>
          <w:sz w:val="20"/>
          <w:szCs w:val="20"/>
        </w:rPr>
        <w:t xml:space="preserve"> Lale A, Krajewski A, and Friedman LS.  JAMA Surg. 2017 May 1</w:t>
      </w:r>
      <w:proofErr w:type="gramStart"/>
      <w:r w:rsidR="003A56EC" w:rsidRPr="007662F8">
        <w:rPr>
          <w:sz w:val="20"/>
          <w:szCs w:val="20"/>
        </w:rPr>
        <w:t>;152</w:t>
      </w:r>
      <w:proofErr w:type="gramEnd"/>
      <w:r w:rsidR="003A56EC" w:rsidRPr="007662F8">
        <w:rPr>
          <w:sz w:val="20"/>
          <w:szCs w:val="20"/>
        </w:rPr>
        <w:t>(5):467-474</w:t>
      </w:r>
    </w:p>
    <w:p w14:paraId="6E4098FB" w14:textId="77777777" w:rsidR="009B3AB7" w:rsidRPr="001622F9" w:rsidRDefault="009B3AB7">
      <w:pPr>
        <w:pStyle w:val="ListParagraph"/>
        <w:rPr>
          <w:sz w:val="20"/>
          <w:szCs w:val="20"/>
          <w:lang w:val="pt-BR"/>
        </w:rPr>
      </w:pPr>
    </w:p>
    <w:p w14:paraId="3F39D5E9" w14:textId="3CE516B1" w:rsidR="009B3AB7" w:rsidRPr="001622F9" w:rsidRDefault="003A56EC">
      <w:pPr>
        <w:pStyle w:val="ListParagraph"/>
        <w:numPr>
          <w:ilvl w:val="0"/>
          <w:numId w:val="4"/>
        </w:numPr>
        <w:rPr>
          <w:sz w:val="20"/>
          <w:szCs w:val="20"/>
          <w:lang w:val="pt-BR"/>
        </w:rPr>
      </w:pPr>
      <w:r w:rsidRPr="001622F9">
        <w:rPr>
          <w:rStyle w:val="None"/>
          <w:b/>
          <w:bCs/>
          <w:sz w:val="20"/>
          <w:szCs w:val="20"/>
          <w:lang w:val="pt-BR"/>
        </w:rPr>
        <w:t xml:space="preserve">Toracocentese </w:t>
      </w:r>
      <w:r w:rsidR="002363DB" w:rsidRPr="001622F9">
        <w:rPr>
          <w:rStyle w:val="None"/>
          <w:b/>
          <w:bCs/>
          <w:sz w:val="20"/>
          <w:szCs w:val="20"/>
          <w:lang w:val="pt-BR"/>
        </w:rPr>
        <w:t>com</w:t>
      </w:r>
      <w:r w:rsidRPr="001622F9">
        <w:rPr>
          <w:rStyle w:val="None"/>
          <w:b/>
          <w:bCs/>
          <w:sz w:val="20"/>
          <w:szCs w:val="20"/>
          <w:lang w:val="pt-BR"/>
        </w:rPr>
        <w:t xml:space="preserve"> agulha: Mudando o tamanho da agulha e o local da punção, muda-se o resultado do </w:t>
      </w:r>
      <w:r w:rsidR="00FD4B56">
        <w:rPr>
          <w:rStyle w:val="None"/>
          <w:b/>
          <w:bCs/>
          <w:sz w:val="20"/>
          <w:szCs w:val="20"/>
          <w:lang w:val="pt-BR"/>
        </w:rPr>
        <w:t>doente</w:t>
      </w:r>
      <w:r w:rsidRPr="001622F9">
        <w:rPr>
          <w:rStyle w:val="None"/>
          <w:b/>
          <w:bCs/>
          <w:sz w:val="20"/>
          <w:szCs w:val="20"/>
          <w:lang w:val="pt-BR"/>
        </w:rPr>
        <w:t xml:space="preserve">? </w:t>
      </w:r>
      <w:r w:rsidRPr="001622F9">
        <w:rPr>
          <w:rStyle w:val="None"/>
          <w:sz w:val="20"/>
          <w:szCs w:val="20"/>
          <w:lang w:val="pt-BR"/>
        </w:rPr>
        <w:t xml:space="preserve">Weichenthal </w:t>
      </w:r>
      <w:r w:rsidR="003E046A" w:rsidRPr="001622F9">
        <w:rPr>
          <w:rStyle w:val="None"/>
          <w:sz w:val="20"/>
          <w:szCs w:val="20"/>
          <w:lang w:val="pt-BR"/>
        </w:rPr>
        <w:t xml:space="preserve">LA, Owen S, Stroh G, Ramos J. </w:t>
      </w:r>
      <w:r w:rsidRPr="001622F9">
        <w:rPr>
          <w:rStyle w:val="None"/>
          <w:sz w:val="20"/>
          <w:szCs w:val="20"/>
          <w:lang w:val="pt-BR"/>
        </w:rPr>
        <w:t>Prehosp Disaster Med 2018;33:237-244.</w:t>
      </w:r>
    </w:p>
    <w:p w14:paraId="5423277D" w14:textId="57F537D8" w:rsidR="003A56EC" w:rsidRPr="001622F9" w:rsidRDefault="003A56EC">
      <w:pPr>
        <w:spacing w:after="0" w:line="240" w:lineRule="auto"/>
        <w:ind w:firstLine="360"/>
        <w:rPr>
          <w:rStyle w:val="None"/>
          <w:sz w:val="20"/>
          <w:szCs w:val="20"/>
          <w:lang w:val="pt-BR"/>
        </w:rPr>
      </w:pPr>
      <w:r w:rsidRPr="001622F9">
        <w:rPr>
          <w:rStyle w:val="None"/>
          <w:sz w:val="20"/>
          <w:szCs w:val="20"/>
          <w:lang w:val="pt-BR"/>
        </w:rPr>
        <w:t xml:space="preserve">Toracocentese </w:t>
      </w:r>
      <w:r w:rsidR="002363DB" w:rsidRPr="001622F9">
        <w:rPr>
          <w:rStyle w:val="None"/>
          <w:sz w:val="20"/>
          <w:szCs w:val="20"/>
          <w:lang w:val="pt-BR"/>
        </w:rPr>
        <w:t>com</w:t>
      </w:r>
      <w:r w:rsidRPr="001622F9">
        <w:rPr>
          <w:rStyle w:val="None"/>
          <w:sz w:val="20"/>
          <w:szCs w:val="20"/>
          <w:lang w:val="pt-BR"/>
        </w:rPr>
        <w:t xml:space="preserve"> agulha é um procedimento comumente realizado no ambiente pré-hospitalar </w:t>
      </w:r>
      <w:r w:rsidR="00570E5D">
        <w:rPr>
          <w:rStyle w:val="None"/>
          <w:sz w:val="20"/>
          <w:szCs w:val="20"/>
          <w:lang w:val="pt-BR"/>
        </w:rPr>
        <w:t>em caso de suspeita de pneumotó</w:t>
      </w:r>
      <w:r w:rsidRPr="001622F9">
        <w:rPr>
          <w:rStyle w:val="None"/>
          <w:sz w:val="20"/>
          <w:szCs w:val="20"/>
          <w:lang w:val="pt-BR"/>
        </w:rPr>
        <w:t xml:space="preserve">rax hipertensivo. Neste estudo </w:t>
      </w:r>
      <w:r w:rsidR="00570E5D">
        <w:rPr>
          <w:rStyle w:val="None"/>
          <w:sz w:val="20"/>
          <w:szCs w:val="20"/>
          <w:lang w:val="pt-BR"/>
        </w:rPr>
        <w:t xml:space="preserve">observacional </w:t>
      </w:r>
      <w:r w:rsidRPr="001622F9">
        <w:rPr>
          <w:rStyle w:val="None"/>
          <w:sz w:val="20"/>
          <w:szCs w:val="20"/>
          <w:lang w:val="pt-BR"/>
        </w:rPr>
        <w:t>pré e pós</w:t>
      </w:r>
      <w:r w:rsidR="00570E5D">
        <w:rPr>
          <w:rStyle w:val="None"/>
          <w:sz w:val="20"/>
          <w:szCs w:val="20"/>
          <w:lang w:val="pt-BR"/>
        </w:rPr>
        <w:t xml:space="preserve"> avaliou</w:t>
      </w:r>
      <w:r w:rsidR="00AB7B2F">
        <w:rPr>
          <w:rStyle w:val="None"/>
          <w:sz w:val="20"/>
          <w:szCs w:val="20"/>
          <w:lang w:val="pt-BR"/>
        </w:rPr>
        <w:t xml:space="preserve">-se se </w:t>
      </w:r>
      <w:r w:rsidRPr="001622F9">
        <w:rPr>
          <w:rStyle w:val="None"/>
          <w:sz w:val="20"/>
          <w:szCs w:val="20"/>
          <w:lang w:val="pt-BR"/>
        </w:rPr>
        <w:t>a</w:t>
      </w:r>
      <w:r w:rsidR="00AB7B2F">
        <w:rPr>
          <w:rStyle w:val="None"/>
          <w:sz w:val="20"/>
          <w:szCs w:val="20"/>
          <w:lang w:val="pt-BR"/>
        </w:rPr>
        <w:t>lterações na</w:t>
      </w:r>
      <w:r w:rsidRPr="001622F9">
        <w:rPr>
          <w:rStyle w:val="None"/>
          <w:sz w:val="20"/>
          <w:szCs w:val="20"/>
          <w:lang w:val="pt-BR"/>
        </w:rPr>
        <w:t xml:space="preserve"> localização (linha média-clavicular </w:t>
      </w:r>
      <w:r w:rsidRPr="001622F9">
        <w:rPr>
          <w:rStyle w:val="None"/>
          <w:i/>
          <w:sz w:val="20"/>
          <w:szCs w:val="20"/>
          <w:lang w:val="pt-BR"/>
        </w:rPr>
        <w:t>versus</w:t>
      </w:r>
      <w:r w:rsidRPr="001622F9">
        <w:rPr>
          <w:rStyle w:val="None"/>
          <w:sz w:val="20"/>
          <w:szCs w:val="20"/>
          <w:lang w:val="pt-BR"/>
        </w:rPr>
        <w:t xml:space="preserve"> </w:t>
      </w:r>
      <w:r w:rsidR="008272BE" w:rsidRPr="001622F9">
        <w:rPr>
          <w:rStyle w:val="None"/>
          <w:sz w:val="20"/>
          <w:szCs w:val="20"/>
          <w:lang w:val="pt-BR"/>
        </w:rPr>
        <w:t>média</w:t>
      </w:r>
      <w:r w:rsidRPr="001622F9">
        <w:rPr>
          <w:rStyle w:val="None"/>
          <w:sz w:val="20"/>
          <w:szCs w:val="20"/>
          <w:lang w:val="pt-BR"/>
        </w:rPr>
        <w:t xml:space="preserve">-axilar), comprimento e diâmetro </w:t>
      </w:r>
      <w:r w:rsidR="006D63EA" w:rsidRPr="001622F9">
        <w:rPr>
          <w:rStyle w:val="None"/>
          <w:sz w:val="20"/>
          <w:szCs w:val="20"/>
          <w:lang w:val="pt-BR"/>
        </w:rPr>
        <w:t xml:space="preserve">do cateter, bem como </w:t>
      </w:r>
      <w:r w:rsidR="00AB7B2F">
        <w:rPr>
          <w:rStyle w:val="None"/>
          <w:sz w:val="20"/>
          <w:szCs w:val="20"/>
          <w:lang w:val="pt-BR"/>
        </w:rPr>
        <w:t>n</w:t>
      </w:r>
      <w:r w:rsidR="006D63EA" w:rsidRPr="001622F9">
        <w:rPr>
          <w:rStyle w:val="None"/>
          <w:sz w:val="20"/>
          <w:szCs w:val="20"/>
          <w:lang w:val="pt-BR"/>
        </w:rPr>
        <w:t xml:space="preserve">o </w:t>
      </w:r>
      <w:r w:rsidR="00570E5D">
        <w:rPr>
          <w:rStyle w:val="None"/>
          <w:sz w:val="20"/>
          <w:szCs w:val="20"/>
          <w:lang w:val="pt-BR"/>
        </w:rPr>
        <w:t>momento</w:t>
      </w:r>
      <w:r w:rsidR="006D63EA" w:rsidRPr="001622F9">
        <w:rPr>
          <w:rStyle w:val="None"/>
          <w:sz w:val="20"/>
          <w:szCs w:val="20"/>
          <w:lang w:val="pt-BR"/>
        </w:rPr>
        <w:t xml:space="preserve"> </w:t>
      </w:r>
      <w:r w:rsidR="00570E5D">
        <w:rPr>
          <w:rStyle w:val="None"/>
          <w:sz w:val="20"/>
          <w:szCs w:val="20"/>
          <w:lang w:val="pt-BR"/>
        </w:rPr>
        <w:t>d</w:t>
      </w:r>
      <w:r w:rsidR="006D63EA" w:rsidRPr="001622F9">
        <w:rPr>
          <w:rStyle w:val="None"/>
          <w:sz w:val="20"/>
          <w:szCs w:val="20"/>
          <w:lang w:val="pt-BR"/>
        </w:rPr>
        <w:t>a rea</w:t>
      </w:r>
      <w:r w:rsidR="00570E5D">
        <w:rPr>
          <w:rStyle w:val="None"/>
          <w:sz w:val="20"/>
          <w:szCs w:val="20"/>
          <w:lang w:val="pt-BR"/>
        </w:rPr>
        <w:t>lização do procedimento resultaram</w:t>
      </w:r>
      <w:r w:rsidR="006D63EA" w:rsidRPr="001622F9">
        <w:rPr>
          <w:rStyle w:val="None"/>
          <w:sz w:val="20"/>
          <w:szCs w:val="20"/>
          <w:lang w:val="pt-BR"/>
        </w:rPr>
        <w:t xml:space="preserve"> em aumento da sobrevida.</w:t>
      </w:r>
    </w:p>
    <w:p w14:paraId="343855E9" w14:textId="46126729" w:rsidR="00637D50" w:rsidRPr="001622F9" w:rsidRDefault="00817416">
      <w:pPr>
        <w:spacing w:after="0" w:line="240" w:lineRule="auto"/>
        <w:ind w:firstLine="360"/>
        <w:rPr>
          <w:rStyle w:val="None"/>
          <w:sz w:val="20"/>
          <w:szCs w:val="20"/>
          <w:lang w:val="pt-BR"/>
        </w:rPr>
      </w:pPr>
      <w:r w:rsidRPr="001622F9">
        <w:rPr>
          <w:rStyle w:val="None"/>
          <w:sz w:val="20"/>
          <w:szCs w:val="20"/>
          <w:lang w:val="pt-BR"/>
        </w:rPr>
        <w:t xml:space="preserve">Este estudo foi realizado em um sistema de atendimento pré-hospitalar central da </w:t>
      </w:r>
      <w:r w:rsidR="00AB7B2F">
        <w:rPr>
          <w:rStyle w:val="None"/>
          <w:sz w:val="20"/>
          <w:szCs w:val="20"/>
          <w:lang w:val="pt-BR"/>
        </w:rPr>
        <w:t>Califórnia. Durante o período de</w:t>
      </w:r>
      <w:r w:rsidRPr="001622F9">
        <w:rPr>
          <w:rStyle w:val="None"/>
          <w:sz w:val="20"/>
          <w:szCs w:val="20"/>
          <w:lang w:val="pt-BR"/>
        </w:rPr>
        <w:t xml:space="preserve"> estudo, trezentos e cinco doentes traumatizados (305) foram tratados com toraco</w:t>
      </w:r>
      <w:r w:rsidR="002363DB" w:rsidRPr="001622F9">
        <w:rPr>
          <w:rStyle w:val="None"/>
          <w:sz w:val="20"/>
          <w:szCs w:val="20"/>
          <w:lang w:val="pt-BR"/>
        </w:rPr>
        <w:t>centese com agulha</w:t>
      </w:r>
      <w:r w:rsidR="00CA5900" w:rsidRPr="001622F9">
        <w:rPr>
          <w:rStyle w:val="None"/>
          <w:sz w:val="20"/>
          <w:szCs w:val="20"/>
          <w:lang w:val="pt-BR"/>
        </w:rPr>
        <w:t xml:space="preserve"> de acordo com protocolos locais.</w:t>
      </w:r>
      <w:r w:rsidR="00AB7B2F">
        <w:rPr>
          <w:rStyle w:val="None"/>
          <w:sz w:val="20"/>
          <w:szCs w:val="20"/>
          <w:lang w:val="pt-BR"/>
        </w:rPr>
        <w:t xml:space="preserve"> O grupo “antes</w:t>
      </w:r>
      <w:r w:rsidR="006A4933" w:rsidRPr="001622F9">
        <w:rPr>
          <w:rStyle w:val="None"/>
          <w:sz w:val="20"/>
          <w:szCs w:val="20"/>
          <w:lang w:val="pt-BR"/>
        </w:rPr>
        <w:t xml:space="preserve">” foi composto por cento e sessenta e nove  (169) </w:t>
      </w:r>
      <w:r w:rsidR="00FD4B56">
        <w:rPr>
          <w:rStyle w:val="None"/>
          <w:sz w:val="20"/>
          <w:szCs w:val="20"/>
          <w:lang w:val="pt-BR"/>
        </w:rPr>
        <w:t>doente</w:t>
      </w:r>
      <w:r w:rsidR="006A4933" w:rsidRPr="001622F9">
        <w:rPr>
          <w:rStyle w:val="None"/>
          <w:sz w:val="20"/>
          <w:szCs w:val="20"/>
          <w:lang w:val="pt-BR"/>
        </w:rPr>
        <w:t xml:space="preserve">s submetidos a toracocentese com agulha na linha média-clavicular com um cateter </w:t>
      </w:r>
      <w:r w:rsidR="00637D50" w:rsidRPr="001622F9">
        <w:rPr>
          <w:rStyle w:val="None"/>
          <w:sz w:val="20"/>
          <w:szCs w:val="20"/>
          <w:lang w:val="pt-BR"/>
        </w:rPr>
        <w:t xml:space="preserve">intravenoso </w:t>
      </w:r>
      <w:r w:rsidR="006A4933" w:rsidRPr="001622F9">
        <w:rPr>
          <w:rStyle w:val="None"/>
          <w:sz w:val="20"/>
          <w:szCs w:val="20"/>
          <w:lang w:val="pt-BR"/>
        </w:rPr>
        <w:t>de 14G, com 5 cm de comprimento.</w:t>
      </w:r>
      <w:r w:rsidR="00637D50" w:rsidRPr="001622F9">
        <w:rPr>
          <w:rStyle w:val="None"/>
          <w:sz w:val="20"/>
          <w:szCs w:val="20"/>
          <w:lang w:val="pt-BR"/>
        </w:rPr>
        <w:t xml:space="preserve"> O segundo grupo, ou grupo “depois”, foi composto por cento e trinta e seis </w:t>
      </w:r>
      <w:r w:rsidR="00FD4B56">
        <w:rPr>
          <w:rStyle w:val="None"/>
          <w:sz w:val="20"/>
          <w:szCs w:val="20"/>
          <w:lang w:val="pt-BR"/>
        </w:rPr>
        <w:t>doente</w:t>
      </w:r>
      <w:r w:rsidR="00637D50" w:rsidRPr="001622F9">
        <w:rPr>
          <w:rStyle w:val="None"/>
          <w:sz w:val="20"/>
          <w:szCs w:val="20"/>
          <w:lang w:val="pt-BR"/>
        </w:rPr>
        <w:t xml:space="preserve">s (136) em que foi utilizado </w:t>
      </w:r>
      <w:r w:rsidR="00AB7B2F" w:rsidRPr="001622F9">
        <w:rPr>
          <w:rStyle w:val="None"/>
          <w:sz w:val="20"/>
          <w:szCs w:val="20"/>
          <w:lang w:val="pt-BR"/>
        </w:rPr>
        <w:t xml:space="preserve">para descompressão </w:t>
      </w:r>
      <w:r w:rsidR="00AB7B2F">
        <w:rPr>
          <w:rStyle w:val="None"/>
          <w:sz w:val="20"/>
          <w:szCs w:val="20"/>
          <w:lang w:val="pt-BR"/>
        </w:rPr>
        <w:t xml:space="preserve">torácica </w:t>
      </w:r>
      <w:r w:rsidR="00637D50" w:rsidRPr="001622F9">
        <w:rPr>
          <w:rStyle w:val="None"/>
          <w:sz w:val="20"/>
          <w:szCs w:val="20"/>
          <w:lang w:val="pt-BR"/>
        </w:rPr>
        <w:t>um cateter intravenoso de 10G, com comprimento mínimo de 9,5 cm, no 5</w:t>
      </w:r>
      <w:r w:rsidR="00637D50" w:rsidRPr="001622F9">
        <w:rPr>
          <w:rStyle w:val="None"/>
          <w:sz w:val="20"/>
          <w:szCs w:val="20"/>
          <w:vertAlign w:val="superscript"/>
          <w:lang w:val="pt-BR"/>
        </w:rPr>
        <w:t>o</w:t>
      </w:r>
      <w:r w:rsidR="00AB7B2F">
        <w:rPr>
          <w:rStyle w:val="None"/>
          <w:sz w:val="20"/>
          <w:szCs w:val="20"/>
          <w:lang w:val="pt-BR"/>
        </w:rPr>
        <w:t xml:space="preserve"> espaço intercostal, na linha mé</w:t>
      </w:r>
      <w:r w:rsidR="00637D50" w:rsidRPr="001622F9">
        <w:rPr>
          <w:rStyle w:val="None"/>
          <w:sz w:val="20"/>
          <w:szCs w:val="20"/>
          <w:lang w:val="pt-BR"/>
        </w:rPr>
        <w:t>dia-axilar. É importante relatar que no primeiro grupo a descompressão foi realizada apenas após a estabilização inicial e coloc</w:t>
      </w:r>
      <w:r w:rsidR="00EA24C0" w:rsidRPr="001622F9">
        <w:rPr>
          <w:rStyle w:val="None"/>
          <w:sz w:val="20"/>
          <w:szCs w:val="20"/>
          <w:lang w:val="pt-BR"/>
        </w:rPr>
        <w:t xml:space="preserve">ação do </w:t>
      </w:r>
      <w:r w:rsidR="00FD4B56">
        <w:rPr>
          <w:rStyle w:val="None"/>
          <w:sz w:val="20"/>
          <w:szCs w:val="20"/>
          <w:lang w:val="pt-BR"/>
        </w:rPr>
        <w:t>doente</w:t>
      </w:r>
      <w:r w:rsidR="00EA24C0" w:rsidRPr="001622F9">
        <w:rPr>
          <w:rStyle w:val="None"/>
          <w:sz w:val="20"/>
          <w:szCs w:val="20"/>
          <w:lang w:val="pt-BR"/>
        </w:rPr>
        <w:t xml:space="preserve"> na ambulância; enquanto o segundo grupo foi submetido ao procedimento durante a estabilização inicial</w:t>
      </w:r>
      <w:r w:rsidR="00AB7B2F">
        <w:rPr>
          <w:rStyle w:val="None"/>
          <w:sz w:val="20"/>
          <w:szCs w:val="20"/>
          <w:lang w:val="pt-BR"/>
        </w:rPr>
        <w:t>,</w:t>
      </w:r>
      <w:r w:rsidR="00EA24C0" w:rsidRPr="001622F9">
        <w:rPr>
          <w:rStyle w:val="None"/>
          <w:sz w:val="20"/>
          <w:szCs w:val="20"/>
          <w:lang w:val="pt-BR"/>
        </w:rPr>
        <w:t xml:space="preserve"> na cena. A mortalidade em</w:t>
      </w:r>
      <w:r w:rsidR="00AB7B2F">
        <w:rPr>
          <w:rStyle w:val="None"/>
          <w:sz w:val="20"/>
          <w:szCs w:val="20"/>
          <w:lang w:val="pt-BR"/>
        </w:rPr>
        <w:t xml:space="preserve"> ambos os grupos foi de 79%. Ess</w:t>
      </w:r>
      <w:r w:rsidR="00EA24C0" w:rsidRPr="001622F9">
        <w:rPr>
          <w:rStyle w:val="None"/>
          <w:sz w:val="20"/>
          <w:szCs w:val="20"/>
          <w:lang w:val="pt-BR"/>
        </w:rPr>
        <w:t xml:space="preserve">a taxa de mortalidade é um pouco maior do que a de outros estudos, mas é importante relatar que quase dois terços (59%) dos </w:t>
      </w:r>
      <w:r w:rsidR="00FD4B56">
        <w:rPr>
          <w:rStyle w:val="None"/>
          <w:sz w:val="20"/>
          <w:szCs w:val="20"/>
          <w:lang w:val="pt-BR"/>
        </w:rPr>
        <w:t>doente</w:t>
      </w:r>
      <w:r w:rsidR="00AB7B2F">
        <w:rPr>
          <w:rStyle w:val="None"/>
          <w:sz w:val="20"/>
          <w:szCs w:val="20"/>
          <w:lang w:val="pt-BR"/>
        </w:rPr>
        <w:t>s incluídos neste</w:t>
      </w:r>
      <w:r w:rsidR="00EA24C0" w:rsidRPr="001622F9">
        <w:rPr>
          <w:rStyle w:val="None"/>
          <w:sz w:val="20"/>
          <w:szCs w:val="20"/>
          <w:lang w:val="pt-BR"/>
        </w:rPr>
        <w:t xml:space="preserve"> estudo apresentaram parada cardíaca traumática. O estudo incluiu tanto </w:t>
      </w:r>
      <w:r w:rsidR="00FD4B56">
        <w:rPr>
          <w:rStyle w:val="None"/>
          <w:sz w:val="20"/>
          <w:szCs w:val="20"/>
          <w:lang w:val="pt-BR"/>
        </w:rPr>
        <w:t>doente</w:t>
      </w:r>
      <w:r w:rsidR="00EA24C0" w:rsidRPr="001622F9">
        <w:rPr>
          <w:rStyle w:val="None"/>
          <w:sz w:val="20"/>
          <w:szCs w:val="20"/>
          <w:lang w:val="pt-BR"/>
        </w:rPr>
        <w:t xml:space="preserve">s de trauma contuso quanto penetrante. Os </w:t>
      </w:r>
      <w:r w:rsidR="00FD4B56">
        <w:rPr>
          <w:rStyle w:val="None"/>
          <w:sz w:val="20"/>
          <w:szCs w:val="20"/>
          <w:lang w:val="pt-BR"/>
        </w:rPr>
        <w:t>doente</w:t>
      </w:r>
      <w:r w:rsidR="00EA24C0" w:rsidRPr="001622F9">
        <w:rPr>
          <w:rStyle w:val="None"/>
          <w:sz w:val="20"/>
          <w:szCs w:val="20"/>
          <w:lang w:val="pt-BR"/>
        </w:rPr>
        <w:t xml:space="preserve">s com punção na linha média-axilar tiveram um ISS menor e, como observado pelos autores, o procedimento foi realizado com maior frequência após </w:t>
      </w:r>
      <w:r w:rsidR="00AB7B2F">
        <w:rPr>
          <w:rStyle w:val="None"/>
          <w:sz w:val="20"/>
          <w:szCs w:val="20"/>
          <w:lang w:val="pt-BR"/>
        </w:rPr>
        <w:t xml:space="preserve">o </w:t>
      </w:r>
      <w:r w:rsidR="00EA24C0" w:rsidRPr="001622F9">
        <w:rPr>
          <w:rStyle w:val="None"/>
          <w:sz w:val="20"/>
          <w:szCs w:val="20"/>
          <w:lang w:val="pt-BR"/>
        </w:rPr>
        <w:t xml:space="preserve">treinamento dos profissionais. O resultado positivo foi mais provável em </w:t>
      </w:r>
      <w:r w:rsidR="00FD4B56">
        <w:rPr>
          <w:rStyle w:val="None"/>
          <w:sz w:val="20"/>
          <w:szCs w:val="20"/>
          <w:lang w:val="pt-BR"/>
        </w:rPr>
        <w:t>doente</w:t>
      </w:r>
      <w:r w:rsidR="00EA24C0" w:rsidRPr="001622F9">
        <w:rPr>
          <w:rStyle w:val="None"/>
          <w:sz w:val="20"/>
          <w:szCs w:val="20"/>
          <w:lang w:val="pt-BR"/>
        </w:rPr>
        <w:t>s que tiveram um ISS mais b</w:t>
      </w:r>
      <w:r w:rsidR="00AB7B2F">
        <w:rPr>
          <w:rStyle w:val="None"/>
          <w:sz w:val="20"/>
          <w:szCs w:val="20"/>
          <w:lang w:val="pt-BR"/>
        </w:rPr>
        <w:t>aixo e que tiveram uma melhora d</w:t>
      </w:r>
      <w:r w:rsidR="00EA24C0" w:rsidRPr="001622F9">
        <w:rPr>
          <w:rStyle w:val="None"/>
          <w:sz w:val="20"/>
          <w:szCs w:val="20"/>
          <w:lang w:val="pt-BR"/>
        </w:rPr>
        <w:t xml:space="preserve">o estado clínico após a realização da toracocentese. Nenhuma complicação </w:t>
      </w:r>
      <w:r w:rsidR="00AB7B2F">
        <w:rPr>
          <w:rStyle w:val="None"/>
          <w:sz w:val="20"/>
          <w:szCs w:val="20"/>
          <w:lang w:val="pt-BR"/>
        </w:rPr>
        <w:t>relacionada diretamente à toracocentese com agulha foi identificada nos dois grupos</w:t>
      </w:r>
      <w:r w:rsidR="00EA24C0" w:rsidRPr="001622F9">
        <w:rPr>
          <w:rStyle w:val="None"/>
          <w:sz w:val="20"/>
          <w:szCs w:val="20"/>
          <w:lang w:val="pt-BR"/>
        </w:rPr>
        <w:t>.</w:t>
      </w:r>
    </w:p>
    <w:p w14:paraId="73D55EDE" w14:textId="4FA5D958" w:rsidR="008D1226" w:rsidRPr="001622F9" w:rsidRDefault="008D1226">
      <w:pPr>
        <w:spacing w:after="0" w:line="240" w:lineRule="auto"/>
        <w:ind w:firstLine="360"/>
        <w:rPr>
          <w:rStyle w:val="None"/>
          <w:sz w:val="20"/>
          <w:szCs w:val="20"/>
          <w:lang w:val="pt-BR"/>
        </w:rPr>
      </w:pPr>
      <w:r w:rsidRPr="001622F9">
        <w:rPr>
          <w:rStyle w:val="None"/>
          <w:sz w:val="20"/>
          <w:szCs w:val="20"/>
          <w:lang w:val="pt-BR"/>
        </w:rPr>
        <w:t>Os resultados deste estudo são um tanto surpreendentes, uma vez que três variáveis do procedimento</w:t>
      </w:r>
      <w:r w:rsidR="005E59B9" w:rsidRPr="001622F9">
        <w:rPr>
          <w:rStyle w:val="None"/>
          <w:sz w:val="20"/>
          <w:szCs w:val="20"/>
          <w:lang w:val="pt-BR"/>
        </w:rPr>
        <w:t xml:space="preserve"> foram alteradas -</w:t>
      </w:r>
      <w:r w:rsidRPr="001622F9">
        <w:rPr>
          <w:rStyle w:val="None"/>
          <w:sz w:val="20"/>
          <w:szCs w:val="20"/>
          <w:lang w:val="pt-BR"/>
        </w:rPr>
        <w:t xml:space="preserve"> </w:t>
      </w:r>
      <w:r w:rsidR="005E59B9" w:rsidRPr="001622F9">
        <w:rPr>
          <w:rStyle w:val="None"/>
          <w:sz w:val="20"/>
          <w:szCs w:val="20"/>
          <w:lang w:val="pt-BR"/>
        </w:rPr>
        <w:t xml:space="preserve">especificamente o cateter mais longo, a escolha do local toracocentese com agulha e o momento de inserção, o que se esperava </w:t>
      </w:r>
      <w:r w:rsidRPr="001622F9">
        <w:rPr>
          <w:rStyle w:val="None"/>
          <w:sz w:val="20"/>
          <w:szCs w:val="20"/>
          <w:lang w:val="pt-BR"/>
        </w:rPr>
        <w:t xml:space="preserve">melhorar o resultado do </w:t>
      </w:r>
      <w:r w:rsidR="00FD4B56">
        <w:rPr>
          <w:rStyle w:val="None"/>
          <w:sz w:val="20"/>
          <w:szCs w:val="20"/>
          <w:lang w:val="pt-BR"/>
        </w:rPr>
        <w:t>doente</w:t>
      </w:r>
      <w:r w:rsidRPr="001622F9">
        <w:rPr>
          <w:rStyle w:val="None"/>
          <w:sz w:val="20"/>
          <w:szCs w:val="20"/>
          <w:lang w:val="pt-BR"/>
        </w:rPr>
        <w:t xml:space="preserve"> </w:t>
      </w:r>
      <w:r w:rsidR="005E59B9" w:rsidRPr="001622F9">
        <w:rPr>
          <w:rStyle w:val="None"/>
          <w:sz w:val="20"/>
          <w:szCs w:val="20"/>
          <w:lang w:val="pt-BR"/>
        </w:rPr>
        <w:t>traumatizado</w:t>
      </w:r>
      <w:r w:rsidRPr="001622F9">
        <w:rPr>
          <w:rStyle w:val="None"/>
          <w:sz w:val="20"/>
          <w:szCs w:val="20"/>
          <w:lang w:val="pt-BR"/>
        </w:rPr>
        <w:t>.</w:t>
      </w:r>
      <w:r w:rsidR="005E59B9" w:rsidRPr="001622F9">
        <w:rPr>
          <w:rStyle w:val="None"/>
          <w:sz w:val="20"/>
          <w:szCs w:val="20"/>
          <w:lang w:val="pt-BR"/>
        </w:rPr>
        <w:t xml:space="preserve"> Estudos prévios mostraram que cateteres </w:t>
      </w:r>
      <w:r w:rsidR="005E59B9" w:rsidRPr="001622F9">
        <w:rPr>
          <w:rStyle w:val="None"/>
          <w:sz w:val="20"/>
          <w:szCs w:val="20"/>
          <w:lang w:val="pt-BR"/>
        </w:rPr>
        <w:lastRenderedPageBreak/>
        <w:t>mais curtos e a colocação da agulha no 2º espaço intercostal falham em penetrar na cavidade torácica em até 60% das vezes.</w:t>
      </w:r>
      <w:r w:rsidR="00742074" w:rsidRPr="001622F9">
        <w:rPr>
          <w:rStyle w:val="None"/>
          <w:sz w:val="20"/>
          <w:szCs w:val="20"/>
          <w:lang w:val="pt-BR"/>
        </w:rPr>
        <w:t xml:space="preserve"> Além disso, </w:t>
      </w:r>
      <w:r w:rsidR="00FA715D" w:rsidRPr="001622F9">
        <w:rPr>
          <w:rStyle w:val="None"/>
          <w:sz w:val="20"/>
          <w:szCs w:val="20"/>
          <w:lang w:val="pt-BR"/>
        </w:rPr>
        <w:t xml:space="preserve">seria esperado que </w:t>
      </w:r>
      <w:r w:rsidR="00742074" w:rsidRPr="001622F9">
        <w:rPr>
          <w:rStyle w:val="None"/>
          <w:sz w:val="20"/>
          <w:szCs w:val="20"/>
          <w:lang w:val="pt-BR"/>
        </w:rPr>
        <w:t>a realização do procedimento precocemente durante o tratamento do doente</w:t>
      </w:r>
      <w:r w:rsidR="00FA715D" w:rsidRPr="001622F9">
        <w:rPr>
          <w:rStyle w:val="None"/>
          <w:sz w:val="20"/>
          <w:szCs w:val="20"/>
          <w:lang w:val="pt-BR"/>
        </w:rPr>
        <w:t xml:space="preserve"> melhorasse o potencial de sobrevida</w:t>
      </w:r>
      <w:r w:rsidR="00742074" w:rsidRPr="001622F9">
        <w:rPr>
          <w:rStyle w:val="None"/>
          <w:sz w:val="20"/>
          <w:szCs w:val="20"/>
          <w:lang w:val="pt-BR"/>
        </w:rPr>
        <w:t>. A despeito das alterações feitas no procedimento no segundo grupo, o resultado em ambos foi o mesmo.</w:t>
      </w:r>
      <w:r w:rsidR="007C26C1" w:rsidRPr="001622F9">
        <w:rPr>
          <w:rStyle w:val="None"/>
          <w:sz w:val="20"/>
          <w:szCs w:val="20"/>
          <w:lang w:val="pt-BR"/>
        </w:rPr>
        <w:t xml:space="preserve"> Infelizmente, nenhuma informação sobre os horários pré-hospitalares ou </w:t>
      </w:r>
      <w:r w:rsidR="00AB7B2F">
        <w:rPr>
          <w:rStyle w:val="None"/>
          <w:sz w:val="20"/>
          <w:szCs w:val="20"/>
          <w:lang w:val="pt-BR"/>
        </w:rPr>
        <w:t>o momento específico</w:t>
      </w:r>
      <w:r w:rsidR="007C26C1" w:rsidRPr="001622F9">
        <w:rPr>
          <w:rStyle w:val="None"/>
          <w:sz w:val="20"/>
          <w:szCs w:val="20"/>
          <w:lang w:val="pt-BR"/>
        </w:rPr>
        <w:t xml:space="preserve"> da realização da toracocentese com agulha foi informado. Não surpreende que a sobrevida tenha sido melhor naqueles </w:t>
      </w:r>
      <w:r w:rsidR="00FD4B56">
        <w:rPr>
          <w:rStyle w:val="None"/>
          <w:sz w:val="20"/>
          <w:szCs w:val="20"/>
          <w:lang w:val="pt-BR"/>
        </w:rPr>
        <w:t>doente</w:t>
      </w:r>
      <w:r w:rsidR="007C26C1" w:rsidRPr="001622F9">
        <w:rPr>
          <w:rStyle w:val="None"/>
          <w:sz w:val="20"/>
          <w:szCs w:val="20"/>
          <w:lang w:val="pt-BR"/>
        </w:rPr>
        <w:t xml:space="preserve">s que tiveram um ISS menor (lesões menos graves) e naqueles </w:t>
      </w:r>
      <w:r w:rsidR="00FD4B56">
        <w:rPr>
          <w:rStyle w:val="None"/>
          <w:sz w:val="20"/>
          <w:szCs w:val="20"/>
          <w:lang w:val="pt-BR"/>
        </w:rPr>
        <w:t>doente</w:t>
      </w:r>
      <w:r w:rsidR="007C26C1" w:rsidRPr="001622F9">
        <w:rPr>
          <w:rStyle w:val="None"/>
          <w:sz w:val="20"/>
          <w:szCs w:val="20"/>
          <w:lang w:val="pt-BR"/>
        </w:rPr>
        <w:t>s que tiveram uma resposta clínica positiva à de</w:t>
      </w:r>
      <w:r w:rsidR="00AB7B2F">
        <w:rPr>
          <w:rStyle w:val="None"/>
          <w:sz w:val="20"/>
          <w:szCs w:val="20"/>
          <w:lang w:val="pt-BR"/>
        </w:rPr>
        <w:t>scompressão. Ess</w:t>
      </w:r>
      <w:r w:rsidR="007C26C1" w:rsidRPr="001622F9">
        <w:rPr>
          <w:rStyle w:val="None"/>
          <w:sz w:val="20"/>
          <w:szCs w:val="20"/>
          <w:lang w:val="pt-BR"/>
        </w:rPr>
        <w:t xml:space="preserve">e artigo fornece poucas informações novas para melhor orientar o tratamento do </w:t>
      </w:r>
      <w:r w:rsidR="00FD4B56">
        <w:rPr>
          <w:rStyle w:val="None"/>
          <w:sz w:val="20"/>
          <w:szCs w:val="20"/>
          <w:lang w:val="pt-BR"/>
        </w:rPr>
        <w:t>doente</w:t>
      </w:r>
      <w:r w:rsidR="007C26C1" w:rsidRPr="001622F9">
        <w:rPr>
          <w:rStyle w:val="None"/>
          <w:sz w:val="20"/>
          <w:szCs w:val="20"/>
          <w:lang w:val="pt-BR"/>
        </w:rPr>
        <w:t xml:space="preserve"> traumatizado no atendimento pré-hospitalar.</w:t>
      </w:r>
    </w:p>
    <w:p w14:paraId="5E44DD82" w14:textId="77777777" w:rsidR="009B3AB7" w:rsidRDefault="009B3AB7">
      <w:pPr>
        <w:spacing w:after="0" w:line="240" w:lineRule="auto"/>
        <w:ind w:firstLine="360"/>
        <w:rPr>
          <w:rStyle w:val="None"/>
          <w:sz w:val="20"/>
          <w:szCs w:val="20"/>
          <w:lang w:val="pt-BR"/>
        </w:rPr>
      </w:pPr>
    </w:p>
    <w:p w14:paraId="41CFBD98" w14:textId="77777777" w:rsidR="00602BA3" w:rsidRPr="001622F9" w:rsidRDefault="00602BA3">
      <w:pPr>
        <w:spacing w:after="0" w:line="240" w:lineRule="auto"/>
        <w:ind w:firstLine="360"/>
        <w:rPr>
          <w:rStyle w:val="None"/>
          <w:sz w:val="20"/>
          <w:szCs w:val="20"/>
          <w:lang w:val="pt-BR"/>
        </w:rPr>
      </w:pPr>
    </w:p>
    <w:p w14:paraId="12F2B8BE" w14:textId="3962C13B" w:rsidR="009B3AB7" w:rsidRPr="001622F9" w:rsidRDefault="003323B9">
      <w:pPr>
        <w:pStyle w:val="ListParagraph"/>
        <w:numPr>
          <w:ilvl w:val="0"/>
          <w:numId w:val="4"/>
        </w:numPr>
        <w:rPr>
          <w:sz w:val="20"/>
          <w:szCs w:val="20"/>
          <w:lang w:val="pt-BR"/>
        </w:rPr>
      </w:pPr>
      <w:r w:rsidRPr="001622F9">
        <w:rPr>
          <w:rStyle w:val="None"/>
          <w:b/>
          <w:bCs/>
          <w:sz w:val="20"/>
          <w:szCs w:val="20"/>
          <w:lang w:val="pt-BR"/>
        </w:rPr>
        <w:t>Morbidade e mortalidade associadas à</w:t>
      </w:r>
      <w:r w:rsidR="002D386B">
        <w:rPr>
          <w:rStyle w:val="None"/>
          <w:b/>
          <w:bCs/>
          <w:sz w:val="20"/>
          <w:szCs w:val="20"/>
          <w:lang w:val="pt-BR"/>
        </w:rPr>
        <w:t>s</w:t>
      </w:r>
      <w:r w:rsidRPr="001622F9">
        <w:rPr>
          <w:rStyle w:val="None"/>
          <w:b/>
          <w:bCs/>
          <w:sz w:val="20"/>
          <w:szCs w:val="20"/>
          <w:lang w:val="pt-BR"/>
        </w:rPr>
        <w:t xml:space="preserve"> chamadas pré-hospitalares</w:t>
      </w:r>
      <w:r w:rsidR="002D386B">
        <w:rPr>
          <w:rStyle w:val="None"/>
          <w:b/>
          <w:bCs/>
          <w:sz w:val="20"/>
          <w:szCs w:val="20"/>
          <w:lang w:val="pt-BR"/>
        </w:rPr>
        <w:t xml:space="preserve"> de</w:t>
      </w:r>
      <w:r w:rsidR="003A56EC" w:rsidRPr="001622F9">
        <w:rPr>
          <w:rStyle w:val="None"/>
          <w:b/>
          <w:bCs/>
          <w:sz w:val="20"/>
          <w:szCs w:val="20"/>
          <w:lang w:val="pt-BR"/>
        </w:rPr>
        <w:t xml:space="preserve"> </w:t>
      </w:r>
      <w:r w:rsidRPr="001622F9">
        <w:rPr>
          <w:rStyle w:val="None"/>
          <w:b/>
          <w:bCs/>
          <w:sz w:val="20"/>
          <w:szCs w:val="20"/>
          <w:lang w:val="pt-BR"/>
        </w:rPr>
        <w:t>“</w:t>
      </w:r>
      <w:r w:rsidR="002D386B">
        <w:rPr>
          <w:rStyle w:val="None"/>
          <w:b/>
          <w:bCs/>
          <w:sz w:val="20"/>
          <w:szCs w:val="20"/>
          <w:lang w:val="pt-BR"/>
        </w:rPr>
        <w:t>auxílio para mobilização</w:t>
      </w:r>
      <w:r w:rsidRPr="001622F9">
        <w:rPr>
          <w:rStyle w:val="None"/>
          <w:b/>
          <w:bCs/>
          <w:sz w:val="20"/>
          <w:szCs w:val="20"/>
          <w:lang w:val="pt-BR"/>
        </w:rPr>
        <w:t>”</w:t>
      </w:r>
      <w:r w:rsidR="003A56EC" w:rsidRPr="001622F9">
        <w:rPr>
          <w:rStyle w:val="None"/>
          <w:b/>
          <w:bCs/>
          <w:sz w:val="20"/>
          <w:szCs w:val="20"/>
          <w:lang w:val="pt-BR"/>
        </w:rPr>
        <w:t>.</w:t>
      </w:r>
      <w:r w:rsidR="003A56EC" w:rsidRPr="001622F9">
        <w:rPr>
          <w:sz w:val="20"/>
          <w:szCs w:val="20"/>
          <w:lang w:val="pt-BR"/>
        </w:rPr>
        <w:t xml:space="preserve">  Leggatt L, Van Aarsen K, Columbus M, Et al.  Prehosp Emerg Care 2017;21:556-562.</w:t>
      </w:r>
    </w:p>
    <w:p w14:paraId="410C4100" w14:textId="0C70F5D6" w:rsidR="00943D05" w:rsidRPr="001622F9" w:rsidRDefault="00943D05">
      <w:pPr>
        <w:spacing w:after="0" w:line="240" w:lineRule="auto"/>
        <w:ind w:firstLine="360"/>
        <w:rPr>
          <w:sz w:val="20"/>
          <w:szCs w:val="20"/>
          <w:lang w:val="pt-BR"/>
        </w:rPr>
      </w:pPr>
      <w:r w:rsidRPr="001622F9">
        <w:rPr>
          <w:sz w:val="20"/>
          <w:szCs w:val="20"/>
          <w:lang w:val="pt-BR"/>
        </w:rPr>
        <w:t xml:space="preserve">Todos os dias, profissionais do atendimento pré-hospitalar (APH) </w:t>
      </w:r>
      <w:r w:rsidR="006C7C92" w:rsidRPr="001622F9">
        <w:rPr>
          <w:sz w:val="20"/>
          <w:szCs w:val="20"/>
          <w:lang w:val="pt-BR"/>
        </w:rPr>
        <w:t>respondem</w:t>
      </w:r>
      <w:r w:rsidR="008D7168">
        <w:rPr>
          <w:sz w:val="20"/>
          <w:szCs w:val="20"/>
          <w:lang w:val="pt-BR"/>
        </w:rPr>
        <w:t xml:space="preserve"> a chamada</w:t>
      </w:r>
      <w:r w:rsidRPr="001622F9">
        <w:rPr>
          <w:sz w:val="20"/>
          <w:szCs w:val="20"/>
          <w:lang w:val="pt-BR"/>
        </w:rPr>
        <w:t xml:space="preserve">s em que </w:t>
      </w:r>
      <w:r w:rsidR="006C7C92" w:rsidRPr="001622F9">
        <w:rPr>
          <w:sz w:val="20"/>
          <w:szCs w:val="20"/>
          <w:lang w:val="pt-BR"/>
        </w:rPr>
        <w:t xml:space="preserve">os indivíduos necessitam de assistência </w:t>
      </w:r>
      <w:r w:rsidR="00FC5EC2" w:rsidRPr="001622F9">
        <w:rPr>
          <w:sz w:val="20"/>
          <w:szCs w:val="20"/>
          <w:lang w:val="pt-BR"/>
        </w:rPr>
        <w:t>para</w:t>
      </w:r>
      <w:r w:rsidR="006C7C92" w:rsidRPr="001622F9">
        <w:rPr>
          <w:sz w:val="20"/>
          <w:szCs w:val="20"/>
          <w:lang w:val="pt-BR"/>
        </w:rPr>
        <w:t xml:space="preserve"> mobilização</w:t>
      </w:r>
      <w:r w:rsidRPr="001622F9">
        <w:rPr>
          <w:sz w:val="20"/>
          <w:szCs w:val="20"/>
          <w:lang w:val="pt-BR"/>
        </w:rPr>
        <w:t>. Muitos desses atendimentos</w:t>
      </w:r>
      <w:r w:rsidR="004F31C1" w:rsidRPr="001622F9">
        <w:rPr>
          <w:sz w:val="20"/>
          <w:szCs w:val="20"/>
          <w:lang w:val="pt-BR"/>
        </w:rPr>
        <w:t xml:space="preserve"> não demandam tratamento ou tra</w:t>
      </w:r>
      <w:r w:rsidRPr="001622F9">
        <w:rPr>
          <w:sz w:val="20"/>
          <w:szCs w:val="20"/>
          <w:lang w:val="pt-BR"/>
        </w:rPr>
        <w:t>n</w:t>
      </w:r>
      <w:r w:rsidR="004F31C1" w:rsidRPr="001622F9">
        <w:rPr>
          <w:sz w:val="20"/>
          <w:szCs w:val="20"/>
          <w:lang w:val="pt-BR"/>
        </w:rPr>
        <w:t>s</w:t>
      </w:r>
      <w:r w:rsidR="00FC5EC2" w:rsidRPr="001622F9">
        <w:rPr>
          <w:sz w:val="20"/>
          <w:szCs w:val="20"/>
          <w:lang w:val="pt-BR"/>
        </w:rPr>
        <w:t xml:space="preserve">porte </w:t>
      </w:r>
      <w:r w:rsidRPr="001622F9">
        <w:rPr>
          <w:sz w:val="20"/>
          <w:szCs w:val="20"/>
          <w:lang w:val="pt-BR"/>
        </w:rPr>
        <w:t xml:space="preserve">para o hospital. </w:t>
      </w:r>
      <w:r w:rsidR="004D2717" w:rsidRPr="001622F9">
        <w:rPr>
          <w:sz w:val="20"/>
          <w:szCs w:val="20"/>
          <w:lang w:val="pt-BR"/>
        </w:rPr>
        <w:t>Essa solicitação</w:t>
      </w:r>
      <w:r w:rsidRPr="001622F9">
        <w:rPr>
          <w:sz w:val="20"/>
          <w:szCs w:val="20"/>
          <w:lang w:val="pt-BR"/>
        </w:rPr>
        <w:t xml:space="preserve"> individual é simplesmente para que </w:t>
      </w:r>
      <w:r w:rsidR="00FC5EC2" w:rsidRPr="001622F9">
        <w:rPr>
          <w:sz w:val="20"/>
          <w:szCs w:val="20"/>
          <w:lang w:val="pt-BR"/>
        </w:rPr>
        <w:t xml:space="preserve">a equipe auxilie o indivíduo a se levantar </w:t>
      </w:r>
      <w:r w:rsidR="004D2717" w:rsidRPr="001622F9">
        <w:rPr>
          <w:sz w:val="20"/>
          <w:szCs w:val="20"/>
          <w:lang w:val="pt-BR"/>
        </w:rPr>
        <w:t>ou ser</w:t>
      </w:r>
      <w:r w:rsidR="00FC5EC2" w:rsidRPr="001622F9">
        <w:rPr>
          <w:sz w:val="20"/>
          <w:szCs w:val="20"/>
          <w:lang w:val="pt-BR"/>
        </w:rPr>
        <w:t xml:space="preserve"> melhor posicionado</w:t>
      </w:r>
      <w:r w:rsidRPr="001622F9">
        <w:rPr>
          <w:sz w:val="20"/>
          <w:szCs w:val="20"/>
          <w:lang w:val="pt-BR"/>
        </w:rPr>
        <w:t>. Essas chamadas são frequentemente referidas e c</w:t>
      </w:r>
      <w:r w:rsidR="001622F9" w:rsidRPr="001622F9">
        <w:rPr>
          <w:sz w:val="20"/>
          <w:szCs w:val="20"/>
          <w:lang w:val="pt-BR"/>
        </w:rPr>
        <w:t>odi</w:t>
      </w:r>
      <w:r w:rsidR="008D7168">
        <w:rPr>
          <w:sz w:val="20"/>
          <w:szCs w:val="20"/>
          <w:lang w:val="pt-BR"/>
        </w:rPr>
        <w:t>ficadas como</w:t>
      </w:r>
      <w:r w:rsidR="002D386B" w:rsidRPr="001622F9">
        <w:rPr>
          <w:sz w:val="20"/>
          <w:szCs w:val="20"/>
          <w:lang w:val="pt-BR"/>
        </w:rPr>
        <w:t xml:space="preserve"> “</w:t>
      </w:r>
      <w:r w:rsidR="002D386B">
        <w:rPr>
          <w:sz w:val="20"/>
          <w:szCs w:val="20"/>
          <w:lang w:val="pt-BR"/>
        </w:rPr>
        <w:t xml:space="preserve">auxílio para mobilização”. </w:t>
      </w:r>
      <w:r w:rsidRPr="001622F9">
        <w:rPr>
          <w:sz w:val="20"/>
          <w:szCs w:val="20"/>
          <w:lang w:val="pt-BR"/>
        </w:rPr>
        <w:t xml:space="preserve">É possível que a necessidade desse tipo de assistência possa representar um evento sentinela para </w:t>
      </w:r>
      <w:r w:rsidR="004D2717" w:rsidRPr="001622F9">
        <w:rPr>
          <w:sz w:val="20"/>
          <w:szCs w:val="20"/>
          <w:lang w:val="pt-BR"/>
        </w:rPr>
        <w:t>doenças ainda não diagnosticadas</w:t>
      </w:r>
      <w:r w:rsidRPr="001622F9">
        <w:rPr>
          <w:sz w:val="20"/>
          <w:szCs w:val="20"/>
          <w:lang w:val="pt-BR"/>
        </w:rPr>
        <w:t>, como infecção,</w:t>
      </w:r>
      <w:r w:rsidR="008D7168">
        <w:rPr>
          <w:sz w:val="20"/>
          <w:szCs w:val="20"/>
          <w:lang w:val="pt-BR"/>
        </w:rPr>
        <w:t xml:space="preserve"> ou</w:t>
      </w:r>
      <w:r w:rsidR="00AD3409">
        <w:rPr>
          <w:sz w:val="20"/>
          <w:szCs w:val="20"/>
          <w:lang w:val="pt-BR"/>
        </w:rPr>
        <w:t xml:space="preserve"> para</w:t>
      </w:r>
      <w:r w:rsidR="008D7168">
        <w:rPr>
          <w:sz w:val="20"/>
          <w:szCs w:val="20"/>
          <w:lang w:val="pt-BR"/>
        </w:rPr>
        <w:t xml:space="preserve"> declínio na mobilidade func</w:t>
      </w:r>
      <w:r w:rsidRPr="001622F9">
        <w:rPr>
          <w:sz w:val="20"/>
          <w:szCs w:val="20"/>
          <w:lang w:val="pt-BR"/>
        </w:rPr>
        <w:t>ional do indivíduo. O desafio para os profissionais do APH é determinar a natureza específica ou a causa da incapacidade do indivíduo de se mobilizar e da necessidade de transporte para avaliação adicional.</w:t>
      </w:r>
    </w:p>
    <w:p w14:paraId="2E082195" w14:textId="47E27749" w:rsidR="00FD7548" w:rsidRDefault="00971FE3">
      <w:pPr>
        <w:spacing w:after="0" w:line="240" w:lineRule="auto"/>
        <w:ind w:firstLine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Ness</w:t>
      </w:r>
      <w:r w:rsidR="001622F9" w:rsidRPr="001622F9">
        <w:rPr>
          <w:sz w:val="20"/>
          <w:szCs w:val="20"/>
          <w:lang w:val="pt-BR"/>
        </w:rPr>
        <w:t>e estudo, os autores analisaram todas as chamadas de “</w:t>
      </w:r>
      <w:r w:rsidR="00FD7548">
        <w:rPr>
          <w:sz w:val="20"/>
          <w:szCs w:val="20"/>
          <w:lang w:val="pt-BR"/>
        </w:rPr>
        <w:t>auxílio</w:t>
      </w:r>
      <w:r w:rsidR="001622F9" w:rsidRPr="001622F9">
        <w:rPr>
          <w:sz w:val="20"/>
          <w:szCs w:val="20"/>
          <w:lang w:val="pt-BR"/>
        </w:rPr>
        <w:t xml:space="preserve"> para mobilização” de um único serviço de APH durante o período de um ano, 804 de 42.055 (1,9%) atendimentos.</w:t>
      </w:r>
      <w:r w:rsidR="00FD7548">
        <w:rPr>
          <w:sz w:val="20"/>
          <w:szCs w:val="20"/>
          <w:lang w:val="pt-BR"/>
        </w:rPr>
        <w:t xml:space="preserve"> </w:t>
      </w:r>
      <w:r w:rsidR="00FD7548" w:rsidRPr="00FD7548">
        <w:rPr>
          <w:sz w:val="20"/>
          <w:szCs w:val="20"/>
          <w:lang w:val="pt-BR"/>
        </w:rPr>
        <w:t xml:space="preserve">Os relatórios </w:t>
      </w:r>
      <w:r w:rsidR="00FD7548">
        <w:rPr>
          <w:sz w:val="20"/>
          <w:szCs w:val="20"/>
          <w:lang w:val="pt-BR"/>
        </w:rPr>
        <w:t>do APH</w:t>
      </w:r>
      <w:r w:rsidR="00FD7548" w:rsidRPr="00FD7548">
        <w:rPr>
          <w:sz w:val="20"/>
          <w:szCs w:val="20"/>
          <w:lang w:val="pt-BR"/>
        </w:rPr>
        <w:t xml:space="preserve"> foram cruzados com os registros médicos do hospital local pa</w:t>
      </w:r>
      <w:r w:rsidR="00FD7548">
        <w:rPr>
          <w:sz w:val="20"/>
          <w:szCs w:val="20"/>
          <w:lang w:val="pt-BR"/>
        </w:rPr>
        <w:t xml:space="preserve">ra identificar os </w:t>
      </w:r>
      <w:r w:rsidR="00FD4B56">
        <w:rPr>
          <w:sz w:val="20"/>
          <w:szCs w:val="20"/>
          <w:lang w:val="pt-BR"/>
        </w:rPr>
        <w:t>doente</w:t>
      </w:r>
      <w:r w:rsidR="00FD7548">
        <w:rPr>
          <w:sz w:val="20"/>
          <w:szCs w:val="20"/>
          <w:lang w:val="pt-BR"/>
        </w:rPr>
        <w:t xml:space="preserve">s que foram atendidos no Pronto-Socorro, internados ou </w:t>
      </w:r>
      <w:r w:rsidR="002D386B">
        <w:rPr>
          <w:sz w:val="20"/>
          <w:szCs w:val="20"/>
          <w:lang w:val="pt-BR"/>
        </w:rPr>
        <w:t xml:space="preserve">que </w:t>
      </w:r>
      <w:r w:rsidR="00FD7548">
        <w:rPr>
          <w:sz w:val="20"/>
          <w:szCs w:val="20"/>
          <w:lang w:val="pt-BR"/>
        </w:rPr>
        <w:t>foram a óbito no hospital em até 14 dias após o atendimento de “auxílio para mobilização”.</w:t>
      </w:r>
    </w:p>
    <w:p w14:paraId="5AF85441" w14:textId="11B49394" w:rsidR="00FD7548" w:rsidRDefault="002D386B">
      <w:pPr>
        <w:spacing w:after="0" w:line="240" w:lineRule="auto"/>
        <w:ind w:firstLine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Muitos indivíduos tiveram múltiplas chamadas de</w:t>
      </w:r>
      <w:r w:rsidRPr="001622F9">
        <w:rPr>
          <w:sz w:val="20"/>
          <w:szCs w:val="20"/>
          <w:lang w:val="pt-BR"/>
        </w:rPr>
        <w:t xml:space="preserve"> “</w:t>
      </w:r>
      <w:r>
        <w:rPr>
          <w:sz w:val="20"/>
          <w:szCs w:val="20"/>
          <w:lang w:val="pt-BR"/>
        </w:rPr>
        <w:t>auxílio</w:t>
      </w:r>
      <w:r w:rsidRPr="001622F9">
        <w:rPr>
          <w:sz w:val="20"/>
          <w:szCs w:val="20"/>
          <w:lang w:val="pt-BR"/>
        </w:rPr>
        <w:t xml:space="preserve"> para mobilização”</w:t>
      </w:r>
      <w:r>
        <w:rPr>
          <w:sz w:val="20"/>
          <w:szCs w:val="20"/>
          <w:lang w:val="pt-BR"/>
        </w:rPr>
        <w:t>. A média de idade dos indivíduos que necessitaram de</w:t>
      </w:r>
      <w:r w:rsidRPr="001622F9">
        <w:rPr>
          <w:sz w:val="20"/>
          <w:szCs w:val="20"/>
          <w:lang w:val="pt-BR"/>
        </w:rPr>
        <w:t xml:space="preserve"> “</w:t>
      </w:r>
      <w:r>
        <w:rPr>
          <w:sz w:val="20"/>
          <w:szCs w:val="20"/>
          <w:lang w:val="pt-BR"/>
        </w:rPr>
        <w:t>auxílio</w:t>
      </w:r>
      <w:r w:rsidRPr="001622F9">
        <w:rPr>
          <w:sz w:val="20"/>
          <w:szCs w:val="20"/>
          <w:lang w:val="pt-BR"/>
        </w:rPr>
        <w:t xml:space="preserve"> para mobilização”</w:t>
      </w:r>
      <w:r>
        <w:rPr>
          <w:sz w:val="20"/>
          <w:szCs w:val="20"/>
          <w:lang w:val="pt-BR"/>
        </w:rPr>
        <w:t xml:space="preserve"> foi de 74,8 anos. Os autores observaram 169 visitas ao Pronto Socorro (21%), 93 internações hospitalares (11,6%) e 9 óbi</w:t>
      </w:r>
      <w:r w:rsidR="00971FE3">
        <w:rPr>
          <w:sz w:val="20"/>
          <w:szCs w:val="20"/>
          <w:lang w:val="pt-BR"/>
        </w:rPr>
        <w:t>tos (1,1%) em até 14 dias após a chamada</w:t>
      </w:r>
      <w:r>
        <w:rPr>
          <w:sz w:val="20"/>
          <w:szCs w:val="20"/>
          <w:lang w:val="pt-BR"/>
        </w:rPr>
        <w:t xml:space="preserve"> de </w:t>
      </w:r>
      <w:r w:rsidRPr="001622F9">
        <w:rPr>
          <w:sz w:val="20"/>
          <w:szCs w:val="20"/>
          <w:lang w:val="pt-BR"/>
        </w:rPr>
        <w:t xml:space="preserve"> “</w:t>
      </w:r>
      <w:r>
        <w:rPr>
          <w:sz w:val="20"/>
          <w:szCs w:val="20"/>
          <w:lang w:val="pt-BR"/>
        </w:rPr>
        <w:t>auxílio</w:t>
      </w:r>
      <w:r w:rsidRPr="001622F9">
        <w:rPr>
          <w:sz w:val="20"/>
          <w:szCs w:val="20"/>
          <w:lang w:val="pt-BR"/>
        </w:rPr>
        <w:t xml:space="preserve"> para mobilização”</w:t>
      </w:r>
      <w:r>
        <w:rPr>
          <w:sz w:val="20"/>
          <w:szCs w:val="20"/>
          <w:lang w:val="pt-BR"/>
        </w:rPr>
        <w:t>. Dos 93 doentes internados, 71 (76%) tiveram alta para instituições de cuidados de idosos</w:t>
      </w:r>
      <w:r w:rsidR="004552BB">
        <w:rPr>
          <w:sz w:val="20"/>
          <w:szCs w:val="20"/>
          <w:lang w:val="pt-BR"/>
        </w:rPr>
        <w:t xml:space="preserve"> ou similares em vez de voltarem ao seu domicílio original. </w:t>
      </w:r>
      <w:r w:rsidR="004552BB" w:rsidRPr="004552BB">
        <w:rPr>
          <w:sz w:val="20"/>
          <w:szCs w:val="20"/>
          <w:lang w:val="pt-BR"/>
        </w:rPr>
        <w:t>Além disso, os autores analisaram t</w:t>
      </w:r>
      <w:r w:rsidR="004552BB">
        <w:rPr>
          <w:sz w:val="20"/>
          <w:szCs w:val="20"/>
          <w:lang w:val="pt-BR"/>
        </w:rPr>
        <w:t xml:space="preserve">odas as mortes fora do hospital; nenhum </w:t>
      </w:r>
      <w:r w:rsidR="00FD4B56">
        <w:rPr>
          <w:sz w:val="20"/>
          <w:szCs w:val="20"/>
          <w:lang w:val="pt-BR"/>
        </w:rPr>
        <w:t>doente</w:t>
      </w:r>
      <w:r w:rsidR="004552BB">
        <w:rPr>
          <w:sz w:val="20"/>
          <w:szCs w:val="20"/>
          <w:lang w:val="pt-BR"/>
        </w:rPr>
        <w:t xml:space="preserve"> que necessitou de “auxílio  para mobilização” foi identificado neste subgrupo. </w:t>
      </w:r>
      <w:r w:rsidR="004552BB" w:rsidRPr="004552BB">
        <w:rPr>
          <w:sz w:val="20"/>
          <w:szCs w:val="20"/>
          <w:lang w:val="pt-BR"/>
        </w:rPr>
        <w:t xml:space="preserve">Os autores identificaram 113 prontuários </w:t>
      </w:r>
      <w:r w:rsidR="004552BB">
        <w:rPr>
          <w:sz w:val="20"/>
          <w:szCs w:val="20"/>
          <w:lang w:val="pt-BR"/>
        </w:rPr>
        <w:t>do APH</w:t>
      </w:r>
      <w:r w:rsidR="004552BB" w:rsidRPr="004552BB">
        <w:rPr>
          <w:sz w:val="20"/>
          <w:szCs w:val="20"/>
          <w:lang w:val="pt-BR"/>
        </w:rPr>
        <w:t xml:space="preserve"> (14%) </w:t>
      </w:r>
      <w:r w:rsidR="004552BB">
        <w:rPr>
          <w:sz w:val="20"/>
          <w:szCs w:val="20"/>
          <w:lang w:val="pt-BR"/>
        </w:rPr>
        <w:t>em que</w:t>
      </w:r>
      <w:r w:rsidR="004552BB" w:rsidRPr="004552BB">
        <w:rPr>
          <w:sz w:val="20"/>
          <w:szCs w:val="20"/>
          <w:lang w:val="pt-BR"/>
        </w:rPr>
        <w:t xml:space="preserve"> faltavam pelo menos um sinal vital, </w:t>
      </w:r>
      <w:r w:rsidR="004552BB">
        <w:rPr>
          <w:sz w:val="20"/>
          <w:szCs w:val="20"/>
          <w:lang w:val="pt-BR"/>
        </w:rPr>
        <w:t>desses</w:t>
      </w:r>
      <w:r w:rsidR="004552BB" w:rsidRPr="004552BB">
        <w:rPr>
          <w:sz w:val="20"/>
          <w:szCs w:val="20"/>
          <w:lang w:val="pt-BR"/>
        </w:rPr>
        <w:t xml:space="preserve"> 28 (24,8%) </w:t>
      </w:r>
      <w:r w:rsidR="004552BB">
        <w:rPr>
          <w:sz w:val="20"/>
          <w:szCs w:val="20"/>
          <w:lang w:val="pt-BR"/>
        </w:rPr>
        <w:t xml:space="preserve">apresentavam faltam de, pelo menos, mais um sinal vital. </w:t>
      </w:r>
      <w:r w:rsidR="004552BB" w:rsidRPr="004552BB">
        <w:rPr>
          <w:sz w:val="20"/>
          <w:szCs w:val="20"/>
          <w:lang w:val="pt-BR"/>
        </w:rPr>
        <w:t xml:space="preserve">Quarenta e quatro dos 160 prontuários </w:t>
      </w:r>
      <w:r w:rsidR="004552BB">
        <w:rPr>
          <w:sz w:val="20"/>
          <w:szCs w:val="20"/>
          <w:lang w:val="pt-BR"/>
        </w:rPr>
        <w:t>do APH</w:t>
      </w:r>
      <w:r w:rsidR="004552BB" w:rsidRPr="004552BB">
        <w:rPr>
          <w:sz w:val="20"/>
          <w:szCs w:val="20"/>
          <w:lang w:val="pt-BR"/>
        </w:rPr>
        <w:t xml:space="preserve"> </w:t>
      </w:r>
      <w:r w:rsidR="004552BB">
        <w:rPr>
          <w:sz w:val="20"/>
          <w:szCs w:val="20"/>
          <w:lang w:val="pt-BR"/>
        </w:rPr>
        <w:t xml:space="preserve">de doentes </w:t>
      </w:r>
      <w:r w:rsidR="004552BB" w:rsidRPr="004552BB">
        <w:rPr>
          <w:sz w:val="20"/>
          <w:szCs w:val="20"/>
          <w:lang w:val="pt-BR"/>
        </w:rPr>
        <w:t>diabéticos (27,5%) não tinham nível glicêmico registrado.</w:t>
      </w:r>
    </w:p>
    <w:p w14:paraId="5FB74A30" w14:textId="42C7555C" w:rsidR="004552BB" w:rsidRDefault="004552BB" w:rsidP="004552BB">
      <w:pPr>
        <w:spacing w:after="0" w:line="240" w:lineRule="auto"/>
        <w:ind w:firstLine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Chamadas de “auxílio para mobilização” </w:t>
      </w:r>
      <w:r w:rsidRPr="004552BB">
        <w:rPr>
          <w:sz w:val="20"/>
          <w:szCs w:val="20"/>
          <w:lang w:val="pt-BR"/>
        </w:rPr>
        <w:t>podem ser indicadores precoces de condições que exige</w:t>
      </w:r>
      <w:r w:rsidR="00971FE3">
        <w:rPr>
          <w:sz w:val="20"/>
          <w:szCs w:val="20"/>
          <w:lang w:val="pt-BR"/>
        </w:rPr>
        <w:t>m avaliação e tratamento médico abrangente</w:t>
      </w:r>
      <w:r w:rsidRPr="004552BB">
        <w:rPr>
          <w:sz w:val="20"/>
          <w:szCs w:val="20"/>
          <w:lang w:val="pt-BR"/>
        </w:rPr>
        <w:t>.</w:t>
      </w:r>
      <w:r w:rsidR="00971FE3">
        <w:rPr>
          <w:sz w:val="20"/>
          <w:szCs w:val="20"/>
          <w:lang w:val="pt-BR"/>
        </w:rPr>
        <w:t xml:space="preserve"> Ness</w:t>
      </w:r>
      <w:r>
        <w:rPr>
          <w:sz w:val="20"/>
          <w:szCs w:val="20"/>
          <w:lang w:val="pt-BR"/>
        </w:rPr>
        <w:t xml:space="preserve">e estudo, </w:t>
      </w:r>
      <w:r w:rsidRPr="004552BB">
        <w:rPr>
          <w:sz w:val="20"/>
          <w:szCs w:val="20"/>
          <w:lang w:val="pt-BR"/>
        </w:rPr>
        <w:t xml:space="preserve">idade avançada (população idosa) foi um indicador </w:t>
      </w:r>
      <w:r w:rsidR="003874C1">
        <w:rPr>
          <w:sz w:val="20"/>
          <w:szCs w:val="20"/>
          <w:lang w:val="pt-BR"/>
        </w:rPr>
        <w:t>tanto de vis</w:t>
      </w:r>
      <w:r>
        <w:rPr>
          <w:sz w:val="20"/>
          <w:szCs w:val="20"/>
          <w:lang w:val="pt-BR"/>
        </w:rPr>
        <w:t xml:space="preserve">ita ao Pronto Socorro quanto de internação hospitalar dentro </w:t>
      </w:r>
      <w:r w:rsidRPr="004552BB">
        <w:rPr>
          <w:sz w:val="20"/>
          <w:szCs w:val="20"/>
          <w:lang w:val="pt-BR"/>
        </w:rPr>
        <w:t xml:space="preserve">de quatorze dias após </w:t>
      </w:r>
      <w:r w:rsidR="002A38A6">
        <w:rPr>
          <w:sz w:val="20"/>
          <w:szCs w:val="20"/>
          <w:lang w:val="pt-BR"/>
        </w:rPr>
        <w:t>uma chamada</w:t>
      </w:r>
      <w:r>
        <w:rPr>
          <w:sz w:val="20"/>
          <w:szCs w:val="20"/>
          <w:lang w:val="pt-BR"/>
        </w:rPr>
        <w:t xml:space="preserve"> de “auxílio para mobilização”</w:t>
      </w:r>
      <w:r w:rsidR="002A38A6">
        <w:rPr>
          <w:sz w:val="20"/>
          <w:szCs w:val="20"/>
          <w:lang w:val="pt-BR"/>
        </w:rPr>
        <w:t>.</w:t>
      </w:r>
      <w:r w:rsidR="003874C1">
        <w:rPr>
          <w:sz w:val="20"/>
          <w:szCs w:val="20"/>
          <w:lang w:val="pt-BR"/>
        </w:rPr>
        <w:t xml:space="preserve"> </w:t>
      </w:r>
      <w:r w:rsidR="003874C1" w:rsidRPr="003874C1">
        <w:rPr>
          <w:sz w:val="20"/>
          <w:szCs w:val="20"/>
          <w:lang w:val="pt-BR"/>
        </w:rPr>
        <w:t xml:space="preserve">A população </w:t>
      </w:r>
      <w:r w:rsidR="003874C1">
        <w:rPr>
          <w:sz w:val="20"/>
          <w:szCs w:val="20"/>
          <w:lang w:val="pt-BR"/>
        </w:rPr>
        <w:t>que necessita de “auxílio para mobilização</w:t>
      </w:r>
      <w:r w:rsidR="003874C1" w:rsidRPr="003874C1">
        <w:rPr>
          <w:sz w:val="20"/>
          <w:szCs w:val="20"/>
          <w:lang w:val="pt-BR"/>
        </w:rPr>
        <w:t xml:space="preserve">” deve ser avaliada com o mesmo nível de cuidado que aqueles </w:t>
      </w:r>
      <w:r w:rsidR="003874C1">
        <w:rPr>
          <w:sz w:val="20"/>
          <w:szCs w:val="20"/>
          <w:lang w:val="pt-BR"/>
        </w:rPr>
        <w:t xml:space="preserve">doentes que apresentam </w:t>
      </w:r>
      <w:r w:rsidR="003874C1" w:rsidRPr="003874C1">
        <w:rPr>
          <w:sz w:val="20"/>
          <w:szCs w:val="20"/>
          <w:lang w:val="pt-BR"/>
        </w:rPr>
        <w:t>queixas médicas específica</w:t>
      </w:r>
      <w:r w:rsidR="00971FE3">
        <w:rPr>
          <w:sz w:val="20"/>
          <w:szCs w:val="20"/>
          <w:lang w:val="pt-BR"/>
        </w:rPr>
        <w:t xml:space="preserve">s, já que a necessidade de </w:t>
      </w:r>
      <w:r w:rsidR="003874C1" w:rsidRPr="003874C1">
        <w:rPr>
          <w:sz w:val="20"/>
          <w:szCs w:val="20"/>
          <w:lang w:val="pt-BR"/>
        </w:rPr>
        <w:t>“</w:t>
      </w:r>
      <w:r w:rsidR="003874C1">
        <w:rPr>
          <w:sz w:val="20"/>
          <w:szCs w:val="20"/>
          <w:lang w:val="pt-BR"/>
        </w:rPr>
        <w:t>auxílio para mobilização</w:t>
      </w:r>
      <w:r w:rsidR="003874C1" w:rsidRPr="003874C1">
        <w:rPr>
          <w:sz w:val="20"/>
          <w:szCs w:val="20"/>
          <w:lang w:val="pt-BR"/>
        </w:rPr>
        <w:t xml:space="preserve">” pode representar </w:t>
      </w:r>
      <w:r w:rsidR="003874C1">
        <w:rPr>
          <w:sz w:val="20"/>
          <w:szCs w:val="20"/>
          <w:lang w:val="pt-BR"/>
        </w:rPr>
        <w:t>uma doença ainda não diagnosticada ou risco aumentado para lesão futura.</w:t>
      </w:r>
      <w:r w:rsidR="00303B92">
        <w:rPr>
          <w:sz w:val="20"/>
          <w:szCs w:val="20"/>
          <w:lang w:val="pt-BR"/>
        </w:rPr>
        <w:t xml:space="preserve"> </w:t>
      </w:r>
      <w:r w:rsidR="00303B92" w:rsidRPr="00303B92">
        <w:rPr>
          <w:sz w:val="20"/>
          <w:szCs w:val="20"/>
          <w:lang w:val="pt-BR"/>
        </w:rPr>
        <w:t xml:space="preserve">Os </w:t>
      </w:r>
      <w:r w:rsidR="00303B92">
        <w:rPr>
          <w:sz w:val="20"/>
          <w:szCs w:val="20"/>
          <w:lang w:val="pt-BR"/>
        </w:rPr>
        <w:t>profissionais do APH</w:t>
      </w:r>
      <w:r w:rsidR="00303B92" w:rsidRPr="00303B92">
        <w:rPr>
          <w:sz w:val="20"/>
          <w:szCs w:val="20"/>
          <w:lang w:val="pt-BR"/>
        </w:rPr>
        <w:t xml:space="preserve"> devem realizar uma anamnese e um exame físico completos, procurando </w:t>
      </w:r>
      <w:r w:rsidR="00303B92">
        <w:rPr>
          <w:sz w:val="20"/>
          <w:szCs w:val="20"/>
          <w:lang w:val="pt-BR"/>
        </w:rPr>
        <w:t>por uma doença</w:t>
      </w:r>
      <w:r w:rsidR="00303B92" w:rsidRPr="00303B92">
        <w:rPr>
          <w:sz w:val="20"/>
          <w:szCs w:val="20"/>
          <w:lang w:val="pt-BR"/>
        </w:rPr>
        <w:t xml:space="preserve"> subjacente e documentar um conjunto completo de sinais vitais, incluindo </w:t>
      </w:r>
      <w:r w:rsidR="00303B92">
        <w:rPr>
          <w:sz w:val="20"/>
          <w:szCs w:val="20"/>
          <w:lang w:val="pt-BR"/>
        </w:rPr>
        <w:t>glicemia</w:t>
      </w:r>
      <w:r w:rsidR="00303B92" w:rsidRPr="00303B92">
        <w:rPr>
          <w:sz w:val="20"/>
          <w:szCs w:val="20"/>
          <w:lang w:val="pt-BR"/>
        </w:rPr>
        <w:t xml:space="preserve"> e temperatura, quando apropriado, para todas </w:t>
      </w:r>
      <w:r w:rsidR="00303B92">
        <w:rPr>
          <w:sz w:val="20"/>
          <w:szCs w:val="20"/>
          <w:lang w:val="pt-BR"/>
        </w:rPr>
        <w:t>as chamadas de “auxílio para mobilização”.</w:t>
      </w:r>
    </w:p>
    <w:p w14:paraId="02CFD171" w14:textId="77777777" w:rsidR="009B3AB7" w:rsidRDefault="009B3AB7">
      <w:pPr>
        <w:spacing w:after="0" w:line="240" w:lineRule="auto"/>
        <w:rPr>
          <w:sz w:val="20"/>
          <w:szCs w:val="20"/>
          <w:lang w:val="pt-BR"/>
        </w:rPr>
      </w:pPr>
    </w:p>
    <w:p w14:paraId="59A9524C" w14:textId="77777777" w:rsidR="00602BA3" w:rsidRPr="001622F9" w:rsidRDefault="00602BA3">
      <w:pPr>
        <w:spacing w:after="0" w:line="240" w:lineRule="auto"/>
        <w:rPr>
          <w:sz w:val="20"/>
          <w:szCs w:val="20"/>
          <w:lang w:val="pt-BR"/>
        </w:rPr>
      </w:pPr>
    </w:p>
    <w:p w14:paraId="79A27EE4" w14:textId="4885952C" w:rsidR="009B3AB7" w:rsidRPr="001622F9" w:rsidRDefault="00525889">
      <w:pPr>
        <w:pStyle w:val="ListParagraph"/>
        <w:numPr>
          <w:ilvl w:val="0"/>
          <w:numId w:val="4"/>
        </w:numPr>
        <w:rPr>
          <w:sz w:val="20"/>
          <w:szCs w:val="20"/>
          <w:lang w:val="pt-BR"/>
        </w:rPr>
      </w:pPr>
      <w:r w:rsidRPr="00525889">
        <w:rPr>
          <w:rStyle w:val="None"/>
          <w:b/>
          <w:bCs/>
          <w:sz w:val="20"/>
          <w:szCs w:val="20"/>
          <w:lang w:val="pt-BR"/>
        </w:rPr>
        <w:t>Paramédic</w:t>
      </w:r>
      <w:r>
        <w:rPr>
          <w:rStyle w:val="None"/>
          <w:b/>
          <w:bCs/>
          <w:sz w:val="20"/>
          <w:szCs w:val="20"/>
          <w:lang w:val="pt-BR"/>
        </w:rPr>
        <w:t xml:space="preserve">os como um novo recurso para </w:t>
      </w:r>
      <w:r w:rsidRPr="00525889">
        <w:rPr>
          <w:rStyle w:val="None"/>
          <w:b/>
          <w:bCs/>
          <w:sz w:val="20"/>
          <w:szCs w:val="20"/>
          <w:lang w:val="pt-BR"/>
        </w:rPr>
        <w:t>mulheres que vivenciam violência por parceiro íntimo</w:t>
      </w:r>
      <w:r w:rsidR="003A56EC" w:rsidRPr="001622F9">
        <w:rPr>
          <w:rStyle w:val="None"/>
          <w:b/>
          <w:bCs/>
          <w:sz w:val="20"/>
          <w:szCs w:val="20"/>
          <w:lang w:val="pt-BR"/>
        </w:rPr>
        <w:t>.</w:t>
      </w:r>
      <w:r w:rsidR="003A56EC" w:rsidRPr="001622F9">
        <w:rPr>
          <w:sz w:val="20"/>
          <w:szCs w:val="20"/>
          <w:lang w:val="pt-BR"/>
        </w:rPr>
        <w:t xml:space="preserve">  Sawyer S, Coles J, Williams A, Williams B.  J Interpersonal Violence 2018</w:t>
      </w:r>
    </w:p>
    <w:p w14:paraId="62C405FA" w14:textId="723DEEC7" w:rsidR="00830CBD" w:rsidRDefault="00ED399D" w:rsidP="00F30A0B">
      <w:pPr>
        <w:spacing w:after="0" w:line="240" w:lineRule="auto"/>
        <w:ind w:firstLine="360"/>
        <w:rPr>
          <w:sz w:val="20"/>
          <w:szCs w:val="20"/>
          <w:lang w:val="pt-BR"/>
        </w:rPr>
      </w:pPr>
      <w:r w:rsidRPr="00ED399D">
        <w:rPr>
          <w:sz w:val="20"/>
          <w:szCs w:val="20"/>
          <w:lang w:val="pt-BR"/>
        </w:rPr>
        <w:t>Violên</w:t>
      </w:r>
      <w:r>
        <w:rPr>
          <w:sz w:val="20"/>
          <w:szCs w:val="20"/>
          <w:lang w:val="pt-BR"/>
        </w:rPr>
        <w:t>cia entre parceiros íntimos (VPI</w:t>
      </w:r>
      <w:r w:rsidRPr="00ED399D">
        <w:rPr>
          <w:sz w:val="20"/>
          <w:szCs w:val="20"/>
          <w:lang w:val="pt-BR"/>
        </w:rPr>
        <w:t>) tem um imenso impacto sobre as mulheres em todo o mundo.</w:t>
      </w:r>
      <w:r>
        <w:rPr>
          <w:sz w:val="20"/>
          <w:szCs w:val="20"/>
          <w:lang w:val="pt-BR"/>
        </w:rPr>
        <w:t xml:space="preserve"> </w:t>
      </w:r>
      <w:r w:rsidR="00830CBD" w:rsidRPr="00830CBD">
        <w:rPr>
          <w:sz w:val="20"/>
          <w:szCs w:val="20"/>
          <w:lang w:val="pt-BR"/>
        </w:rPr>
        <w:t xml:space="preserve">Os paramédicos frequentemente observam sinais de </w:t>
      </w:r>
      <w:r w:rsidR="00830CBD">
        <w:rPr>
          <w:sz w:val="20"/>
          <w:szCs w:val="20"/>
          <w:lang w:val="pt-BR"/>
        </w:rPr>
        <w:t>VPI</w:t>
      </w:r>
      <w:r w:rsidR="00830CBD" w:rsidRPr="00830CBD">
        <w:rPr>
          <w:sz w:val="20"/>
          <w:szCs w:val="20"/>
          <w:lang w:val="pt-BR"/>
        </w:rPr>
        <w:t xml:space="preserve"> </w:t>
      </w:r>
      <w:r w:rsidR="00830CBD">
        <w:rPr>
          <w:sz w:val="20"/>
          <w:szCs w:val="20"/>
          <w:lang w:val="pt-BR"/>
        </w:rPr>
        <w:t>ainda na residência dos doentes</w:t>
      </w:r>
      <w:r w:rsidR="00830CBD" w:rsidRPr="00830CBD">
        <w:rPr>
          <w:sz w:val="20"/>
          <w:szCs w:val="20"/>
          <w:lang w:val="pt-BR"/>
        </w:rPr>
        <w:t xml:space="preserve">, </w:t>
      </w:r>
      <w:r w:rsidR="00830CBD">
        <w:rPr>
          <w:sz w:val="20"/>
          <w:szCs w:val="20"/>
          <w:lang w:val="pt-BR"/>
        </w:rPr>
        <w:t>proporcionando um primeiro vislumbre para o</w:t>
      </w:r>
      <w:r w:rsidR="00830CBD" w:rsidRPr="00830CBD">
        <w:rPr>
          <w:sz w:val="20"/>
          <w:szCs w:val="20"/>
          <w:lang w:val="pt-BR"/>
        </w:rPr>
        <w:t xml:space="preserve"> reconhecimento precoce da VPI.</w:t>
      </w:r>
      <w:r w:rsidR="00D2281D">
        <w:rPr>
          <w:sz w:val="20"/>
          <w:szCs w:val="20"/>
          <w:lang w:val="pt-BR"/>
        </w:rPr>
        <w:t xml:space="preserve"> Além disso, as </w:t>
      </w:r>
      <w:r w:rsidR="00830CBD">
        <w:rPr>
          <w:sz w:val="20"/>
          <w:szCs w:val="20"/>
          <w:lang w:val="pt-BR"/>
        </w:rPr>
        <w:t>vítimas de VPI frequentemente</w:t>
      </w:r>
      <w:r w:rsidR="00830CBD" w:rsidRPr="00830CBD">
        <w:rPr>
          <w:sz w:val="20"/>
          <w:szCs w:val="20"/>
          <w:lang w:val="pt-BR"/>
        </w:rPr>
        <w:t xml:space="preserve"> optam por não serem transportadas para </w:t>
      </w:r>
      <w:r w:rsidR="00D2281D">
        <w:rPr>
          <w:sz w:val="20"/>
          <w:szCs w:val="20"/>
          <w:lang w:val="pt-BR"/>
        </w:rPr>
        <w:t>o Departamento</w:t>
      </w:r>
      <w:r w:rsidR="00830CBD">
        <w:rPr>
          <w:sz w:val="20"/>
          <w:szCs w:val="20"/>
          <w:lang w:val="pt-BR"/>
        </w:rPr>
        <w:t xml:space="preserve"> de Emergência</w:t>
      </w:r>
      <w:r w:rsidR="00830CBD" w:rsidRPr="00830CBD">
        <w:rPr>
          <w:sz w:val="20"/>
          <w:szCs w:val="20"/>
          <w:lang w:val="pt-BR"/>
        </w:rPr>
        <w:t>.</w:t>
      </w:r>
      <w:r w:rsidR="00830CBD">
        <w:rPr>
          <w:sz w:val="20"/>
          <w:szCs w:val="20"/>
          <w:lang w:val="pt-BR"/>
        </w:rPr>
        <w:t xml:space="preserve"> Dessa maneira</w:t>
      </w:r>
      <w:r w:rsidR="00830CBD" w:rsidRPr="00830CBD">
        <w:rPr>
          <w:sz w:val="20"/>
          <w:szCs w:val="20"/>
          <w:lang w:val="pt-BR"/>
        </w:rPr>
        <w:t>, o ciclo de violência continua para essas vítimas.</w:t>
      </w:r>
      <w:r w:rsidR="00830CBD">
        <w:rPr>
          <w:sz w:val="20"/>
          <w:szCs w:val="20"/>
          <w:lang w:val="pt-BR"/>
        </w:rPr>
        <w:t xml:space="preserve"> </w:t>
      </w:r>
      <w:r w:rsidR="00830CBD" w:rsidRPr="00830CBD">
        <w:rPr>
          <w:sz w:val="20"/>
          <w:szCs w:val="20"/>
          <w:lang w:val="pt-BR"/>
        </w:rPr>
        <w:t xml:space="preserve">Tem havido uma falta geral de educação </w:t>
      </w:r>
      <w:r w:rsidR="00F30A0B">
        <w:rPr>
          <w:sz w:val="20"/>
          <w:szCs w:val="20"/>
          <w:lang w:val="pt-BR"/>
        </w:rPr>
        <w:t xml:space="preserve">em saúde relacionada a VPI, apesar dos estudos que demonstram ligação entre educação em saúde relacionada a VPI e seu reconhecimento precoce resultando, esperançosamente, </w:t>
      </w:r>
      <w:r w:rsidR="00830CBD" w:rsidRPr="00830CBD">
        <w:rPr>
          <w:sz w:val="20"/>
          <w:szCs w:val="20"/>
          <w:lang w:val="pt-BR"/>
        </w:rPr>
        <w:t xml:space="preserve">no aumento do encaminhamento de vítimas e diminuição das taxas de </w:t>
      </w:r>
      <w:r w:rsidR="00F30A0B">
        <w:rPr>
          <w:sz w:val="20"/>
          <w:szCs w:val="20"/>
          <w:lang w:val="pt-BR"/>
        </w:rPr>
        <w:t>VPI</w:t>
      </w:r>
      <w:r w:rsidR="00830CBD" w:rsidRPr="00830CBD">
        <w:rPr>
          <w:sz w:val="20"/>
          <w:szCs w:val="20"/>
          <w:lang w:val="pt-BR"/>
        </w:rPr>
        <w:t xml:space="preserve"> em todo o mundo.</w:t>
      </w:r>
      <w:r w:rsidR="00D2281D">
        <w:rPr>
          <w:sz w:val="20"/>
          <w:szCs w:val="20"/>
          <w:lang w:val="pt-BR"/>
        </w:rPr>
        <w:t xml:space="preserve"> </w:t>
      </w:r>
      <w:r w:rsidR="00D2281D" w:rsidRPr="00D2281D">
        <w:rPr>
          <w:sz w:val="20"/>
          <w:szCs w:val="20"/>
          <w:lang w:val="pt-BR"/>
        </w:rPr>
        <w:t xml:space="preserve">Este estudo é a primeira </w:t>
      </w:r>
      <w:r w:rsidR="00D2281D" w:rsidRPr="00D2281D">
        <w:rPr>
          <w:sz w:val="20"/>
          <w:szCs w:val="20"/>
          <w:lang w:val="pt-BR"/>
        </w:rPr>
        <w:lastRenderedPageBreak/>
        <w:t xml:space="preserve">diretriz baseada em evidências </w:t>
      </w:r>
      <w:r w:rsidR="00D2281D">
        <w:rPr>
          <w:sz w:val="20"/>
          <w:szCs w:val="20"/>
          <w:lang w:val="pt-BR"/>
        </w:rPr>
        <w:t>desenvolvida</w:t>
      </w:r>
      <w:r w:rsidR="00E46892">
        <w:rPr>
          <w:sz w:val="20"/>
          <w:szCs w:val="20"/>
          <w:lang w:val="pt-BR"/>
        </w:rPr>
        <w:t xml:space="preserve"> para </w:t>
      </w:r>
      <w:r w:rsidR="00D2281D" w:rsidRPr="00D2281D">
        <w:rPr>
          <w:sz w:val="20"/>
          <w:szCs w:val="20"/>
          <w:lang w:val="pt-BR"/>
        </w:rPr>
        <w:t xml:space="preserve">paramédicos no reconhecimento e encaminhamento de pacientes </w:t>
      </w:r>
      <w:r w:rsidR="00D2281D">
        <w:rPr>
          <w:sz w:val="20"/>
          <w:szCs w:val="20"/>
          <w:lang w:val="pt-BR"/>
        </w:rPr>
        <w:t xml:space="preserve">vítimas de </w:t>
      </w:r>
      <w:r w:rsidR="00D2281D" w:rsidRPr="00D2281D">
        <w:rPr>
          <w:sz w:val="20"/>
          <w:szCs w:val="20"/>
          <w:lang w:val="pt-BR"/>
        </w:rPr>
        <w:t>VPI.</w:t>
      </w:r>
    </w:p>
    <w:p w14:paraId="72E84672" w14:textId="5561EAA8" w:rsidR="00F30A0B" w:rsidRDefault="00E46892" w:rsidP="00F30A0B">
      <w:pPr>
        <w:spacing w:after="0" w:line="240" w:lineRule="auto"/>
        <w:ind w:firstLine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Ess</w:t>
      </w:r>
      <w:r w:rsidR="00A81DEB" w:rsidRPr="00A81DEB">
        <w:rPr>
          <w:sz w:val="20"/>
          <w:szCs w:val="20"/>
          <w:lang w:val="pt-BR"/>
        </w:rPr>
        <w:t xml:space="preserve">e estudo descreve o desenvolvimento de uma diretriz abrangente e baseada em consenso focada no manejo paramédico de </w:t>
      </w:r>
      <w:r w:rsidR="00FD4B56">
        <w:rPr>
          <w:sz w:val="20"/>
          <w:szCs w:val="20"/>
          <w:lang w:val="pt-BR"/>
        </w:rPr>
        <w:t>doente</w:t>
      </w:r>
      <w:r w:rsidR="00A81DEB" w:rsidRPr="00A81DEB">
        <w:rPr>
          <w:sz w:val="20"/>
          <w:szCs w:val="20"/>
          <w:lang w:val="pt-BR"/>
        </w:rPr>
        <w:t>s com VPI.</w:t>
      </w:r>
      <w:r w:rsidR="00A81DEB">
        <w:rPr>
          <w:sz w:val="20"/>
          <w:szCs w:val="20"/>
          <w:lang w:val="pt-BR"/>
        </w:rPr>
        <w:t xml:space="preserve"> </w:t>
      </w:r>
      <w:r w:rsidR="00A81DEB" w:rsidRPr="00A81DEB">
        <w:rPr>
          <w:sz w:val="20"/>
          <w:szCs w:val="20"/>
          <w:lang w:val="pt-BR"/>
        </w:rPr>
        <w:t>Os autores utilizaram como base as recomendações clínicas da Organização Mundial da Saúde (OMS) para profissionais de saúde na ge</w:t>
      </w:r>
      <w:r w:rsidR="00A81DEB">
        <w:rPr>
          <w:sz w:val="20"/>
          <w:szCs w:val="20"/>
          <w:lang w:val="pt-BR"/>
        </w:rPr>
        <w:t xml:space="preserve">stão de </w:t>
      </w:r>
      <w:r w:rsidR="00FD4B56">
        <w:rPr>
          <w:sz w:val="20"/>
          <w:szCs w:val="20"/>
          <w:lang w:val="pt-BR"/>
        </w:rPr>
        <w:t>doente</w:t>
      </w:r>
      <w:r w:rsidR="00A81DEB">
        <w:rPr>
          <w:sz w:val="20"/>
          <w:szCs w:val="20"/>
          <w:lang w:val="pt-BR"/>
        </w:rPr>
        <w:t>s com VPI</w:t>
      </w:r>
      <w:r w:rsidR="00A81DEB" w:rsidRPr="00A81DEB">
        <w:rPr>
          <w:sz w:val="20"/>
          <w:szCs w:val="20"/>
          <w:lang w:val="pt-BR"/>
        </w:rPr>
        <w:t xml:space="preserve">; </w:t>
      </w:r>
      <w:r w:rsidR="00A81DEB">
        <w:rPr>
          <w:sz w:val="20"/>
          <w:szCs w:val="20"/>
          <w:lang w:val="pt-BR"/>
        </w:rPr>
        <w:t xml:space="preserve">e </w:t>
      </w:r>
      <w:r w:rsidR="00A81DEB" w:rsidRPr="00A81DEB">
        <w:rPr>
          <w:sz w:val="20"/>
          <w:szCs w:val="20"/>
          <w:lang w:val="pt-BR"/>
        </w:rPr>
        <w:t>remover</w:t>
      </w:r>
      <w:r w:rsidR="00A81DEB">
        <w:rPr>
          <w:sz w:val="20"/>
          <w:szCs w:val="20"/>
          <w:lang w:val="pt-BR"/>
        </w:rPr>
        <w:t>am as</w:t>
      </w:r>
      <w:r w:rsidR="00A81DEB" w:rsidRPr="00A81DEB">
        <w:rPr>
          <w:sz w:val="20"/>
          <w:szCs w:val="20"/>
          <w:lang w:val="pt-BR"/>
        </w:rPr>
        <w:t xml:space="preserve"> recomendações não apropriadas para </w:t>
      </w:r>
      <w:r w:rsidR="00A81DEB">
        <w:rPr>
          <w:sz w:val="20"/>
          <w:szCs w:val="20"/>
          <w:lang w:val="pt-BR"/>
        </w:rPr>
        <w:t xml:space="preserve">paramédicos. </w:t>
      </w:r>
      <w:r w:rsidR="00A81DEB" w:rsidRPr="00A81DEB">
        <w:rPr>
          <w:sz w:val="20"/>
          <w:szCs w:val="20"/>
          <w:lang w:val="pt-BR"/>
        </w:rPr>
        <w:t xml:space="preserve">Os autores utilizaram o </w:t>
      </w:r>
      <w:r w:rsidR="00A81DEB">
        <w:rPr>
          <w:sz w:val="20"/>
          <w:szCs w:val="20"/>
          <w:lang w:val="pt-BR"/>
        </w:rPr>
        <w:t>Método Delphi</w:t>
      </w:r>
      <w:r w:rsidR="00A81DEB" w:rsidRPr="00A81DEB">
        <w:rPr>
          <w:sz w:val="20"/>
          <w:szCs w:val="20"/>
          <w:lang w:val="pt-BR"/>
        </w:rPr>
        <w:t xml:space="preserve"> para obter consenso de um painel de especialistas na Austrália.</w:t>
      </w:r>
      <w:r w:rsidR="00A81DEB">
        <w:rPr>
          <w:sz w:val="20"/>
          <w:szCs w:val="20"/>
          <w:lang w:val="pt-BR"/>
        </w:rPr>
        <w:t xml:space="preserve"> </w:t>
      </w:r>
      <w:r w:rsidR="00A81DEB" w:rsidRPr="00A81DEB">
        <w:rPr>
          <w:sz w:val="20"/>
          <w:szCs w:val="20"/>
          <w:lang w:val="pt-BR"/>
        </w:rPr>
        <w:t xml:space="preserve">Um total de 42 participantes </w:t>
      </w:r>
      <w:r w:rsidR="00666CD5">
        <w:rPr>
          <w:sz w:val="20"/>
          <w:szCs w:val="20"/>
          <w:lang w:val="pt-BR"/>
        </w:rPr>
        <w:t>trabalhou no</w:t>
      </w:r>
      <w:r w:rsidR="00A81DEB" w:rsidRPr="00A81DEB">
        <w:rPr>
          <w:sz w:val="20"/>
          <w:szCs w:val="20"/>
          <w:lang w:val="pt-BR"/>
        </w:rPr>
        <w:t xml:space="preserve"> consenso sobre o esboço da diretriz.</w:t>
      </w:r>
      <w:r w:rsidR="00A81DEB">
        <w:rPr>
          <w:sz w:val="20"/>
          <w:szCs w:val="20"/>
          <w:lang w:val="pt-BR"/>
        </w:rPr>
        <w:t xml:space="preserve"> </w:t>
      </w:r>
      <w:r w:rsidR="00A81DEB" w:rsidRPr="00A81DEB">
        <w:rPr>
          <w:sz w:val="20"/>
          <w:szCs w:val="20"/>
          <w:lang w:val="pt-BR"/>
        </w:rPr>
        <w:t xml:space="preserve">Profissionais de saúde, incluindo paramédicos, </w:t>
      </w:r>
      <w:r w:rsidR="00A81DEB">
        <w:rPr>
          <w:sz w:val="20"/>
          <w:szCs w:val="20"/>
          <w:lang w:val="pt-BR"/>
        </w:rPr>
        <w:t>pesquisadores experientes</w:t>
      </w:r>
      <w:r w:rsidR="00A81DEB" w:rsidRPr="00A81DEB">
        <w:rPr>
          <w:sz w:val="20"/>
          <w:szCs w:val="20"/>
          <w:lang w:val="pt-BR"/>
        </w:rPr>
        <w:t xml:space="preserve">, especialistas </w:t>
      </w:r>
      <w:r w:rsidR="00A81DEB">
        <w:rPr>
          <w:sz w:val="20"/>
          <w:szCs w:val="20"/>
          <w:lang w:val="pt-BR"/>
        </w:rPr>
        <w:t>clínicos</w:t>
      </w:r>
      <w:r w:rsidR="00A81DEB" w:rsidRPr="00A81DEB">
        <w:rPr>
          <w:sz w:val="20"/>
          <w:szCs w:val="20"/>
          <w:lang w:val="pt-BR"/>
        </w:rPr>
        <w:t xml:space="preserve"> e </w:t>
      </w:r>
      <w:r w:rsidR="00A81DEB">
        <w:rPr>
          <w:sz w:val="20"/>
          <w:szCs w:val="20"/>
          <w:lang w:val="pt-BR"/>
        </w:rPr>
        <w:t>membros de grupos especialistas no tema</w:t>
      </w:r>
      <w:r w:rsidR="00A81DEB" w:rsidRPr="00A81DEB">
        <w:rPr>
          <w:sz w:val="20"/>
          <w:szCs w:val="20"/>
          <w:lang w:val="pt-BR"/>
        </w:rPr>
        <w:t>, for</w:t>
      </w:r>
      <w:r w:rsidR="00A81DEB">
        <w:rPr>
          <w:sz w:val="20"/>
          <w:szCs w:val="20"/>
          <w:lang w:val="pt-BR"/>
        </w:rPr>
        <w:t>neceram consenso em três etapas</w:t>
      </w:r>
      <w:r w:rsidR="00A81DEB" w:rsidRPr="00A81DEB">
        <w:rPr>
          <w:sz w:val="20"/>
          <w:szCs w:val="20"/>
          <w:lang w:val="pt-BR"/>
        </w:rPr>
        <w:t>.</w:t>
      </w:r>
      <w:r w:rsidR="00A81DEB">
        <w:rPr>
          <w:sz w:val="20"/>
          <w:szCs w:val="20"/>
          <w:lang w:val="pt-BR"/>
        </w:rPr>
        <w:t xml:space="preserve"> M</w:t>
      </w:r>
      <w:r w:rsidR="00A81DEB" w:rsidRPr="00A81DEB">
        <w:rPr>
          <w:sz w:val="20"/>
          <w:szCs w:val="20"/>
          <w:lang w:val="pt-BR"/>
        </w:rPr>
        <w:t xml:space="preserve">odificações ocorreram em todos os aspectos do protocolo </w:t>
      </w:r>
      <w:r w:rsidR="00A81DEB">
        <w:rPr>
          <w:sz w:val="20"/>
          <w:szCs w:val="20"/>
          <w:lang w:val="pt-BR"/>
        </w:rPr>
        <w:t>a cada etapa</w:t>
      </w:r>
      <w:r w:rsidR="00A81DEB" w:rsidRPr="00A81DEB">
        <w:rPr>
          <w:sz w:val="20"/>
          <w:szCs w:val="20"/>
          <w:lang w:val="pt-BR"/>
        </w:rPr>
        <w:t xml:space="preserve">, </w:t>
      </w:r>
      <w:r w:rsidR="00A81DEB">
        <w:rPr>
          <w:sz w:val="20"/>
          <w:szCs w:val="20"/>
          <w:lang w:val="pt-BR"/>
        </w:rPr>
        <w:t xml:space="preserve">levando a um </w:t>
      </w:r>
      <w:r w:rsidR="00666CD5">
        <w:rPr>
          <w:sz w:val="20"/>
          <w:szCs w:val="20"/>
          <w:lang w:val="pt-BR"/>
        </w:rPr>
        <w:t>longo tempo para se obter o conse</w:t>
      </w:r>
      <w:r w:rsidR="00A81DEB">
        <w:rPr>
          <w:sz w:val="20"/>
          <w:szCs w:val="20"/>
          <w:lang w:val="pt-BR"/>
        </w:rPr>
        <w:t>n</w:t>
      </w:r>
      <w:r w:rsidR="00666CD5">
        <w:rPr>
          <w:sz w:val="20"/>
          <w:szCs w:val="20"/>
          <w:lang w:val="pt-BR"/>
        </w:rPr>
        <w:t>s</w:t>
      </w:r>
      <w:r w:rsidR="00A81DEB">
        <w:rPr>
          <w:sz w:val="20"/>
          <w:szCs w:val="20"/>
          <w:lang w:val="pt-BR"/>
        </w:rPr>
        <w:t>o</w:t>
      </w:r>
      <w:r w:rsidR="00A81DEB" w:rsidRPr="00A81DEB">
        <w:rPr>
          <w:sz w:val="20"/>
          <w:szCs w:val="20"/>
          <w:lang w:val="pt-BR"/>
        </w:rPr>
        <w:t>.</w:t>
      </w:r>
    </w:p>
    <w:p w14:paraId="27AF3078" w14:textId="3F753D56" w:rsidR="005D114C" w:rsidRDefault="005D114C" w:rsidP="00F30A0B">
      <w:pPr>
        <w:spacing w:after="0" w:line="240" w:lineRule="auto"/>
        <w:ind w:firstLine="360"/>
        <w:rPr>
          <w:sz w:val="20"/>
          <w:szCs w:val="20"/>
          <w:lang w:val="pt-BR"/>
        </w:rPr>
      </w:pPr>
      <w:r w:rsidRPr="005D114C">
        <w:rPr>
          <w:sz w:val="20"/>
          <w:szCs w:val="20"/>
          <w:lang w:val="pt-BR"/>
        </w:rPr>
        <w:t>Quatro seções foram incluídas na diretriz final: reconhecer, responder, referenciar e registrar.</w:t>
      </w:r>
      <w:r>
        <w:rPr>
          <w:sz w:val="20"/>
          <w:szCs w:val="20"/>
          <w:lang w:val="pt-BR"/>
        </w:rPr>
        <w:t xml:space="preserve"> </w:t>
      </w:r>
      <w:r w:rsidRPr="005D114C">
        <w:rPr>
          <w:sz w:val="20"/>
          <w:szCs w:val="20"/>
          <w:lang w:val="pt-BR"/>
        </w:rPr>
        <w:t>A p</w:t>
      </w:r>
      <w:r w:rsidR="00666CD5">
        <w:rPr>
          <w:sz w:val="20"/>
          <w:szCs w:val="20"/>
          <w:lang w:val="pt-BR"/>
        </w:rPr>
        <w:t>rimeira seção (reconhecer) listou</w:t>
      </w:r>
      <w:r w:rsidRPr="005D114C">
        <w:rPr>
          <w:sz w:val="20"/>
          <w:szCs w:val="20"/>
          <w:lang w:val="pt-BR"/>
        </w:rPr>
        <w:t xml:space="preserve"> indicadores de VPI incluindo o reconhecimento de sentimentos e comportamentos a</w:t>
      </w:r>
      <w:r w:rsidR="00666CD5">
        <w:rPr>
          <w:sz w:val="20"/>
          <w:szCs w:val="20"/>
          <w:lang w:val="pt-BR"/>
        </w:rPr>
        <w:t>ssociados a transtornos mentais</w:t>
      </w:r>
      <w:r w:rsidRPr="005D114C">
        <w:rPr>
          <w:sz w:val="20"/>
          <w:szCs w:val="20"/>
          <w:lang w:val="pt-BR"/>
        </w:rPr>
        <w:t xml:space="preserve"> como depressão, agitação, abstinência, pensamentos suicidas, automutilação e abuso de drogas ou álcool.</w:t>
      </w:r>
      <w:r w:rsidR="007879E0">
        <w:rPr>
          <w:sz w:val="20"/>
          <w:szCs w:val="20"/>
          <w:lang w:val="pt-BR"/>
        </w:rPr>
        <w:t xml:space="preserve"> </w:t>
      </w:r>
      <w:r w:rsidR="00666CD5">
        <w:rPr>
          <w:sz w:val="20"/>
          <w:szCs w:val="20"/>
          <w:lang w:val="pt-BR"/>
        </w:rPr>
        <w:t>Indicadores adicionais incluíram</w:t>
      </w:r>
      <w:r w:rsidR="007879E0" w:rsidRPr="007879E0">
        <w:rPr>
          <w:sz w:val="20"/>
          <w:szCs w:val="20"/>
          <w:lang w:val="pt-BR"/>
        </w:rPr>
        <w:t xml:space="preserve"> sintomas médicos crônicos inexplicáveis, trauma físico e violência sexual.</w:t>
      </w:r>
      <w:r w:rsidR="007879E0">
        <w:rPr>
          <w:sz w:val="20"/>
          <w:szCs w:val="20"/>
          <w:lang w:val="pt-BR"/>
        </w:rPr>
        <w:t xml:space="preserve"> </w:t>
      </w:r>
      <w:r w:rsidR="007879E0" w:rsidRPr="007879E0">
        <w:rPr>
          <w:sz w:val="20"/>
          <w:szCs w:val="20"/>
          <w:lang w:val="pt-BR"/>
        </w:rPr>
        <w:t xml:space="preserve">Além disso, </w:t>
      </w:r>
      <w:r w:rsidR="00990C7B">
        <w:rPr>
          <w:sz w:val="20"/>
          <w:szCs w:val="20"/>
          <w:lang w:val="pt-BR"/>
        </w:rPr>
        <w:t xml:space="preserve">foi incluído </w:t>
      </w:r>
      <w:r w:rsidR="007879E0" w:rsidRPr="007879E0">
        <w:rPr>
          <w:sz w:val="20"/>
          <w:szCs w:val="20"/>
          <w:lang w:val="pt-BR"/>
        </w:rPr>
        <w:t>um indicador adicional com foco n</w:t>
      </w:r>
      <w:r w:rsidR="00666CD5">
        <w:rPr>
          <w:sz w:val="20"/>
          <w:szCs w:val="20"/>
          <w:lang w:val="pt-BR"/>
        </w:rPr>
        <w:t>a perpetração de VPI por homens,</w:t>
      </w:r>
      <w:r w:rsidR="007879E0" w:rsidRPr="007879E0">
        <w:rPr>
          <w:sz w:val="20"/>
          <w:szCs w:val="20"/>
          <w:lang w:val="pt-BR"/>
        </w:rPr>
        <w:t xml:space="preserve"> o uso do medo ou </w:t>
      </w:r>
      <w:r w:rsidR="00666CD5">
        <w:rPr>
          <w:sz w:val="20"/>
          <w:szCs w:val="20"/>
          <w:lang w:val="pt-BR"/>
        </w:rPr>
        <w:t xml:space="preserve">da </w:t>
      </w:r>
      <w:r w:rsidR="007879E0" w:rsidRPr="007879E0">
        <w:rPr>
          <w:sz w:val="20"/>
          <w:szCs w:val="20"/>
          <w:lang w:val="pt-BR"/>
        </w:rPr>
        <w:t>violência como m</w:t>
      </w:r>
      <w:r w:rsidR="00666CD5">
        <w:rPr>
          <w:sz w:val="20"/>
          <w:szCs w:val="20"/>
          <w:lang w:val="pt-BR"/>
        </w:rPr>
        <w:t>eio de controle</w:t>
      </w:r>
      <w:r w:rsidR="007879E0">
        <w:rPr>
          <w:sz w:val="20"/>
          <w:szCs w:val="20"/>
          <w:lang w:val="pt-BR"/>
        </w:rPr>
        <w:t>.</w:t>
      </w:r>
    </w:p>
    <w:p w14:paraId="02FA3FC7" w14:textId="041AAD6C" w:rsidR="007879E0" w:rsidRDefault="00730156">
      <w:pPr>
        <w:spacing w:after="0" w:line="240" w:lineRule="auto"/>
        <w:ind w:firstLine="360"/>
        <w:rPr>
          <w:sz w:val="20"/>
          <w:szCs w:val="20"/>
          <w:lang w:val="pt-BR"/>
        </w:rPr>
      </w:pPr>
      <w:r w:rsidRPr="00730156">
        <w:rPr>
          <w:sz w:val="20"/>
          <w:szCs w:val="20"/>
          <w:lang w:val="pt-BR"/>
        </w:rPr>
        <w:t xml:space="preserve">A segunda seção (responder) identificou os métodos preferidos de discussão com </w:t>
      </w:r>
      <w:r w:rsidR="00FD4B56">
        <w:rPr>
          <w:sz w:val="20"/>
          <w:szCs w:val="20"/>
          <w:lang w:val="pt-BR"/>
        </w:rPr>
        <w:t>doente</w:t>
      </w:r>
      <w:r w:rsidRPr="00730156">
        <w:rPr>
          <w:sz w:val="20"/>
          <w:szCs w:val="20"/>
          <w:lang w:val="pt-BR"/>
        </w:rPr>
        <w:t xml:space="preserve">s </w:t>
      </w:r>
      <w:r w:rsidR="00566188">
        <w:rPr>
          <w:sz w:val="20"/>
          <w:szCs w:val="20"/>
          <w:lang w:val="pt-BR"/>
        </w:rPr>
        <w:t>vítimas de</w:t>
      </w:r>
      <w:r w:rsidRPr="00730156">
        <w:rPr>
          <w:sz w:val="20"/>
          <w:szCs w:val="20"/>
          <w:lang w:val="pt-BR"/>
        </w:rPr>
        <w:t xml:space="preserve"> VPI.</w:t>
      </w:r>
      <w:r>
        <w:rPr>
          <w:sz w:val="20"/>
          <w:szCs w:val="20"/>
          <w:lang w:val="pt-BR"/>
        </w:rPr>
        <w:t xml:space="preserve"> Foi proposto u</w:t>
      </w:r>
      <w:r w:rsidRPr="00730156">
        <w:rPr>
          <w:sz w:val="20"/>
          <w:szCs w:val="20"/>
          <w:lang w:val="pt-BR"/>
        </w:rPr>
        <w:t>m processo de discussão de três etapas.</w:t>
      </w:r>
      <w:r>
        <w:rPr>
          <w:sz w:val="20"/>
          <w:szCs w:val="20"/>
          <w:lang w:val="pt-BR"/>
        </w:rPr>
        <w:t xml:space="preserve"> </w:t>
      </w:r>
      <w:r w:rsidRPr="00730156">
        <w:rPr>
          <w:sz w:val="20"/>
          <w:szCs w:val="20"/>
          <w:lang w:val="pt-BR"/>
        </w:rPr>
        <w:t>O primeir</w:t>
      </w:r>
      <w:r w:rsidR="00566188">
        <w:rPr>
          <w:sz w:val="20"/>
          <w:szCs w:val="20"/>
          <w:lang w:val="pt-BR"/>
        </w:rPr>
        <w:t>o passo é garantir que o</w:t>
      </w:r>
      <w:r w:rsidRPr="00730156">
        <w:rPr>
          <w:sz w:val="20"/>
          <w:szCs w:val="20"/>
          <w:lang w:val="pt-BR"/>
        </w:rPr>
        <w:t xml:space="preserve"> </w:t>
      </w:r>
      <w:r w:rsidR="00FD4B56">
        <w:rPr>
          <w:sz w:val="20"/>
          <w:szCs w:val="20"/>
          <w:lang w:val="pt-BR"/>
        </w:rPr>
        <w:t>doente</w:t>
      </w:r>
      <w:r w:rsidRPr="00730156">
        <w:rPr>
          <w:sz w:val="20"/>
          <w:szCs w:val="20"/>
          <w:lang w:val="pt-BR"/>
        </w:rPr>
        <w:t xml:space="preserve"> esteja alerta e em um ambiente seguro e privado.</w:t>
      </w:r>
      <w:r>
        <w:rPr>
          <w:sz w:val="20"/>
          <w:szCs w:val="20"/>
          <w:lang w:val="pt-BR"/>
        </w:rPr>
        <w:t xml:space="preserve"> </w:t>
      </w:r>
      <w:r w:rsidRPr="00730156">
        <w:rPr>
          <w:sz w:val="20"/>
          <w:szCs w:val="20"/>
          <w:lang w:val="pt-BR"/>
        </w:rPr>
        <w:t xml:space="preserve">O </w:t>
      </w:r>
      <w:r w:rsidR="00FD4B56">
        <w:rPr>
          <w:sz w:val="20"/>
          <w:szCs w:val="20"/>
          <w:lang w:val="pt-BR"/>
        </w:rPr>
        <w:t>doente</w:t>
      </w:r>
      <w:r w:rsidR="00566188">
        <w:rPr>
          <w:sz w:val="20"/>
          <w:szCs w:val="20"/>
          <w:lang w:val="pt-BR"/>
        </w:rPr>
        <w:t xml:space="preserve"> deve </w:t>
      </w:r>
      <w:r w:rsidRPr="00730156">
        <w:rPr>
          <w:sz w:val="20"/>
          <w:szCs w:val="20"/>
          <w:lang w:val="pt-BR"/>
        </w:rPr>
        <w:t>sentir</w:t>
      </w:r>
      <w:r w:rsidR="00566188">
        <w:rPr>
          <w:sz w:val="20"/>
          <w:szCs w:val="20"/>
          <w:lang w:val="pt-BR"/>
        </w:rPr>
        <w:t>-se</w:t>
      </w:r>
      <w:r w:rsidRPr="00730156">
        <w:rPr>
          <w:sz w:val="20"/>
          <w:szCs w:val="20"/>
          <w:lang w:val="pt-BR"/>
        </w:rPr>
        <w:t xml:space="preserve"> confortável e sentir que não há ameaça física iminente.</w:t>
      </w:r>
      <w:r>
        <w:rPr>
          <w:sz w:val="20"/>
          <w:szCs w:val="20"/>
          <w:lang w:val="pt-BR"/>
        </w:rPr>
        <w:t xml:space="preserve"> </w:t>
      </w:r>
      <w:r w:rsidRPr="00730156">
        <w:rPr>
          <w:sz w:val="20"/>
          <w:szCs w:val="20"/>
          <w:lang w:val="pt-BR"/>
        </w:rPr>
        <w:t>O segundo passo é conduzir uma discussão com foco em preocupações com</w:t>
      </w:r>
      <w:r w:rsidR="00566188">
        <w:rPr>
          <w:sz w:val="20"/>
          <w:szCs w:val="20"/>
          <w:lang w:val="pt-BR"/>
        </w:rPr>
        <w:t>o</w:t>
      </w:r>
      <w:r w:rsidRPr="00730156">
        <w:rPr>
          <w:sz w:val="20"/>
          <w:szCs w:val="20"/>
          <w:lang w:val="pt-BR"/>
        </w:rPr>
        <w:t xml:space="preserve"> medo e segurança, em vez de comportamentos do </w:t>
      </w:r>
      <w:r w:rsidR="00FD4B56">
        <w:rPr>
          <w:sz w:val="20"/>
          <w:szCs w:val="20"/>
          <w:lang w:val="pt-BR"/>
        </w:rPr>
        <w:t>doente</w:t>
      </w:r>
      <w:r w:rsidRPr="00730156">
        <w:rPr>
          <w:sz w:val="20"/>
          <w:szCs w:val="20"/>
          <w:lang w:val="pt-BR"/>
        </w:rPr>
        <w:t>.</w:t>
      </w:r>
      <w:r>
        <w:rPr>
          <w:sz w:val="20"/>
          <w:szCs w:val="20"/>
          <w:lang w:val="pt-BR"/>
        </w:rPr>
        <w:t xml:space="preserve"> </w:t>
      </w:r>
      <w:r w:rsidRPr="00730156">
        <w:rPr>
          <w:sz w:val="20"/>
          <w:szCs w:val="20"/>
          <w:lang w:val="pt-BR"/>
        </w:rPr>
        <w:t>A discussão deve ser aberta, indireta e não conter julgamento</w:t>
      </w:r>
      <w:r>
        <w:rPr>
          <w:sz w:val="20"/>
          <w:szCs w:val="20"/>
          <w:lang w:val="pt-BR"/>
        </w:rPr>
        <w:t xml:space="preserve">. </w:t>
      </w:r>
      <w:r w:rsidRPr="00730156">
        <w:rPr>
          <w:sz w:val="20"/>
          <w:szCs w:val="20"/>
          <w:lang w:val="pt-BR"/>
        </w:rPr>
        <w:t>Especialistas enfatizaram a necessidade de treinamento baseado em habilidades ministrado por educadores especializados para garantir que as discussões sejam sensíveis e apropriadas.</w:t>
      </w:r>
    </w:p>
    <w:p w14:paraId="2B16C200" w14:textId="48EF3FA8" w:rsidR="00730156" w:rsidRDefault="004E1F91">
      <w:pPr>
        <w:spacing w:after="0" w:line="240" w:lineRule="auto"/>
        <w:ind w:firstLine="360"/>
        <w:rPr>
          <w:sz w:val="20"/>
          <w:szCs w:val="20"/>
          <w:lang w:val="pt-BR"/>
        </w:rPr>
      </w:pPr>
      <w:r w:rsidRPr="004E1F91">
        <w:rPr>
          <w:sz w:val="20"/>
          <w:szCs w:val="20"/>
          <w:lang w:val="pt-BR"/>
        </w:rPr>
        <w:t>A terceira seção da diretriz (</w:t>
      </w:r>
      <w:r w:rsidRPr="005D114C">
        <w:rPr>
          <w:sz w:val="20"/>
          <w:szCs w:val="20"/>
          <w:lang w:val="pt-BR"/>
        </w:rPr>
        <w:t>referenciar</w:t>
      </w:r>
      <w:r w:rsidR="00566188">
        <w:rPr>
          <w:sz w:val="20"/>
          <w:szCs w:val="20"/>
          <w:lang w:val="pt-BR"/>
        </w:rPr>
        <w:t>) listou</w:t>
      </w:r>
      <w:r w:rsidRPr="004E1F91">
        <w:rPr>
          <w:sz w:val="20"/>
          <w:szCs w:val="20"/>
          <w:lang w:val="pt-BR"/>
        </w:rPr>
        <w:t xml:space="preserve"> as agências de referência</w:t>
      </w:r>
      <w:r w:rsidR="00566188">
        <w:rPr>
          <w:sz w:val="20"/>
          <w:szCs w:val="20"/>
          <w:lang w:val="pt-BR"/>
        </w:rPr>
        <w:t xml:space="preserve"> locais que os paramédicos possam</w:t>
      </w:r>
      <w:r w:rsidRPr="004E1F91">
        <w:rPr>
          <w:sz w:val="20"/>
          <w:szCs w:val="20"/>
          <w:lang w:val="pt-BR"/>
        </w:rPr>
        <w:t xml:space="preserve"> recomendar aos </w:t>
      </w:r>
      <w:r w:rsidR="00FD4B56">
        <w:rPr>
          <w:sz w:val="20"/>
          <w:szCs w:val="20"/>
          <w:lang w:val="pt-BR"/>
        </w:rPr>
        <w:t>doente</w:t>
      </w:r>
      <w:r w:rsidRPr="004E1F91">
        <w:rPr>
          <w:sz w:val="20"/>
          <w:szCs w:val="20"/>
          <w:lang w:val="pt-BR"/>
        </w:rPr>
        <w:t xml:space="preserve">s verbalmente e / ou via materiais impressos orientação, </w:t>
      </w:r>
      <w:r w:rsidR="00566188">
        <w:rPr>
          <w:sz w:val="20"/>
          <w:szCs w:val="20"/>
          <w:lang w:val="pt-BR"/>
        </w:rPr>
        <w:t>apoio da polícia</w:t>
      </w:r>
      <w:r w:rsidRPr="004E1F91">
        <w:rPr>
          <w:sz w:val="20"/>
          <w:szCs w:val="20"/>
          <w:lang w:val="pt-BR"/>
        </w:rPr>
        <w:t>, aconselhamento jurídico, planejamento de segurança e acomodação de emergência.</w:t>
      </w:r>
      <w:r>
        <w:rPr>
          <w:sz w:val="20"/>
          <w:szCs w:val="20"/>
          <w:lang w:val="pt-BR"/>
        </w:rPr>
        <w:t xml:space="preserve"> </w:t>
      </w:r>
      <w:r w:rsidRPr="004E1F91">
        <w:rPr>
          <w:sz w:val="20"/>
          <w:szCs w:val="20"/>
          <w:lang w:val="pt-BR"/>
        </w:rPr>
        <w:t xml:space="preserve">Finalmente, a seção de registros indicou a documentação apropriada dos casos de VPI no prontuário do </w:t>
      </w:r>
      <w:r w:rsidR="00FD4B56">
        <w:rPr>
          <w:sz w:val="20"/>
          <w:szCs w:val="20"/>
          <w:lang w:val="pt-BR"/>
        </w:rPr>
        <w:t>doente</w:t>
      </w:r>
      <w:r w:rsidRPr="004E1F91">
        <w:rPr>
          <w:sz w:val="20"/>
          <w:szCs w:val="20"/>
          <w:lang w:val="pt-BR"/>
        </w:rPr>
        <w:t>, novamente modificados a partir das recomendações da OMS, para incluir a documentação apropriada das lesões, a presença policial e a garantia de confidencialidade.</w:t>
      </w:r>
    </w:p>
    <w:p w14:paraId="6E63E7C2" w14:textId="4BB816BA" w:rsidR="004E1F91" w:rsidRDefault="00566188">
      <w:pPr>
        <w:spacing w:after="0" w:line="240" w:lineRule="auto"/>
        <w:ind w:firstLine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As limitações desse estudo incluíram</w:t>
      </w:r>
      <w:r w:rsidR="006119E4" w:rsidRPr="006119E4">
        <w:rPr>
          <w:sz w:val="20"/>
          <w:szCs w:val="20"/>
          <w:lang w:val="pt-BR"/>
        </w:rPr>
        <w:t xml:space="preserve"> o uso de consenso entre especialistas, em vez de evidências empíricas, bem como a falta de envolvimento do </w:t>
      </w:r>
      <w:r w:rsidR="00FD4B56">
        <w:rPr>
          <w:sz w:val="20"/>
          <w:szCs w:val="20"/>
          <w:lang w:val="pt-BR"/>
        </w:rPr>
        <w:t>doente</w:t>
      </w:r>
      <w:r w:rsidR="006119E4" w:rsidRPr="006119E4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vítima de</w:t>
      </w:r>
      <w:r w:rsidR="006119E4" w:rsidRPr="006119E4">
        <w:rPr>
          <w:sz w:val="20"/>
          <w:szCs w:val="20"/>
          <w:lang w:val="pt-BR"/>
        </w:rPr>
        <w:t xml:space="preserve"> VPI.</w:t>
      </w:r>
      <w:r w:rsidR="006119E4">
        <w:rPr>
          <w:sz w:val="20"/>
          <w:szCs w:val="20"/>
          <w:lang w:val="pt-BR"/>
        </w:rPr>
        <w:t xml:space="preserve"> </w:t>
      </w:r>
      <w:r w:rsidR="006119E4" w:rsidRPr="006119E4">
        <w:rPr>
          <w:sz w:val="20"/>
          <w:szCs w:val="20"/>
          <w:lang w:val="pt-BR"/>
        </w:rPr>
        <w:t xml:space="preserve">Além disso, embora a diretriz recomende um método adequado de discutir a VPI com </w:t>
      </w:r>
      <w:r w:rsidR="00FD4B56">
        <w:rPr>
          <w:sz w:val="20"/>
          <w:szCs w:val="20"/>
          <w:lang w:val="pt-BR"/>
        </w:rPr>
        <w:t>doente</w:t>
      </w:r>
      <w:r w:rsidR="006119E4" w:rsidRPr="006119E4">
        <w:rPr>
          <w:sz w:val="20"/>
          <w:szCs w:val="20"/>
          <w:lang w:val="pt-BR"/>
        </w:rPr>
        <w:t>s, ela não pode garantir que a discussão seja sensível e apropriada.</w:t>
      </w:r>
    </w:p>
    <w:p w14:paraId="69872BED" w14:textId="7A8AAA7A" w:rsidR="006119E4" w:rsidRDefault="00C0705B" w:rsidP="007662F8">
      <w:pPr>
        <w:spacing w:after="0" w:line="240" w:lineRule="auto"/>
        <w:ind w:firstLine="360"/>
        <w:rPr>
          <w:sz w:val="20"/>
          <w:szCs w:val="20"/>
          <w:lang w:val="pt-BR"/>
        </w:rPr>
      </w:pPr>
      <w:r w:rsidRPr="00C0705B">
        <w:rPr>
          <w:sz w:val="20"/>
          <w:szCs w:val="20"/>
          <w:lang w:val="pt-BR"/>
        </w:rPr>
        <w:t>As recome</w:t>
      </w:r>
      <w:r w:rsidR="00566188">
        <w:rPr>
          <w:sz w:val="20"/>
          <w:szCs w:val="20"/>
          <w:lang w:val="pt-BR"/>
        </w:rPr>
        <w:t>ndações deste estudo representaram</w:t>
      </w:r>
      <w:r w:rsidRPr="00C0705B">
        <w:rPr>
          <w:sz w:val="20"/>
          <w:szCs w:val="20"/>
          <w:lang w:val="pt-BR"/>
        </w:rPr>
        <w:t xml:space="preserve"> a primeira diretriz abrangente e baseada em consenso para os paramédicos (e de fato </w:t>
      </w:r>
      <w:r w:rsidR="00566188">
        <w:rPr>
          <w:sz w:val="20"/>
          <w:szCs w:val="20"/>
          <w:lang w:val="pt-BR"/>
        </w:rPr>
        <w:t>toda e equipe pré-hospitalar</w:t>
      </w:r>
      <w:r w:rsidRPr="00C0705B">
        <w:rPr>
          <w:sz w:val="20"/>
          <w:szCs w:val="20"/>
          <w:lang w:val="pt-BR"/>
        </w:rPr>
        <w:t xml:space="preserve">) </w:t>
      </w:r>
      <w:r w:rsidR="00566188">
        <w:rPr>
          <w:sz w:val="20"/>
          <w:szCs w:val="20"/>
          <w:lang w:val="pt-BR"/>
        </w:rPr>
        <w:t>no atendimento</w:t>
      </w:r>
      <w:r w:rsidRPr="00C0705B">
        <w:rPr>
          <w:sz w:val="20"/>
          <w:szCs w:val="20"/>
          <w:lang w:val="pt-BR"/>
        </w:rPr>
        <w:t xml:space="preserve"> aos </w:t>
      </w:r>
      <w:r w:rsidR="00FD4B56">
        <w:rPr>
          <w:sz w:val="20"/>
          <w:szCs w:val="20"/>
          <w:lang w:val="pt-BR"/>
        </w:rPr>
        <w:t>doente</w:t>
      </w:r>
      <w:r w:rsidRPr="00C0705B">
        <w:rPr>
          <w:sz w:val="20"/>
          <w:szCs w:val="20"/>
          <w:lang w:val="pt-BR"/>
        </w:rPr>
        <w:t xml:space="preserve">s </w:t>
      </w:r>
      <w:r w:rsidR="00566188">
        <w:rPr>
          <w:sz w:val="20"/>
          <w:szCs w:val="20"/>
          <w:lang w:val="pt-BR"/>
        </w:rPr>
        <w:t>vítimas de</w:t>
      </w:r>
      <w:r w:rsidRPr="00C0705B">
        <w:rPr>
          <w:sz w:val="20"/>
          <w:szCs w:val="20"/>
          <w:lang w:val="pt-BR"/>
        </w:rPr>
        <w:t xml:space="preserve"> VPI no cenário pré-hospitalar.</w:t>
      </w:r>
      <w:r>
        <w:rPr>
          <w:sz w:val="20"/>
          <w:szCs w:val="20"/>
          <w:lang w:val="pt-BR"/>
        </w:rPr>
        <w:t xml:space="preserve"> </w:t>
      </w:r>
      <w:r w:rsidRPr="00C0705B">
        <w:rPr>
          <w:sz w:val="20"/>
          <w:szCs w:val="20"/>
          <w:lang w:val="pt-BR"/>
        </w:rPr>
        <w:t>Os paramédicos podem desempenhar um papel crucial no reconhecimento e encaminhamento da VPI, resultando no aumento das taxas de referência para as vítimas da VPI e na potencial prevenção de novos abusos.</w:t>
      </w:r>
      <w:r>
        <w:rPr>
          <w:sz w:val="20"/>
          <w:szCs w:val="20"/>
          <w:lang w:val="pt-BR"/>
        </w:rPr>
        <w:t xml:space="preserve"> </w:t>
      </w:r>
      <w:r w:rsidRPr="00C0705B">
        <w:rPr>
          <w:sz w:val="20"/>
          <w:szCs w:val="20"/>
          <w:lang w:val="pt-BR"/>
        </w:rPr>
        <w:t xml:space="preserve">Embora os paramédicos interajam rotineiramente com vítimas de </w:t>
      </w:r>
      <w:r w:rsidR="00D81E96">
        <w:rPr>
          <w:sz w:val="20"/>
          <w:szCs w:val="20"/>
          <w:lang w:val="pt-BR"/>
        </w:rPr>
        <w:t>VPI</w:t>
      </w:r>
      <w:r w:rsidRPr="00C0705B">
        <w:rPr>
          <w:sz w:val="20"/>
          <w:szCs w:val="20"/>
          <w:lang w:val="pt-BR"/>
        </w:rPr>
        <w:t xml:space="preserve"> e forneçam cuidados médicos especializados e transporte para o Departamento de Emergência, eles raramente estão preparados para fornecer caminhos para os serviços de encaminhamento e, em v</w:t>
      </w:r>
      <w:r w:rsidR="00923E2D">
        <w:rPr>
          <w:sz w:val="20"/>
          <w:szCs w:val="20"/>
          <w:lang w:val="pt-BR"/>
        </w:rPr>
        <w:t>ez disso, confiam na equipe do Departamento de E</w:t>
      </w:r>
      <w:r w:rsidRPr="00C0705B">
        <w:rPr>
          <w:sz w:val="20"/>
          <w:szCs w:val="20"/>
          <w:lang w:val="pt-BR"/>
        </w:rPr>
        <w:t xml:space="preserve">mergência para intervir em nome do </w:t>
      </w:r>
      <w:r w:rsidR="00FD4B56">
        <w:rPr>
          <w:sz w:val="20"/>
          <w:szCs w:val="20"/>
          <w:lang w:val="pt-BR"/>
        </w:rPr>
        <w:t>doente</w:t>
      </w:r>
      <w:r w:rsidRPr="00C0705B">
        <w:rPr>
          <w:sz w:val="20"/>
          <w:szCs w:val="20"/>
          <w:lang w:val="pt-BR"/>
        </w:rPr>
        <w:t>.</w:t>
      </w:r>
      <w:r w:rsidR="00D81E96">
        <w:rPr>
          <w:sz w:val="20"/>
          <w:szCs w:val="20"/>
          <w:lang w:val="pt-BR"/>
        </w:rPr>
        <w:t xml:space="preserve"> </w:t>
      </w:r>
      <w:r w:rsidR="00D81E96" w:rsidRPr="00D81E96">
        <w:rPr>
          <w:sz w:val="20"/>
          <w:szCs w:val="20"/>
          <w:lang w:val="pt-BR"/>
        </w:rPr>
        <w:t xml:space="preserve">Embora essa interação no Departamento de Emergência forneça ao </w:t>
      </w:r>
      <w:r w:rsidR="00FD4B56">
        <w:rPr>
          <w:sz w:val="20"/>
          <w:szCs w:val="20"/>
          <w:lang w:val="pt-BR"/>
        </w:rPr>
        <w:t>doente</w:t>
      </w:r>
      <w:r w:rsidR="00D81E96" w:rsidRPr="00D81E96">
        <w:rPr>
          <w:sz w:val="20"/>
          <w:szCs w:val="20"/>
          <w:lang w:val="pt-BR"/>
        </w:rPr>
        <w:t xml:space="preserve"> os recursos necessários, ele não atende às necessidades do </w:t>
      </w:r>
      <w:r w:rsidR="00FD4B56">
        <w:rPr>
          <w:sz w:val="20"/>
          <w:szCs w:val="20"/>
          <w:lang w:val="pt-BR"/>
        </w:rPr>
        <w:t>doente</w:t>
      </w:r>
      <w:r w:rsidR="00D81E96" w:rsidRPr="00D81E96">
        <w:rPr>
          <w:sz w:val="20"/>
          <w:szCs w:val="20"/>
          <w:lang w:val="pt-BR"/>
        </w:rPr>
        <w:t xml:space="preserve"> que não é transportado.</w:t>
      </w:r>
      <w:r w:rsidR="00D81E96">
        <w:rPr>
          <w:sz w:val="20"/>
          <w:szCs w:val="20"/>
          <w:lang w:val="pt-BR"/>
        </w:rPr>
        <w:t xml:space="preserve"> </w:t>
      </w:r>
      <w:r w:rsidR="00D81E96" w:rsidRPr="00D81E96">
        <w:rPr>
          <w:sz w:val="20"/>
          <w:szCs w:val="20"/>
          <w:lang w:val="pt-BR"/>
        </w:rPr>
        <w:t xml:space="preserve">As recomendações deste estudo fornecem um esboço para outros seguirem no desenvolvimento de um plano de tratamento para as vítimas da </w:t>
      </w:r>
      <w:r w:rsidR="00D81E96">
        <w:rPr>
          <w:sz w:val="20"/>
          <w:szCs w:val="20"/>
          <w:lang w:val="pt-BR"/>
        </w:rPr>
        <w:t>VPI</w:t>
      </w:r>
      <w:r w:rsidR="00D81E96" w:rsidRPr="00D81E96">
        <w:rPr>
          <w:sz w:val="20"/>
          <w:szCs w:val="20"/>
          <w:lang w:val="pt-BR"/>
        </w:rPr>
        <w:t xml:space="preserve"> que não são transportadas.</w:t>
      </w:r>
      <w:r w:rsidR="00D81E96">
        <w:rPr>
          <w:sz w:val="20"/>
          <w:szCs w:val="20"/>
          <w:lang w:val="pt-BR"/>
        </w:rPr>
        <w:t xml:space="preserve"> </w:t>
      </w:r>
      <w:r w:rsidR="00D81E96" w:rsidRPr="00D81E96">
        <w:rPr>
          <w:sz w:val="20"/>
          <w:szCs w:val="20"/>
          <w:lang w:val="pt-BR"/>
        </w:rPr>
        <w:t>Mais pesquisas são necessárias para determinar se a intervenção precoce por paramédicos fornece o resultado desejado da diminuição da VPI.</w:t>
      </w:r>
    </w:p>
    <w:p w14:paraId="57825BCA" w14:textId="77777777" w:rsidR="009B3AB7" w:rsidRDefault="009B3AB7">
      <w:pPr>
        <w:spacing w:after="0" w:line="240" w:lineRule="auto"/>
        <w:ind w:firstLine="360"/>
        <w:rPr>
          <w:sz w:val="20"/>
          <w:szCs w:val="20"/>
          <w:lang w:val="pt-BR"/>
        </w:rPr>
      </w:pPr>
    </w:p>
    <w:p w14:paraId="4FC724E5" w14:textId="77777777" w:rsidR="00602BA3" w:rsidRPr="001622F9" w:rsidRDefault="00602BA3">
      <w:pPr>
        <w:spacing w:after="0" w:line="240" w:lineRule="auto"/>
        <w:ind w:firstLine="360"/>
        <w:rPr>
          <w:sz w:val="20"/>
          <w:szCs w:val="20"/>
          <w:lang w:val="pt-BR"/>
        </w:rPr>
      </w:pPr>
    </w:p>
    <w:p w14:paraId="3A6035AB" w14:textId="6DF77906" w:rsidR="009B3AB7" w:rsidRPr="001622F9" w:rsidRDefault="00A51D8E" w:rsidP="007662F8">
      <w:pPr>
        <w:pStyle w:val="ListParagraph"/>
        <w:numPr>
          <w:ilvl w:val="0"/>
          <w:numId w:val="4"/>
        </w:numPr>
        <w:rPr>
          <w:sz w:val="20"/>
          <w:szCs w:val="20"/>
          <w:lang w:val="pt-BR"/>
        </w:rPr>
      </w:pPr>
      <w:r>
        <w:rPr>
          <w:rStyle w:val="None"/>
          <w:b/>
          <w:bCs/>
          <w:sz w:val="20"/>
          <w:szCs w:val="20"/>
          <w:lang w:val="pt-BR"/>
        </w:rPr>
        <w:t xml:space="preserve">Subtriagem de vítimas de ferimento por armas de fogo </w:t>
      </w:r>
      <w:r w:rsidRPr="004F0EC8">
        <w:rPr>
          <w:rStyle w:val="None"/>
          <w:b/>
          <w:bCs/>
          <w:sz w:val="20"/>
          <w:szCs w:val="20"/>
          <w:lang w:val="pt-BR"/>
        </w:rPr>
        <w:t>em uma grande área metropolitana</w:t>
      </w:r>
      <w:r w:rsidR="003A56EC" w:rsidRPr="001622F9">
        <w:rPr>
          <w:rStyle w:val="None"/>
          <w:b/>
          <w:bCs/>
          <w:sz w:val="20"/>
          <w:szCs w:val="20"/>
          <w:lang w:val="pt-BR"/>
        </w:rPr>
        <w:t>.</w:t>
      </w:r>
      <w:r w:rsidR="003A56EC" w:rsidRPr="001622F9">
        <w:rPr>
          <w:sz w:val="20"/>
          <w:szCs w:val="20"/>
          <w:lang w:val="pt-BR"/>
        </w:rPr>
        <w:t xml:space="preserve"> Lale A, Krajewski A, and Friedman LS.  JAMA Surg. 2017 May 1;152(5):467-474</w:t>
      </w:r>
    </w:p>
    <w:p w14:paraId="3F51305A" w14:textId="65050543" w:rsidR="00D1729A" w:rsidRDefault="00D1729A">
      <w:pPr>
        <w:pStyle w:val="NoSpacing"/>
        <w:ind w:firstLine="360"/>
        <w:rPr>
          <w:lang w:val="pt-BR"/>
        </w:rPr>
      </w:pPr>
      <w:r w:rsidRPr="00D1729A">
        <w:rPr>
          <w:lang w:val="pt-BR"/>
        </w:rPr>
        <w:t>Os critérios de triagem pré-hospitalar</w:t>
      </w:r>
      <w:r w:rsidR="00011D5E">
        <w:rPr>
          <w:lang w:val="pt-BR"/>
        </w:rPr>
        <w:t xml:space="preserve"> de doentes traumatizados</w:t>
      </w:r>
      <w:r w:rsidRPr="00D1729A">
        <w:rPr>
          <w:lang w:val="pt-BR"/>
        </w:rPr>
        <w:t xml:space="preserve"> são </w:t>
      </w:r>
      <w:r w:rsidR="00011D5E">
        <w:rPr>
          <w:lang w:val="pt-BR"/>
        </w:rPr>
        <w:t xml:space="preserve">designados </w:t>
      </w:r>
      <w:r w:rsidRPr="00D1729A">
        <w:rPr>
          <w:lang w:val="pt-BR"/>
        </w:rPr>
        <w:t xml:space="preserve">para garantir que qualquer </w:t>
      </w:r>
      <w:r w:rsidR="00FD4B56">
        <w:rPr>
          <w:lang w:val="pt-BR"/>
        </w:rPr>
        <w:t>doente</w:t>
      </w:r>
      <w:r w:rsidRPr="00D1729A">
        <w:rPr>
          <w:lang w:val="pt-BR"/>
        </w:rPr>
        <w:t xml:space="preserve"> gravemente </w:t>
      </w:r>
      <w:r>
        <w:rPr>
          <w:lang w:val="pt-BR"/>
        </w:rPr>
        <w:t>traumatizado</w:t>
      </w:r>
      <w:r w:rsidRPr="00D1729A">
        <w:rPr>
          <w:lang w:val="pt-BR"/>
        </w:rPr>
        <w:t xml:space="preserve"> ou qualquer </w:t>
      </w:r>
      <w:r w:rsidR="00FD4B56">
        <w:rPr>
          <w:lang w:val="pt-BR"/>
        </w:rPr>
        <w:t>doente</w:t>
      </w:r>
      <w:r w:rsidRPr="00D1729A">
        <w:rPr>
          <w:lang w:val="pt-BR"/>
        </w:rPr>
        <w:t xml:space="preserve"> que possa ter </w:t>
      </w:r>
      <w:r w:rsidR="00FD4B56">
        <w:rPr>
          <w:lang w:val="pt-BR"/>
        </w:rPr>
        <w:t>lesões</w:t>
      </w:r>
      <w:r w:rsidRPr="00D1729A">
        <w:rPr>
          <w:lang w:val="pt-BR"/>
        </w:rPr>
        <w:t xml:space="preserve"> graves seja transportado para um centro de trauma.</w:t>
      </w:r>
      <w:r>
        <w:rPr>
          <w:lang w:val="pt-BR"/>
        </w:rPr>
        <w:t xml:space="preserve"> </w:t>
      </w:r>
      <w:r w:rsidRPr="00D1729A">
        <w:rPr>
          <w:lang w:val="pt-BR"/>
        </w:rPr>
        <w:t xml:space="preserve">Vários estudos demonstraram </w:t>
      </w:r>
      <w:r w:rsidR="00FD4B56">
        <w:rPr>
          <w:lang w:val="pt-BR"/>
        </w:rPr>
        <w:t>aumento da sobrevida em</w:t>
      </w:r>
      <w:r w:rsidRPr="00D1729A">
        <w:rPr>
          <w:lang w:val="pt-BR"/>
        </w:rPr>
        <w:t xml:space="preserve"> </w:t>
      </w:r>
      <w:r w:rsidR="00FD4B56">
        <w:rPr>
          <w:lang w:val="pt-BR"/>
        </w:rPr>
        <w:t>doente</w:t>
      </w:r>
      <w:r w:rsidRPr="00D1729A">
        <w:rPr>
          <w:lang w:val="pt-BR"/>
        </w:rPr>
        <w:t xml:space="preserve">s </w:t>
      </w:r>
      <w:r w:rsidR="00011D5E">
        <w:rPr>
          <w:lang w:val="pt-BR"/>
        </w:rPr>
        <w:t>atendidos</w:t>
      </w:r>
      <w:r w:rsidRPr="00D1729A">
        <w:rPr>
          <w:lang w:val="pt-BR"/>
        </w:rPr>
        <w:t xml:space="preserve"> em um centro de trauma </w:t>
      </w:r>
      <w:r w:rsidR="00FD4B56">
        <w:rPr>
          <w:lang w:val="pt-BR"/>
        </w:rPr>
        <w:t xml:space="preserve">em </w:t>
      </w:r>
      <w:r w:rsidR="00011D5E">
        <w:rPr>
          <w:lang w:val="pt-BR"/>
        </w:rPr>
        <w:t>vez de</w:t>
      </w:r>
      <w:r w:rsidR="00FD4B56">
        <w:rPr>
          <w:lang w:val="pt-BR"/>
        </w:rPr>
        <w:t xml:space="preserve"> uma instituição que não é centro de trauma</w:t>
      </w:r>
      <w:r w:rsidRPr="00D1729A">
        <w:rPr>
          <w:lang w:val="pt-BR"/>
        </w:rPr>
        <w:t>.</w:t>
      </w:r>
      <w:r>
        <w:rPr>
          <w:lang w:val="pt-BR"/>
        </w:rPr>
        <w:t xml:space="preserve"> </w:t>
      </w:r>
      <w:r w:rsidR="00FD4B56">
        <w:rPr>
          <w:lang w:val="pt-BR"/>
        </w:rPr>
        <w:t>O Centro</w:t>
      </w:r>
      <w:r w:rsidRPr="00D1729A">
        <w:rPr>
          <w:lang w:val="pt-BR"/>
        </w:rPr>
        <w:t xml:space="preserve"> de Controle e Pre</w:t>
      </w:r>
      <w:r w:rsidR="00FD4B56">
        <w:rPr>
          <w:lang w:val="pt-BR"/>
        </w:rPr>
        <w:t>venção de Doenças (CDC) publicou</w:t>
      </w:r>
      <w:r w:rsidRPr="00D1729A">
        <w:rPr>
          <w:lang w:val="pt-BR"/>
        </w:rPr>
        <w:t xml:space="preserve"> as “Diretrizes para Triagem de Campo de </w:t>
      </w:r>
      <w:r w:rsidR="00FD4B56">
        <w:rPr>
          <w:lang w:val="pt-BR"/>
        </w:rPr>
        <w:t>Doente</w:t>
      </w:r>
      <w:r w:rsidRPr="00D1729A">
        <w:rPr>
          <w:lang w:val="pt-BR"/>
        </w:rPr>
        <w:t xml:space="preserve">s </w:t>
      </w:r>
      <w:r w:rsidR="00FD4B56">
        <w:rPr>
          <w:lang w:val="pt-BR"/>
        </w:rPr>
        <w:t>Traumatizados</w:t>
      </w:r>
      <w:r w:rsidRPr="00D1729A">
        <w:rPr>
          <w:lang w:val="pt-BR"/>
        </w:rPr>
        <w:t xml:space="preserve">” que especificam quais </w:t>
      </w:r>
      <w:r w:rsidR="00FD4B56">
        <w:rPr>
          <w:lang w:val="pt-BR"/>
        </w:rPr>
        <w:t>doente</w:t>
      </w:r>
      <w:r w:rsidRPr="00D1729A">
        <w:rPr>
          <w:lang w:val="pt-BR"/>
        </w:rPr>
        <w:t>s devem ser preferencialmente transportados para um centro de trauma.</w:t>
      </w:r>
      <w:r>
        <w:rPr>
          <w:lang w:val="pt-BR"/>
        </w:rPr>
        <w:t xml:space="preserve"> </w:t>
      </w:r>
      <w:r w:rsidRPr="00D1729A">
        <w:rPr>
          <w:lang w:val="pt-BR"/>
        </w:rPr>
        <w:t xml:space="preserve">Critérios anatômicos que requerem transporte </w:t>
      </w:r>
      <w:r w:rsidR="00FD4B56">
        <w:rPr>
          <w:lang w:val="pt-BR"/>
        </w:rPr>
        <w:t>para o</w:t>
      </w:r>
      <w:r w:rsidRPr="00D1729A">
        <w:rPr>
          <w:lang w:val="pt-BR"/>
        </w:rPr>
        <w:t xml:space="preserve"> centro de trauma incluem trauma penetrante próximo ao joelho ou cotovelo.</w:t>
      </w:r>
    </w:p>
    <w:p w14:paraId="532AB1E3" w14:textId="5B7B2271" w:rsidR="00D1729A" w:rsidRDefault="00011D5E">
      <w:pPr>
        <w:pStyle w:val="NoSpacing"/>
        <w:ind w:firstLine="360"/>
        <w:rPr>
          <w:lang w:val="pt-BR"/>
        </w:rPr>
      </w:pPr>
      <w:r>
        <w:rPr>
          <w:lang w:val="pt-BR"/>
        </w:rPr>
        <w:lastRenderedPageBreak/>
        <w:t>Ess</w:t>
      </w:r>
      <w:r w:rsidR="00FD4B56" w:rsidRPr="00FD4B56">
        <w:rPr>
          <w:lang w:val="pt-BR"/>
        </w:rPr>
        <w:t>e é um estudo retros</w:t>
      </w:r>
      <w:r>
        <w:rPr>
          <w:lang w:val="pt-BR"/>
        </w:rPr>
        <w:t>pectivo de cinco anos que analisou</w:t>
      </w:r>
      <w:r w:rsidR="00FD4B56" w:rsidRPr="00FD4B56">
        <w:rPr>
          <w:lang w:val="pt-BR"/>
        </w:rPr>
        <w:t xml:space="preserve"> os </w:t>
      </w:r>
      <w:r w:rsidR="00FD4B56">
        <w:rPr>
          <w:lang w:val="pt-BR"/>
        </w:rPr>
        <w:t>doentes</w:t>
      </w:r>
      <w:r w:rsidR="00FD4B56" w:rsidRPr="00FD4B56">
        <w:rPr>
          <w:lang w:val="pt-BR"/>
        </w:rPr>
        <w:t xml:space="preserve"> </w:t>
      </w:r>
      <w:r>
        <w:rPr>
          <w:lang w:val="pt-BR"/>
        </w:rPr>
        <w:t>no Condado de Cook</w:t>
      </w:r>
      <w:r w:rsidR="00FD4B56" w:rsidRPr="00FD4B56">
        <w:rPr>
          <w:lang w:val="pt-BR"/>
        </w:rPr>
        <w:t>, Illinois (cida</w:t>
      </w:r>
      <w:r>
        <w:rPr>
          <w:lang w:val="pt-BR"/>
        </w:rPr>
        <w:t xml:space="preserve">de de Chicago) que sofreram </w:t>
      </w:r>
      <w:r w:rsidR="00FD4B56" w:rsidRPr="00FD4B56">
        <w:rPr>
          <w:lang w:val="pt-BR"/>
        </w:rPr>
        <w:t xml:space="preserve">lesão </w:t>
      </w:r>
      <w:r>
        <w:rPr>
          <w:lang w:val="pt-BR"/>
        </w:rPr>
        <w:t xml:space="preserve">por </w:t>
      </w:r>
      <w:r w:rsidR="00FD4B56" w:rsidRPr="00FD4B56">
        <w:rPr>
          <w:lang w:val="pt-BR"/>
        </w:rPr>
        <w:t>arma de fogo.</w:t>
      </w:r>
      <w:r w:rsidR="00FD4B56">
        <w:rPr>
          <w:lang w:val="pt-BR"/>
        </w:rPr>
        <w:t xml:space="preserve"> </w:t>
      </w:r>
      <w:r w:rsidR="00FD4B56" w:rsidRPr="00FD4B56">
        <w:rPr>
          <w:lang w:val="pt-BR"/>
        </w:rPr>
        <w:t xml:space="preserve">Os autores analisaram especificamente os </w:t>
      </w:r>
      <w:r w:rsidR="008F1916">
        <w:rPr>
          <w:lang w:val="pt-BR"/>
        </w:rPr>
        <w:t>doente</w:t>
      </w:r>
      <w:r w:rsidR="00FD4B56" w:rsidRPr="00FD4B56">
        <w:rPr>
          <w:lang w:val="pt-BR"/>
        </w:rPr>
        <w:t xml:space="preserve">s que foram subtriados, ou seja, eles </w:t>
      </w:r>
      <w:r w:rsidR="00FD4B56">
        <w:rPr>
          <w:lang w:val="pt-BR"/>
        </w:rPr>
        <w:t>apresentavam critério</w:t>
      </w:r>
      <w:r w:rsidR="00FD4B56" w:rsidRPr="00FD4B56">
        <w:rPr>
          <w:lang w:val="pt-BR"/>
        </w:rPr>
        <w:t xml:space="preserve"> de triagem </w:t>
      </w:r>
      <w:r w:rsidR="00FD4B56">
        <w:rPr>
          <w:lang w:val="pt-BR"/>
        </w:rPr>
        <w:t>para encaminhamento a um centro de trauma e foram transportados para uma instituição que não é centro de tra</w:t>
      </w:r>
      <w:r w:rsidR="00056B41">
        <w:rPr>
          <w:lang w:val="pt-BR"/>
        </w:rPr>
        <w:t>uma. A</w:t>
      </w:r>
      <w:r w:rsidR="00056B41" w:rsidRPr="00056B41">
        <w:rPr>
          <w:lang w:val="pt-BR"/>
        </w:rPr>
        <w:t xml:space="preserve"> população de estudo incluiu </w:t>
      </w:r>
      <w:r w:rsidRPr="00056B41">
        <w:rPr>
          <w:lang w:val="pt-BR"/>
        </w:rPr>
        <w:t xml:space="preserve">também </w:t>
      </w:r>
      <w:r w:rsidR="00056B41" w:rsidRPr="00056B41">
        <w:rPr>
          <w:lang w:val="pt-BR"/>
        </w:rPr>
        <w:t xml:space="preserve">os </w:t>
      </w:r>
      <w:r w:rsidR="008F1916">
        <w:rPr>
          <w:lang w:val="pt-BR"/>
        </w:rPr>
        <w:t>doente</w:t>
      </w:r>
      <w:r w:rsidR="00056B41" w:rsidRPr="00056B41">
        <w:rPr>
          <w:lang w:val="pt-BR"/>
        </w:rPr>
        <w:t xml:space="preserve">s que foram transferidos para um centro de trauma depois de receber </w:t>
      </w:r>
      <w:r>
        <w:rPr>
          <w:lang w:val="pt-BR"/>
        </w:rPr>
        <w:t>o atendimento inicial</w:t>
      </w:r>
      <w:r w:rsidR="00056B41" w:rsidRPr="00056B41">
        <w:rPr>
          <w:lang w:val="pt-BR"/>
        </w:rPr>
        <w:t xml:space="preserve"> em um </w:t>
      </w:r>
      <w:r>
        <w:rPr>
          <w:lang w:val="pt-BR"/>
        </w:rPr>
        <w:t xml:space="preserve">não centro de </w:t>
      </w:r>
      <w:r w:rsidR="00056B41" w:rsidRPr="00056B41">
        <w:rPr>
          <w:lang w:val="pt-BR"/>
        </w:rPr>
        <w:t>trauma.</w:t>
      </w:r>
    </w:p>
    <w:p w14:paraId="66323D5A" w14:textId="59F3CFD0" w:rsidR="00FD4B56" w:rsidRDefault="00893961">
      <w:pPr>
        <w:pStyle w:val="NoSpacing"/>
        <w:ind w:firstLine="360"/>
        <w:rPr>
          <w:lang w:val="pt-BR"/>
        </w:rPr>
      </w:pPr>
      <w:r w:rsidRPr="00893961">
        <w:rPr>
          <w:lang w:val="pt-BR"/>
        </w:rPr>
        <w:t xml:space="preserve">Durante o período de cinco anos, ocorreram 9.886 </w:t>
      </w:r>
      <w:r w:rsidR="001921D4">
        <w:rPr>
          <w:lang w:val="pt-BR"/>
        </w:rPr>
        <w:t xml:space="preserve">ocorrências </w:t>
      </w:r>
      <w:r>
        <w:rPr>
          <w:lang w:val="pt-BR"/>
        </w:rPr>
        <w:t xml:space="preserve">de </w:t>
      </w:r>
      <w:r w:rsidRPr="00893961">
        <w:rPr>
          <w:lang w:val="pt-BR"/>
        </w:rPr>
        <w:t>ferimentos por arma de fogo no Condado de Cook.</w:t>
      </w:r>
      <w:r>
        <w:rPr>
          <w:lang w:val="pt-BR"/>
        </w:rPr>
        <w:t xml:space="preserve"> </w:t>
      </w:r>
      <w:r w:rsidRPr="00893961">
        <w:rPr>
          <w:lang w:val="pt-BR"/>
        </w:rPr>
        <w:t>2</w:t>
      </w:r>
      <w:r>
        <w:rPr>
          <w:lang w:val="pt-BR"/>
        </w:rPr>
        <w:t>.</w:t>
      </w:r>
      <w:r w:rsidRPr="00893961">
        <w:rPr>
          <w:lang w:val="pt-BR"/>
        </w:rPr>
        <w:t xml:space="preserve">842 </w:t>
      </w:r>
      <w:r w:rsidR="008F1916">
        <w:rPr>
          <w:lang w:val="pt-BR"/>
        </w:rPr>
        <w:t>doente</w:t>
      </w:r>
      <w:r w:rsidRPr="00893961">
        <w:rPr>
          <w:lang w:val="pt-BR"/>
        </w:rPr>
        <w:t xml:space="preserve">s (28,7%) </w:t>
      </w:r>
      <w:r>
        <w:rPr>
          <w:lang w:val="pt-BR"/>
        </w:rPr>
        <w:t>foram atendidos</w:t>
      </w:r>
      <w:r w:rsidRPr="00893961">
        <w:rPr>
          <w:lang w:val="pt-BR"/>
        </w:rPr>
        <w:t xml:space="preserve"> em </w:t>
      </w:r>
      <w:r w:rsidR="001921D4">
        <w:rPr>
          <w:lang w:val="pt-BR"/>
        </w:rPr>
        <w:t>uma instituição que não é centro de trauma,</w:t>
      </w:r>
      <w:r w:rsidR="001921D4" w:rsidRPr="00893961">
        <w:rPr>
          <w:lang w:val="pt-BR"/>
        </w:rPr>
        <w:t xml:space="preserve"> </w:t>
      </w:r>
      <w:r w:rsidRPr="00893961">
        <w:rPr>
          <w:lang w:val="pt-BR"/>
        </w:rPr>
        <w:t>e 7</w:t>
      </w:r>
      <w:r>
        <w:rPr>
          <w:lang w:val="pt-BR"/>
        </w:rPr>
        <w:t xml:space="preserve">.044 </w:t>
      </w:r>
      <w:r w:rsidR="008F1916">
        <w:rPr>
          <w:lang w:val="pt-BR"/>
        </w:rPr>
        <w:t>doente</w:t>
      </w:r>
      <w:r>
        <w:rPr>
          <w:lang w:val="pt-BR"/>
        </w:rPr>
        <w:t>s (71,3%)</w:t>
      </w:r>
      <w:r w:rsidRPr="00893961">
        <w:rPr>
          <w:lang w:val="pt-BR"/>
        </w:rPr>
        <w:t xml:space="preserve"> receberam atendimento em um centro de trauma.</w:t>
      </w:r>
      <w:r>
        <w:rPr>
          <w:lang w:val="pt-BR"/>
        </w:rPr>
        <w:t xml:space="preserve"> </w:t>
      </w:r>
      <w:r w:rsidRPr="00893961">
        <w:rPr>
          <w:lang w:val="pt-BR"/>
        </w:rPr>
        <w:t xml:space="preserve">Aqueles que foram tratados em um </w:t>
      </w:r>
      <w:r w:rsidR="001921D4">
        <w:rPr>
          <w:lang w:val="pt-BR"/>
        </w:rPr>
        <w:t xml:space="preserve">não centro de </w:t>
      </w:r>
      <w:r w:rsidRPr="00893961">
        <w:rPr>
          <w:lang w:val="pt-BR"/>
        </w:rPr>
        <w:t>trau</w:t>
      </w:r>
      <w:r w:rsidR="008F1916">
        <w:rPr>
          <w:lang w:val="pt-BR"/>
        </w:rPr>
        <w:t xml:space="preserve">ma </w:t>
      </w:r>
      <w:r w:rsidR="001921D4">
        <w:rPr>
          <w:lang w:val="pt-BR"/>
        </w:rPr>
        <w:t>estavam</w:t>
      </w:r>
      <w:r w:rsidR="008F1916">
        <w:rPr>
          <w:lang w:val="pt-BR"/>
        </w:rPr>
        <w:t xml:space="preserve"> menos gravemente traumatizado</w:t>
      </w:r>
      <w:r w:rsidRPr="00893961">
        <w:rPr>
          <w:lang w:val="pt-BR"/>
        </w:rPr>
        <w:t>s, embora 884 (31,1%) cumprissem os critérios anatômicos para o transporte para um centro de trauma.</w:t>
      </w:r>
      <w:r>
        <w:rPr>
          <w:lang w:val="pt-BR"/>
        </w:rPr>
        <w:t xml:space="preserve"> </w:t>
      </w:r>
      <w:r w:rsidRPr="00893961">
        <w:rPr>
          <w:lang w:val="pt-BR"/>
        </w:rPr>
        <w:t>Dos 4</w:t>
      </w:r>
      <w:r w:rsidR="00D53841">
        <w:rPr>
          <w:lang w:val="pt-BR"/>
        </w:rPr>
        <w:t>.934 residentes do Condado de Cook que atendiam</w:t>
      </w:r>
      <w:r w:rsidRPr="00893961">
        <w:rPr>
          <w:lang w:val="pt-BR"/>
        </w:rPr>
        <w:t xml:space="preserve"> aos critérios de triagem anatômica, aproximadamente 1 em 6 foram tratados em </w:t>
      </w:r>
      <w:r w:rsidR="00D53841">
        <w:rPr>
          <w:lang w:val="pt-BR"/>
        </w:rPr>
        <w:t>uma instituição que não é centro de trauma</w:t>
      </w:r>
      <w:r w:rsidRPr="00893961">
        <w:rPr>
          <w:lang w:val="pt-BR"/>
        </w:rPr>
        <w:t>.</w:t>
      </w:r>
      <w:r>
        <w:rPr>
          <w:lang w:val="pt-BR"/>
        </w:rPr>
        <w:t xml:space="preserve"> </w:t>
      </w:r>
      <w:r w:rsidR="00D53841">
        <w:rPr>
          <w:lang w:val="pt-BR"/>
        </w:rPr>
        <w:t>As áreas sul e oeste do C</w:t>
      </w:r>
      <w:r w:rsidRPr="00893961">
        <w:rPr>
          <w:lang w:val="pt-BR"/>
        </w:rPr>
        <w:t xml:space="preserve">ondado de Cook são as áreas com maior probabilidade de </w:t>
      </w:r>
      <w:r w:rsidR="008F1916">
        <w:rPr>
          <w:lang w:val="pt-BR"/>
        </w:rPr>
        <w:t>doente</w:t>
      </w:r>
      <w:r w:rsidRPr="00893961">
        <w:rPr>
          <w:lang w:val="pt-BR"/>
        </w:rPr>
        <w:t xml:space="preserve">s tratados em </w:t>
      </w:r>
      <w:r w:rsidR="00D53841">
        <w:rPr>
          <w:lang w:val="pt-BR"/>
        </w:rPr>
        <w:t>uma instituição que não é centro de trauma</w:t>
      </w:r>
      <w:r w:rsidRPr="00893961">
        <w:rPr>
          <w:lang w:val="pt-BR"/>
        </w:rPr>
        <w:t>.</w:t>
      </w:r>
      <w:r>
        <w:rPr>
          <w:lang w:val="pt-BR"/>
        </w:rPr>
        <w:t xml:space="preserve"> </w:t>
      </w:r>
      <w:r w:rsidRPr="00893961">
        <w:rPr>
          <w:lang w:val="pt-BR"/>
        </w:rPr>
        <w:t>Para aqueles familiarizados com a distribuição geográfica dos centros de trauma em Chicago, não havia nenhum centro de trauma na parte sul da cidade em 2009-2013, quando este artigo foi pesquisado.</w:t>
      </w:r>
      <w:r>
        <w:rPr>
          <w:lang w:val="pt-BR"/>
        </w:rPr>
        <w:t xml:space="preserve"> </w:t>
      </w:r>
      <w:r w:rsidRPr="00893961">
        <w:rPr>
          <w:lang w:val="pt-BR"/>
        </w:rPr>
        <w:t>Os autores observa</w:t>
      </w:r>
      <w:r w:rsidR="00D53841">
        <w:rPr>
          <w:lang w:val="pt-BR"/>
        </w:rPr>
        <w:t>ra</w:t>
      </w:r>
      <w:r w:rsidRPr="00893961">
        <w:rPr>
          <w:lang w:val="pt-BR"/>
        </w:rPr>
        <w:t xml:space="preserve">m que os </w:t>
      </w:r>
      <w:r w:rsidR="008F1916">
        <w:rPr>
          <w:lang w:val="pt-BR"/>
        </w:rPr>
        <w:t>doente</w:t>
      </w:r>
      <w:r w:rsidRPr="00893961">
        <w:rPr>
          <w:lang w:val="pt-BR"/>
        </w:rPr>
        <w:t xml:space="preserve">s tratados em </w:t>
      </w:r>
      <w:r w:rsidR="00D53841">
        <w:rPr>
          <w:lang w:val="pt-BR"/>
        </w:rPr>
        <w:t xml:space="preserve">instituições que não são </w:t>
      </w:r>
      <w:r w:rsidR="00D53841">
        <w:rPr>
          <w:lang w:val="pt-BR"/>
        </w:rPr>
        <w:t>centro de trauma</w:t>
      </w:r>
      <w:r w:rsidR="00D53841" w:rsidRPr="00893961">
        <w:rPr>
          <w:lang w:val="pt-BR"/>
        </w:rPr>
        <w:t xml:space="preserve"> </w:t>
      </w:r>
      <w:r w:rsidRPr="00893961">
        <w:rPr>
          <w:lang w:val="pt-BR"/>
        </w:rPr>
        <w:t xml:space="preserve">foram menos propensos a morrer do que os </w:t>
      </w:r>
      <w:r w:rsidR="008F1916">
        <w:rPr>
          <w:lang w:val="pt-BR"/>
        </w:rPr>
        <w:t>doente</w:t>
      </w:r>
      <w:r w:rsidRPr="00893961">
        <w:rPr>
          <w:lang w:val="pt-BR"/>
        </w:rPr>
        <w:t>s tratados em um centro de trauma.</w:t>
      </w:r>
      <w:r>
        <w:rPr>
          <w:lang w:val="pt-BR"/>
        </w:rPr>
        <w:t xml:space="preserve"> </w:t>
      </w:r>
      <w:r w:rsidRPr="00893961">
        <w:rPr>
          <w:lang w:val="pt-BR"/>
        </w:rPr>
        <w:t xml:space="preserve">Isso se deve aos centros de trauma </w:t>
      </w:r>
      <w:r w:rsidR="00D53841">
        <w:rPr>
          <w:lang w:val="pt-BR"/>
        </w:rPr>
        <w:t xml:space="preserve">atenderem doentes </w:t>
      </w:r>
      <w:r w:rsidRPr="00893961">
        <w:rPr>
          <w:lang w:val="pt-BR"/>
        </w:rPr>
        <w:t xml:space="preserve">muito mais gravemente </w:t>
      </w:r>
      <w:r w:rsidR="00D53841">
        <w:rPr>
          <w:lang w:val="pt-BR"/>
        </w:rPr>
        <w:t xml:space="preserve">traumatizados e com </w:t>
      </w:r>
      <w:r w:rsidRPr="00893961">
        <w:rPr>
          <w:lang w:val="pt-BR"/>
        </w:rPr>
        <w:t>maior risco de morte.</w:t>
      </w:r>
      <w:r>
        <w:rPr>
          <w:lang w:val="pt-BR"/>
        </w:rPr>
        <w:t xml:space="preserve"> </w:t>
      </w:r>
      <w:r w:rsidRPr="00893961">
        <w:rPr>
          <w:lang w:val="pt-BR"/>
        </w:rPr>
        <w:t>Uma das p</w:t>
      </w:r>
      <w:r w:rsidR="00D53841">
        <w:rPr>
          <w:lang w:val="pt-BR"/>
        </w:rPr>
        <w:t>rincipais conclusões do estudo foi</w:t>
      </w:r>
      <w:r w:rsidRPr="00893961">
        <w:rPr>
          <w:lang w:val="pt-BR"/>
        </w:rPr>
        <w:t xml:space="preserve"> que menos </w:t>
      </w:r>
      <w:r w:rsidR="008F1916">
        <w:rPr>
          <w:lang w:val="pt-BR"/>
        </w:rPr>
        <w:t>doente</w:t>
      </w:r>
      <w:r w:rsidRPr="00893961">
        <w:rPr>
          <w:lang w:val="pt-BR"/>
        </w:rPr>
        <w:t xml:space="preserve">s morreram durante as primeiras 24 horas em um centro de trauma em comparação </w:t>
      </w:r>
      <w:r w:rsidR="00D53841">
        <w:rPr>
          <w:lang w:val="pt-BR"/>
        </w:rPr>
        <w:t xml:space="preserve">a </w:t>
      </w:r>
      <w:r w:rsidR="00D53841">
        <w:rPr>
          <w:lang w:val="pt-BR"/>
        </w:rPr>
        <w:t>uma instituição que não é centro de trauma</w:t>
      </w:r>
      <w:r w:rsidRPr="00893961">
        <w:rPr>
          <w:lang w:val="pt-BR"/>
        </w:rPr>
        <w:t>.</w:t>
      </w:r>
    </w:p>
    <w:p w14:paraId="67898154" w14:textId="2C52358D" w:rsidR="00893961" w:rsidRDefault="00B80A0C">
      <w:pPr>
        <w:pStyle w:val="NoSpacing"/>
        <w:ind w:firstLine="360"/>
        <w:rPr>
          <w:lang w:val="pt-BR"/>
        </w:rPr>
      </w:pPr>
      <w:r>
        <w:rPr>
          <w:lang w:val="pt-BR"/>
        </w:rPr>
        <w:t>Ess</w:t>
      </w:r>
      <w:r w:rsidR="00FD611D" w:rsidRPr="00FD611D">
        <w:rPr>
          <w:lang w:val="pt-BR"/>
        </w:rPr>
        <w:t xml:space="preserve">e estudo teve resultados surpreendentes. Demonstrou que a </w:t>
      </w:r>
      <w:r w:rsidR="00FD611D">
        <w:rPr>
          <w:lang w:val="pt-BR"/>
        </w:rPr>
        <w:t>subtriagem</w:t>
      </w:r>
      <w:r w:rsidR="00FD611D" w:rsidRPr="00FD611D">
        <w:rPr>
          <w:lang w:val="pt-BR"/>
        </w:rPr>
        <w:t xml:space="preserve"> </w:t>
      </w:r>
      <w:r w:rsidR="00FD611D">
        <w:rPr>
          <w:lang w:val="pt-BR"/>
        </w:rPr>
        <w:t xml:space="preserve">de doentes traumatizados </w:t>
      </w:r>
      <w:r w:rsidR="00FD611D" w:rsidRPr="00FD611D">
        <w:rPr>
          <w:lang w:val="pt-BR"/>
        </w:rPr>
        <w:t>ocorre mesmo em um sistema de trauma urbano desenvolvido e importante.</w:t>
      </w:r>
      <w:r w:rsidR="00FD611D">
        <w:rPr>
          <w:lang w:val="pt-BR"/>
        </w:rPr>
        <w:t xml:space="preserve"> As r</w:t>
      </w:r>
      <w:r w:rsidR="00FD611D" w:rsidRPr="00FD611D">
        <w:rPr>
          <w:lang w:val="pt-BR"/>
        </w:rPr>
        <w:t xml:space="preserve">azões para isso são desconhecidas, mas são provavelmente devido a uma combinação de </w:t>
      </w:r>
      <w:r w:rsidR="00FD611D">
        <w:rPr>
          <w:lang w:val="pt-BR"/>
        </w:rPr>
        <w:t>erro de triagem do APH</w:t>
      </w:r>
      <w:r w:rsidR="00FD611D" w:rsidRPr="00FD611D">
        <w:rPr>
          <w:lang w:val="pt-BR"/>
        </w:rPr>
        <w:t xml:space="preserve"> e uma parcela de </w:t>
      </w:r>
      <w:r w:rsidR="008F1916">
        <w:rPr>
          <w:lang w:val="pt-BR"/>
        </w:rPr>
        <w:t>doente</w:t>
      </w:r>
      <w:r w:rsidR="00FD611D" w:rsidRPr="00FD611D">
        <w:rPr>
          <w:lang w:val="pt-BR"/>
        </w:rPr>
        <w:t xml:space="preserve">s transportados para o hospital errado por veículo privado antes </w:t>
      </w:r>
      <w:r w:rsidR="00FD611D">
        <w:rPr>
          <w:lang w:val="pt-BR"/>
        </w:rPr>
        <w:t xml:space="preserve">do serviço de APH </w:t>
      </w:r>
      <w:r>
        <w:rPr>
          <w:lang w:val="pt-BR"/>
        </w:rPr>
        <w:t xml:space="preserve">chegar </w:t>
      </w:r>
      <w:r w:rsidR="00FD611D">
        <w:rPr>
          <w:lang w:val="pt-BR"/>
        </w:rPr>
        <w:t>na cena</w:t>
      </w:r>
      <w:r w:rsidR="00FD611D" w:rsidRPr="00FD611D">
        <w:rPr>
          <w:lang w:val="pt-BR"/>
        </w:rPr>
        <w:t>.</w:t>
      </w:r>
      <w:r w:rsidR="004F0EC8">
        <w:rPr>
          <w:lang w:val="pt-BR"/>
        </w:rPr>
        <w:t xml:space="preserve"> </w:t>
      </w:r>
      <w:r w:rsidR="004F0EC8" w:rsidRPr="004F0EC8">
        <w:rPr>
          <w:lang w:val="pt-BR"/>
        </w:rPr>
        <w:t>Além disso, a distância até o centr</w:t>
      </w:r>
      <w:r>
        <w:rPr>
          <w:lang w:val="pt-BR"/>
        </w:rPr>
        <w:t>o de trauma mais próximo pode</w:t>
      </w:r>
      <w:r w:rsidR="004F0EC8" w:rsidRPr="004F0EC8">
        <w:rPr>
          <w:lang w:val="pt-BR"/>
        </w:rPr>
        <w:t xml:space="preserve"> ser um fator importante, particularmente em Chicago, onde não havia nenhum centro de trauma no lado sul da cidade na época deste estudo.</w:t>
      </w:r>
      <w:r w:rsidR="004F0EC8">
        <w:rPr>
          <w:lang w:val="pt-BR"/>
        </w:rPr>
        <w:t xml:space="preserve"> </w:t>
      </w:r>
      <w:r>
        <w:rPr>
          <w:lang w:val="pt-BR"/>
        </w:rPr>
        <w:t>O estudo demonstrou</w:t>
      </w:r>
      <w:r w:rsidR="004F0EC8" w:rsidRPr="004F0EC8">
        <w:rPr>
          <w:lang w:val="pt-BR"/>
        </w:rPr>
        <w:t xml:space="preserve"> a necessidade de melhoria contínua da qualidade e auto</w:t>
      </w:r>
      <w:r>
        <w:rPr>
          <w:lang w:val="pt-BR"/>
        </w:rPr>
        <w:t>-</w:t>
      </w:r>
      <w:r w:rsidR="004F0EC8" w:rsidRPr="004F0EC8">
        <w:rPr>
          <w:lang w:val="pt-BR"/>
        </w:rPr>
        <w:t>avaliação entre todos os sistemas de trauma.</w:t>
      </w:r>
    </w:p>
    <w:p w14:paraId="664CA101" w14:textId="24478FC1" w:rsidR="009B3AB7" w:rsidRPr="001622F9" w:rsidRDefault="009B3AB7">
      <w:pPr>
        <w:pStyle w:val="NoSpacing"/>
        <w:ind w:firstLine="360"/>
        <w:rPr>
          <w:lang w:val="pt-BR"/>
        </w:rPr>
      </w:pPr>
      <w:bookmarkStart w:id="1" w:name="_GoBack"/>
      <w:bookmarkEnd w:id="1"/>
    </w:p>
    <w:sectPr w:rsidR="009B3AB7" w:rsidRPr="001622F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527B4" w14:textId="77777777" w:rsidR="001921D4" w:rsidRDefault="001921D4">
      <w:pPr>
        <w:spacing w:after="0" w:line="240" w:lineRule="auto"/>
      </w:pPr>
      <w:r>
        <w:separator/>
      </w:r>
    </w:p>
  </w:endnote>
  <w:endnote w:type="continuationSeparator" w:id="0">
    <w:p w14:paraId="0E6B0D1D" w14:textId="77777777" w:rsidR="001921D4" w:rsidRDefault="0019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80356" w14:textId="77777777" w:rsidR="001921D4" w:rsidRDefault="001921D4">
    <w:pPr>
      <w:pStyle w:val="Footer"/>
      <w:tabs>
        <w:tab w:val="clear" w:pos="9360"/>
        <w:tab w:val="right" w:pos="9340"/>
      </w:tabs>
      <w:jc w:val="center"/>
    </w:pPr>
    <w:r>
      <w:rPr>
        <w:rStyle w:val="None"/>
        <w:b/>
        <w:bCs/>
      </w:rPr>
      <w:t>www.IPHMI.com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D8A95" w14:textId="77777777" w:rsidR="001921D4" w:rsidRDefault="001921D4">
      <w:pPr>
        <w:spacing w:after="0" w:line="240" w:lineRule="auto"/>
      </w:pPr>
      <w:r>
        <w:separator/>
      </w:r>
    </w:p>
  </w:footnote>
  <w:footnote w:type="continuationSeparator" w:id="0">
    <w:p w14:paraId="3A37842E" w14:textId="77777777" w:rsidR="001921D4" w:rsidRDefault="0019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89BB7" w14:textId="77777777" w:rsidR="001921D4" w:rsidRDefault="001921D4">
    <w:pPr>
      <w:pStyle w:val="Header"/>
      <w:tabs>
        <w:tab w:val="clear" w:pos="9360"/>
        <w:tab w:val="right" w:pos="9340"/>
      </w:tabs>
      <w:jc w:val="center"/>
    </w:pPr>
    <w:r>
      <w:rPr>
        <w:rStyle w:val="None"/>
        <w:b/>
        <w:bCs/>
        <w:i/>
        <w:iCs/>
        <w:sz w:val="36"/>
        <w:szCs w:val="36"/>
        <w:u w:val="single"/>
      </w:rPr>
      <w:t>Instituto Internacional de Medicina Pré-Hospitalar (IPHMI)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F5B"/>
    <w:multiLevelType w:val="hybridMultilevel"/>
    <w:tmpl w:val="E8AA6276"/>
    <w:numStyleLink w:val="List21"/>
  </w:abstractNum>
  <w:abstractNum w:abstractNumId="1">
    <w:nsid w:val="0A7009CD"/>
    <w:multiLevelType w:val="hybridMultilevel"/>
    <w:tmpl w:val="38AEF9FC"/>
    <w:styleLink w:val="List1"/>
    <w:lvl w:ilvl="0" w:tplc="F0BA9D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1A2A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86C1CE">
      <w:start w:val="1"/>
      <w:numFmt w:val="lowerRoman"/>
      <w:lvlText w:val="%3."/>
      <w:lvlJc w:val="left"/>
      <w:pPr>
        <w:ind w:left="216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18F05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88A5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BEB19A">
      <w:start w:val="1"/>
      <w:numFmt w:val="lowerRoman"/>
      <w:lvlText w:val="%6."/>
      <w:lvlJc w:val="left"/>
      <w:pPr>
        <w:ind w:left="43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6E2E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7EAF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8805AC">
      <w:start w:val="1"/>
      <w:numFmt w:val="lowerRoman"/>
      <w:lvlText w:val="%9."/>
      <w:lvlJc w:val="left"/>
      <w:pPr>
        <w:ind w:left="64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D993582"/>
    <w:multiLevelType w:val="hybridMultilevel"/>
    <w:tmpl w:val="E8AA6276"/>
    <w:styleLink w:val="List21"/>
    <w:lvl w:ilvl="0" w:tplc="CC9282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40CDF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6C2FF8">
      <w:start w:val="1"/>
      <w:numFmt w:val="lowerRoman"/>
      <w:lvlText w:val="%3."/>
      <w:lvlJc w:val="left"/>
      <w:pPr>
        <w:ind w:left="180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32AAF8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3EF3F8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64F632">
      <w:start w:val="1"/>
      <w:numFmt w:val="lowerRoman"/>
      <w:lvlText w:val="%6."/>
      <w:lvlJc w:val="left"/>
      <w:pPr>
        <w:ind w:left="396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542722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269A34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5A9ECC">
      <w:start w:val="1"/>
      <w:numFmt w:val="lowerRoman"/>
      <w:lvlText w:val="%9."/>
      <w:lvlJc w:val="left"/>
      <w:pPr>
        <w:ind w:left="6120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8A64259"/>
    <w:multiLevelType w:val="hybridMultilevel"/>
    <w:tmpl w:val="38AEF9FC"/>
    <w:numStyleLink w:val="List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3AB7"/>
    <w:rsid w:val="00011D5E"/>
    <w:rsid w:val="00056B41"/>
    <w:rsid w:val="000D7511"/>
    <w:rsid w:val="001622F9"/>
    <w:rsid w:val="001921D4"/>
    <w:rsid w:val="002363DB"/>
    <w:rsid w:val="002A38A6"/>
    <w:rsid w:val="002D386B"/>
    <w:rsid w:val="00303B92"/>
    <w:rsid w:val="003323B9"/>
    <w:rsid w:val="003874C1"/>
    <w:rsid w:val="003A56EC"/>
    <w:rsid w:val="003B655C"/>
    <w:rsid w:val="003E046A"/>
    <w:rsid w:val="004354AE"/>
    <w:rsid w:val="004552BB"/>
    <w:rsid w:val="00476503"/>
    <w:rsid w:val="004D2717"/>
    <w:rsid w:val="004E1F91"/>
    <w:rsid w:val="004F0EC8"/>
    <w:rsid w:val="004F31C1"/>
    <w:rsid w:val="00525889"/>
    <w:rsid w:val="00566188"/>
    <w:rsid w:val="00570E5D"/>
    <w:rsid w:val="005D114C"/>
    <w:rsid w:val="005E59B9"/>
    <w:rsid w:val="00602BA3"/>
    <w:rsid w:val="006119E4"/>
    <w:rsid w:val="00637D50"/>
    <w:rsid w:val="00666CD5"/>
    <w:rsid w:val="006A4933"/>
    <w:rsid w:val="006C7C92"/>
    <w:rsid w:val="006D63EA"/>
    <w:rsid w:val="00730156"/>
    <w:rsid w:val="00742074"/>
    <w:rsid w:val="007662F8"/>
    <w:rsid w:val="007879E0"/>
    <w:rsid w:val="007B53B2"/>
    <w:rsid w:val="007C26C1"/>
    <w:rsid w:val="00817416"/>
    <w:rsid w:val="008272BE"/>
    <w:rsid w:val="00830CBD"/>
    <w:rsid w:val="00853567"/>
    <w:rsid w:val="00872D61"/>
    <w:rsid w:val="00893961"/>
    <w:rsid w:val="008D1226"/>
    <w:rsid w:val="008D7168"/>
    <w:rsid w:val="008F1916"/>
    <w:rsid w:val="00923E2D"/>
    <w:rsid w:val="00943D05"/>
    <w:rsid w:val="00971FE3"/>
    <w:rsid w:val="00990C7B"/>
    <w:rsid w:val="009B3AB7"/>
    <w:rsid w:val="00A32AEB"/>
    <w:rsid w:val="00A51D8E"/>
    <w:rsid w:val="00A81DEB"/>
    <w:rsid w:val="00AB7B2F"/>
    <w:rsid w:val="00AD3409"/>
    <w:rsid w:val="00B80A0C"/>
    <w:rsid w:val="00B971BD"/>
    <w:rsid w:val="00BF6410"/>
    <w:rsid w:val="00C0705B"/>
    <w:rsid w:val="00CA134C"/>
    <w:rsid w:val="00CA5900"/>
    <w:rsid w:val="00D1729A"/>
    <w:rsid w:val="00D2281D"/>
    <w:rsid w:val="00D53841"/>
    <w:rsid w:val="00D81E96"/>
    <w:rsid w:val="00DC12C1"/>
    <w:rsid w:val="00E46892"/>
    <w:rsid w:val="00EA24C0"/>
    <w:rsid w:val="00EC1B59"/>
    <w:rsid w:val="00ED399D"/>
    <w:rsid w:val="00F30A0B"/>
    <w:rsid w:val="00FA715D"/>
    <w:rsid w:val="00FC5EC2"/>
    <w:rsid w:val="00FD4B56"/>
    <w:rsid w:val="00FD611D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790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eastAsia="Times New Roman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2"/>
      <w:szCs w:val="22"/>
    </w:rPr>
  </w:style>
  <w:style w:type="character" w:customStyle="1" w:styleId="None">
    <w:name w:val="None"/>
    <w:rPr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2"/>
      <w:szCs w:val="22"/>
    </w:rPr>
  </w:style>
  <w:style w:type="paragraph" w:styleId="ListParagraph">
    <w:name w:val="List Paragraph"/>
    <w:pPr>
      <w:spacing w:after="200" w:line="276" w:lineRule="auto"/>
      <w:ind w:left="720"/>
    </w:pPr>
    <w:rPr>
      <w:rFonts w:cs="Arial Unicode MS"/>
      <w:color w:val="000000"/>
      <w:sz w:val="22"/>
      <w:szCs w:val="22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List21">
    <w:name w:val="List 21"/>
    <w:pPr>
      <w:numPr>
        <w:numId w:val="3"/>
      </w:numPr>
    </w:pPr>
  </w:style>
  <w:style w:type="paragraph" w:customStyle="1" w:styleId="FreeForm">
    <w:name w:val="Free Form"/>
    <w:rPr>
      <w:rFonts w:eastAsia="Times New Roman"/>
      <w:color w:val="000000"/>
    </w:rPr>
  </w:style>
  <w:style w:type="paragraph" w:styleId="NoSpacing">
    <w:name w:val="No Spacing"/>
    <w:rPr>
      <w:rFonts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B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59"/>
    <w:rPr>
      <w:rFonts w:ascii="Lucida Grande" w:eastAsia="Times New Roman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eastAsia="Times New Roman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2"/>
      <w:szCs w:val="22"/>
    </w:rPr>
  </w:style>
  <w:style w:type="character" w:customStyle="1" w:styleId="None">
    <w:name w:val="None"/>
    <w:rPr>
      <w:lang w:val="en-US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2"/>
      <w:szCs w:val="22"/>
    </w:rPr>
  </w:style>
  <w:style w:type="paragraph" w:styleId="ListParagraph">
    <w:name w:val="List Paragraph"/>
    <w:pPr>
      <w:spacing w:after="200" w:line="276" w:lineRule="auto"/>
      <w:ind w:left="720"/>
    </w:pPr>
    <w:rPr>
      <w:rFonts w:cs="Arial Unicode MS"/>
      <w:color w:val="000000"/>
      <w:sz w:val="22"/>
      <w:szCs w:val="22"/>
    </w:rPr>
  </w:style>
  <w:style w:type="numbering" w:customStyle="1" w:styleId="List1">
    <w:name w:val="List 1"/>
    <w:pPr>
      <w:numPr>
        <w:numId w:val="1"/>
      </w:numPr>
    </w:pPr>
  </w:style>
  <w:style w:type="numbering" w:customStyle="1" w:styleId="List21">
    <w:name w:val="List 21"/>
    <w:pPr>
      <w:numPr>
        <w:numId w:val="3"/>
      </w:numPr>
    </w:pPr>
  </w:style>
  <w:style w:type="paragraph" w:customStyle="1" w:styleId="FreeForm">
    <w:name w:val="Free Form"/>
    <w:rPr>
      <w:rFonts w:eastAsia="Times New Roman"/>
      <w:color w:val="000000"/>
    </w:rPr>
  </w:style>
  <w:style w:type="paragraph" w:styleId="NoSpacing">
    <w:name w:val="No Spacing"/>
    <w:rPr>
      <w:rFonts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B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59"/>
    <w:rPr>
      <w:rFonts w:ascii="Lucida Grande" w:eastAsia="Times New Roman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2462</Words>
  <Characters>14038</Characters>
  <Application>Microsoft Macintosh Word</Application>
  <DocSecurity>0</DocSecurity>
  <Lines>116</Lines>
  <Paragraphs>32</Paragraphs>
  <ScaleCrop>false</ScaleCrop>
  <Company/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Cristiane Domingues</cp:lastModifiedBy>
  <cp:revision>68</cp:revision>
  <dcterms:created xsi:type="dcterms:W3CDTF">2019-01-21T21:56:00Z</dcterms:created>
  <dcterms:modified xsi:type="dcterms:W3CDTF">2019-01-25T11:50:00Z</dcterms:modified>
</cp:coreProperties>
</file>