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210AB" w14:textId="4CC73054" w:rsidR="001A632D" w:rsidRDefault="001A632D" w:rsidP="00D27263">
      <w:pPr>
        <w:rPr>
          <w:sz w:val="40"/>
        </w:rPr>
      </w:pPr>
      <w:r>
        <w:rPr>
          <w:b/>
          <w:noProof/>
        </w:rPr>
        <w:drawing>
          <wp:anchor distT="0" distB="0" distL="114300" distR="114300" simplePos="0" relativeHeight="251659264" behindDoc="1" locked="0" layoutInCell="1" allowOverlap="1" wp14:anchorId="5039F7EB" wp14:editId="1095D352">
            <wp:simplePos x="0" y="0"/>
            <wp:positionH relativeFrom="margin">
              <wp:align>right</wp:align>
            </wp:positionH>
            <wp:positionV relativeFrom="paragraph">
              <wp:posOffset>91440</wp:posOffset>
            </wp:positionV>
            <wp:extent cx="1185545" cy="744220"/>
            <wp:effectExtent l="38100" t="38100" r="33655" b="36830"/>
            <wp:wrapTight wrapText="bothSides">
              <wp:wrapPolygon edited="0">
                <wp:start x="-694" y="-1106"/>
                <wp:lineTo x="-694" y="22116"/>
                <wp:lineTo x="21866" y="22116"/>
                <wp:lineTo x="21866" y="-1106"/>
                <wp:lineTo x="-694" y="-1106"/>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rnlCoversS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5545" cy="744220"/>
                    </a:xfrm>
                    <a:prstGeom prst="rect">
                      <a:avLst/>
                    </a:prstGeom>
                    <a:ln w="25400">
                      <a:solidFill>
                        <a:schemeClr val="tx1"/>
                      </a:solidFill>
                    </a:ln>
                  </pic:spPr>
                </pic:pic>
              </a:graphicData>
            </a:graphic>
            <wp14:sizeRelH relativeFrom="margin">
              <wp14:pctWidth>0</wp14:pctWidth>
            </wp14:sizeRelH>
            <wp14:sizeRelV relativeFrom="margin">
              <wp14:pctHeight>0</wp14:pctHeight>
            </wp14:sizeRelV>
          </wp:anchor>
        </w:drawing>
      </w:r>
      <w:r w:rsidR="00C627AA">
        <w:rPr>
          <w:b/>
          <w:noProof/>
        </w:rPr>
        <w:drawing>
          <wp:inline distT="0" distB="0" distL="0" distR="0" wp14:anchorId="7DAEC0B0" wp14:editId="3423138E">
            <wp:extent cx="956945" cy="9569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6945" cy="956945"/>
                    </a:xfrm>
                    <a:prstGeom prst="rect">
                      <a:avLst/>
                    </a:prstGeom>
                    <a:noFill/>
                  </pic:spPr>
                </pic:pic>
              </a:graphicData>
            </a:graphic>
          </wp:inline>
        </w:drawing>
      </w:r>
      <w:r w:rsidR="00D27263">
        <w:rPr>
          <w:b/>
        </w:rPr>
        <w:t xml:space="preserve">     </w:t>
      </w:r>
      <w:r>
        <w:rPr>
          <w:sz w:val="40"/>
        </w:rPr>
        <w:t>Revisión</w:t>
      </w:r>
      <w:r w:rsidR="00D27263">
        <w:rPr>
          <w:sz w:val="40"/>
        </w:rPr>
        <w:t xml:space="preserve"> de la Literatura IPHMI</w:t>
      </w:r>
    </w:p>
    <w:p w14:paraId="26CE7074" w14:textId="113581F4" w:rsidR="00D27263" w:rsidRDefault="00D27263" w:rsidP="00D27263">
      <w:pPr>
        <w:rPr>
          <w:sz w:val="48"/>
        </w:rPr>
      </w:pPr>
      <w:r>
        <w:rPr>
          <w:sz w:val="40"/>
        </w:rPr>
        <w:t xml:space="preserve"> </w:t>
      </w:r>
    </w:p>
    <w:p w14:paraId="58BCD5BA" w14:textId="2AF7040E" w:rsidR="00D27263" w:rsidRPr="00323738" w:rsidRDefault="00D27263" w:rsidP="00D27263">
      <w:pPr>
        <w:jc w:val="center"/>
        <w:rPr>
          <w:sz w:val="28"/>
          <w:szCs w:val="28"/>
        </w:rPr>
      </w:pPr>
      <w:r>
        <w:rPr>
          <w:sz w:val="28"/>
          <w:szCs w:val="28"/>
        </w:rPr>
        <w:t>Manteniéndote al día con la literatura y los estudios actuales sobre EMS</w:t>
      </w:r>
    </w:p>
    <w:p w14:paraId="5F601443" w14:textId="642EA760" w:rsidR="00D27263" w:rsidRDefault="00332A7D" w:rsidP="00332A7D">
      <w:pPr>
        <w:ind w:left="2160" w:firstLine="720"/>
        <w:rPr>
          <w:sz w:val="40"/>
          <w:szCs w:val="40"/>
        </w:rPr>
      </w:pPr>
      <w:r>
        <w:rPr>
          <w:sz w:val="40"/>
          <w:szCs w:val="40"/>
        </w:rPr>
        <w:t xml:space="preserve">    Vol. 8.4</w:t>
      </w:r>
    </w:p>
    <w:p w14:paraId="0DE2D581" w14:textId="77777777" w:rsidR="00692F42" w:rsidRPr="00CD6CCC" w:rsidRDefault="00692F42" w:rsidP="00CD6CCC">
      <w:pPr>
        <w:ind w:firstLine="0"/>
        <w:rPr>
          <w:rFonts w:cstheme="minorHAnsi"/>
        </w:rPr>
      </w:pPr>
      <w:bookmarkStart w:id="0" w:name="_Hlk94267765"/>
      <w:bookmarkStart w:id="1" w:name="_Hlk99358131"/>
      <w:bookmarkStart w:id="2" w:name="_Hlk91327920"/>
    </w:p>
    <w:p w14:paraId="5D20060C" w14:textId="3DA026E3" w:rsidR="007B4CDB" w:rsidRPr="00A834E7" w:rsidRDefault="00A834E7" w:rsidP="00A834E7">
      <w:pPr>
        <w:pStyle w:val="Prrafodelista"/>
        <w:numPr>
          <w:ilvl w:val="0"/>
          <w:numId w:val="33"/>
        </w:numPr>
        <w:autoSpaceDE w:val="0"/>
        <w:autoSpaceDN w:val="0"/>
        <w:adjustRightInd w:val="0"/>
        <w:spacing w:before="100" w:beforeAutospacing="1" w:after="100" w:afterAutospacing="1"/>
        <w:rPr>
          <w:rFonts w:cstheme="minorHAnsi"/>
        </w:rPr>
      </w:pPr>
      <w:bookmarkStart w:id="3" w:name="_Hlk203820223"/>
      <w:bookmarkStart w:id="4" w:name="_Hlk186199917"/>
      <w:bookmarkStart w:id="5" w:name="_Hlk203820021"/>
      <w:bookmarkStart w:id="6" w:name="_Hlk104805474"/>
      <w:bookmarkStart w:id="7" w:name="_Hlk109814945"/>
      <w:bookmarkStart w:id="8" w:name="_Hlk91665549"/>
      <w:bookmarkStart w:id="9" w:name="_Hlk101786252"/>
      <w:bookmarkEnd w:id="0"/>
      <w:bookmarkEnd w:id="1"/>
      <w:bookmarkEnd w:id="2"/>
      <w:r w:rsidRPr="00A834E7">
        <w:rPr>
          <w:rFonts w:cstheme="minorHAnsi"/>
          <w:b/>
          <w:bCs/>
        </w:rPr>
        <w:t xml:space="preserve">Evaluación del rendimiento de las Guías de Triaje de Campo actualizadas de 2021 con la métrica de Intervención en Trauma (NFTI).  </w:t>
      </w:r>
      <w:r w:rsidRPr="00A834E7">
        <w:rPr>
          <w:rFonts w:cstheme="minorHAnsi"/>
        </w:rPr>
        <w:t xml:space="preserve">Johnston TF, Filiberto DM, </w:t>
      </w:r>
      <w:proofErr w:type="spellStart"/>
      <w:r w:rsidRPr="00A834E7">
        <w:rPr>
          <w:rFonts w:cstheme="minorHAnsi"/>
        </w:rPr>
        <w:t>DePhillips</w:t>
      </w:r>
      <w:proofErr w:type="spellEnd"/>
      <w:r w:rsidRPr="00A834E7">
        <w:rPr>
          <w:rFonts w:cstheme="minorHAnsi"/>
        </w:rPr>
        <w:t xml:space="preserve"> PB, entre otros.  Am J </w:t>
      </w:r>
      <w:proofErr w:type="spellStart"/>
      <w:r w:rsidRPr="00A834E7">
        <w:rPr>
          <w:rFonts w:cstheme="minorHAnsi"/>
        </w:rPr>
        <w:t>Surg</w:t>
      </w:r>
      <w:proofErr w:type="spellEnd"/>
      <w:r w:rsidRPr="00A834E7">
        <w:rPr>
          <w:rFonts w:cstheme="minorHAnsi"/>
        </w:rPr>
        <w:t>. 2026:252:116729</w:t>
      </w:r>
    </w:p>
    <w:p w14:paraId="5C296754" w14:textId="74739A94" w:rsidR="004E7694" w:rsidRPr="00A834E7" w:rsidRDefault="00A834E7" w:rsidP="00A834E7">
      <w:pPr>
        <w:pStyle w:val="Prrafodelista"/>
        <w:numPr>
          <w:ilvl w:val="0"/>
          <w:numId w:val="37"/>
        </w:numPr>
        <w:autoSpaceDE w:val="0"/>
        <w:autoSpaceDN w:val="0"/>
        <w:adjustRightInd w:val="0"/>
        <w:spacing w:before="100" w:beforeAutospacing="1" w:after="100" w:afterAutospacing="1"/>
        <w:rPr>
          <w:rFonts w:eastAsia="Times New Roman" w:cstheme="minorHAnsi"/>
          <w:bCs/>
        </w:rPr>
      </w:pPr>
      <w:bookmarkStart w:id="10" w:name="_Hlk217123144"/>
      <w:bookmarkStart w:id="11" w:name="_Hlk188787144"/>
      <w:bookmarkStart w:id="12" w:name="_Hlk203820641"/>
      <w:bookmarkStart w:id="13" w:name="_Hlk209350553"/>
      <w:bookmarkEnd w:id="3"/>
      <w:bookmarkEnd w:id="4"/>
      <w:bookmarkEnd w:id="5"/>
      <w:r w:rsidRPr="00A834E7">
        <w:rPr>
          <w:rFonts w:cstheme="minorHAnsi"/>
          <w:b/>
        </w:rPr>
        <w:t xml:space="preserve">Resultados clínicos comparativos del transporte de trauma: servicios médicos de emergencia frente a transporte policial, revisión sistemática y metaanálisis.  </w:t>
      </w:r>
      <w:proofErr w:type="spellStart"/>
      <w:r w:rsidRPr="00A834E7">
        <w:rPr>
          <w:rFonts w:cstheme="minorHAnsi"/>
          <w:bCs/>
        </w:rPr>
        <w:t>Shapovalov</w:t>
      </w:r>
      <w:proofErr w:type="spellEnd"/>
      <w:r w:rsidRPr="00A834E7">
        <w:rPr>
          <w:rFonts w:cstheme="minorHAnsi"/>
          <w:bCs/>
        </w:rPr>
        <w:t xml:space="preserve"> V, Tran QK, </w:t>
      </w:r>
      <w:proofErr w:type="spellStart"/>
      <w:r w:rsidRPr="00A834E7">
        <w:rPr>
          <w:rFonts w:cstheme="minorHAnsi"/>
          <w:bCs/>
        </w:rPr>
        <w:t>Sarani</w:t>
      </w:r>
      <w:proofErr w:type="spellEnd"/>
      <w:r w:rsidRPr="00A834E7">
        <w:rPr>
          <w:rFonts w:cstheme="minorHAnsi"/>
          <w:bCs/>
        </w:rPr>
        <w:t xml:space="preserve"> B, MD, et al.   J </w:t>
      </w:r>
      <w:proofErr w:type="spellStart"/>
      <w:r w:rsidRPr="00A834E7">
        <w:rPr>
          <w:rFonts w:cstheme="minorHAnsi"/>
          <w:bCs/>
        </w:rPr>
        <w:t>Emerg</w:t>
      </w:r>
      <w:proofErr w:type="spellEnd"/>
      <w:r w:rsidRPr="00A834E7">
        <w:rPr>
          <w:rFonts w:cstheme="minorHAnsi"/>
          <w:bCs/>
        </w:rPr>
        <w:t xml:space="preserve"> </w:t>
      </w:r>
      <w:proofErr w:type="spellStart"/>
      <w:r w:rsidRPr="00A834E7">
        <w:rPr>
          <w:rFonts w:cstheme="minorHAnsi"/>
          <w:bCs/>
        </w:rPr>
        <w:t>Med</w:t>
      </w:r>
      <w:proofErr w:type="spellEnd"/>
      <w:r w:rsidRPr="00A834E7">
        <w:rPr>
          <w:rFonts w:cstheme="minorHAnsi"/>
          <w:bCs/>
        </w:rPr>
        <w:t xml:space="preserve"> 2026; 80:8–19</w:t>
      </w:r>
    </w:p>
    <w:p w14:paraId="743584CA" w14:textId="31AADECF" w:rsidR="00717345" w:rsidRPr="00717345" w:rsidRDefault="00717345" w:rsidP="00717345">
      <w:pPr>
        <w:pStyle w:val="Prrafodelista"/>
        <w:numPr>
          <w:ilvl w:val="0"/>
          <w:numId w:val="37"/>
        </w:numPr>
        <w:autoSpaceDE w:val="0"/>
        <w:autoSpaceDN w:val="0"/>
        <w:adjustRightInd w:val="0"/>
        <w:spacing w:before="100" w:beforeAutospacing="1" w:after="100" w:afterAutospacing="1"/>
        <w:rPr>
          <w:rFonts w:eastAsia="Times New Roman" w:cstheme="minorHAnsi"/>
        </w:rPr>
      </w:pPr>
      <w:bookmarkStart w:id="14" w:name="_Hlk220156538"/>
      <w:bookmarkStart w:id="15" w:name="_Hlk217123478"/>
      <w:bookmarkEnd w:id="10"/>
      <w:r w:rsidRPr="00717345">
        <w:rPr>
          <w:rFonts w:eastAsia="Times New Roman" w:cstheme="minorHAnsi"/>
          <w:b/>
          <w:bCs/>
        </w:rPr>
        <w:t xml:space="preserve">Impacto del intervalo de tiempo en el lugar en la supervivencia en un paro cardíaco traumático fuera del hospital.  </w:t>
      </w:r>
      <w:r w:rsidRPr="00717345">
        <w:rPr>
          <w:rFonts w:eastAsia="Times New Roman" w:cstheme="minorHAnsi"/>
        </w:rPr>
        <w:t>Choi Y</w:t>
      </w:r>
    </w:p>
    <w:p w14:paraId="507684CD" w14:textId="6A6AC9BD" w:rsidR="00CE5A35" w:rsidRPr="00717345" w:rsidRDefault="00717345" w:rsidP="00717345">
      <w:pPr>
        <w:pStyle w:val="Prrafodelista"/>
        <w:autoSpaceDE w:val="0"/>
        <w:autoSpaceDN w:val="0"/>
        <w:adjustRightInd w:val="0"/>
        <w:spacing w:before="100" w:beforeAutospacing="1" w:after="100" w:afterAutospacing="1"/>
        <w:ind w:left="360" w:firstLine="0"/>
        <w:rPr>
          <w:rFonts w:eastAsia="Times New Roman" w:cstheme="minorHAnsi"/>
        </w:rPr>
      </w:pPr>
      <w:r w:rsidRPr="00717345">
        <w:rPr>
          <w:rFonts w:eastAsia="Times New Roman" w:cstheme="minorHAnsi"/>
        </w:rPr>
        <w:t>Herida. enero de 2026; 57(1):112821</w:t>
      </w:r>
    </w:p>
    <w:p w14:paraId="37DB2B69" w14:textId="27717339" w:rsidR="00BC4278" w:rsidRPr="00DF0E6D" w:rsidRDefault="00DF0E6D" w:rsidP="00DF0E6D">
      <w:pPr>
        <w:pStyle w:val="Prrafodelista"/>
        <w:numPr>
          <w:ilvl w:val="0"/>
          <w:numId w:val="37"/>
        </w:numPr>
        <w:autoSpaceDE w:val="0"/>
        <w:autoSpaceDN w:val="0"/>
        <w:adjustRightInd w:val="0"/>
        <w:spacing w:before="100" w:beforeAutospacing="1" w:after="100" w:afterAutospacing="1"/>
        <w:rPr>
          <w:rFonts w:eastAsia="Times New Roman" w:cstheme="minorHAnsi"/>
        </w:rPr>
      </w:pPr>
      <w:bookmarkStart w:id="16" w:name="_Hlk217124342"/>
      <w:bookmarkEnd w:id="14"/>
      <w:r w:rsidRPr="00DF0E6D">
        <w:rPr>
          <w:rFonts w:eastAsia="Times New Roman" w:cstheme="minorHAnsi"/>
          <w:b/>
          <w:bCs/>
        </w:rPr>
        <w:t xml:space="preserve">Evaluación de la tasa de éxito de los intentos de acceso intraóseo distal del fémur en pacientes pediátricos en el entorno prehospitalario: un análisis retrospectivo.  </w:t>
      </w:r>
      <w:proofErr w:type="spellStart"/>
      <w:r w:rsidRPr="00DF0E6D">
        <w:rPr>
          <w:rFonts w:eastAsia="Times New Roman" w:cstheme="minorHAnsi"/>
        </w:rPr>
        <w:t>Zitek</w:t>
      </w:r>
      <w:proofErr w:type="spellEnd"/>
      <w:r w:rsidRPr="00DF0E6D">
        <w:rPr>
          <w:rFonts w:eastAsia="Times New Roman" w:cstheme="minorHAnsi"/>
        </w:rPr>
        <w:t xml:space="preserve"> T, </w:t>
      </w:r>
      <w:proofErr w:type="spellStart"/>
      <w:r w:rsidRPr="00DF0E6D">
        <w:rPr>
          <w:rFonts w:eastAsia="Times New Roman" w:cstheme="minorHAnsi"/>
        </w:rPr>
        <w:t>Antevy</w:t>
      </w:r>
      <w:proofErr w:type="spellEnd"/>
      <w:r w:rsidRPr="00DF0E6D">
        <w:rPr>
          <w:rFonts w:eastAsia="Times New Roman" w:cstheme="minorHAnsi"/>
        </w:rPr>
        <w:t xml:space="preserve"> P, Garay S, et al. ATENCIÓN DE URGENCIAS PREHOSPITALARIAS 2025; 29:776–781</w:t>
      </w:r>
    </w:p>
    <w:bookmarkEnd w:id="6"/>
    <w:bookmarkEnd w:id="7"/>
    <w:bookmarkEnd w:id="8"/>
    <w:bookmarkEnd w:id="9"/>
    <w:bookmarkEnd w:id="11"/>
    <w:bookmarkEnd w:id="12"/>
    <w:bookmarkEnd w:id="13"/>
    <w:bookmarkEnd w:id="15"/>
    <w:bookmarkEnd w:id="16"/>
    <w:p w14:paraId="0A76811E" w14:textId="77777777" w:rsidR="00BD0399" w:rsidRPr="00415CB4" w:rsidRDefault="00BD0399" w:rsidP="00BD0399">
      <w:pPr>
        <w:pStyle w:val="Prrafodelista"/>
        <w:ind w:left="360" w:firstLine="0"/>
        <w:rPr>
          <w:rFonts w:cstheme="minorHAnsi"/>
          <w:bCs/>
        </w:rPr>
      </w:pPr>
    </w:p>
    <w:p w14:paraId="6EB703A7" w14:textId="3C7F97AD" w:rsidR="004E7694" w:rsidRDefault="00A834E7" w:rsidP="00A834E7">
      <w:pPr>
        <w:pStyle w:val="Prrafodelista"/>
        <w:numPr>
          <w:ilvl w:val="0"/>
          <w:numId w:val="42"/>
        </w:numPr>
        <w:rPr>
          <w:rFonts w:cstheme="minorHAnsi"/>
        </w:rPr>
      </w:pPr>
      <w:r w:rsidRPr="00A834E7">
        <w:rPr>
          <w:rFonts w:cstheme="minorHAnsi"/>
          <w:b/>
          <w:bCs/>
        </w:rPr>
        <w:t>Evaluación del rendimiento de las Guías de Triaje de Campo actualizadas de 2021 con la métrica de Intervención en Trauma (NFTI</w:t>
      </w:r>
      <w:r w:rsidRPr="00A834E7">
        <w:rPr>
          <w:rFonts w:cstheme="minorHAnsi"/>
        </w:rPr>
        <w:t xml:space="preserve">).  Johnston TF, Filiberto DM, </w:t>
      </w:r>
      <w:proofErr w:type="spellStart"/>
      <w:r w:rsidRPr="00A834E7">
        <w:rPr>
          <w:rFonts w:cstheme="minorHAnsi"/>
        </w:rPr>
        <w:t>DePhillips</w:t>
      </w:r>
      <w:proofErr w:type="spellEnd"/>
      <w:r w:rsidRPr="00A834E7">
        <w:rPr>
          <w:rFonts w:cstheme="minorHAnsi"/>
        </w:rPr>
        <w:t xml:space="preserve"> PB, entre otros.  Am J </w:t>
      </w:r>
      <w:proofErr w:type="spellStart"/>
      <w:r w:rsidRPr="00A834E7">
        <w:rPr>
          <w:rFonts w:cstheme="minorHAnsi"/>
        </w:rPr>
        <w:t>Surg</w:t>
      </w:r>
      <w:proofErr w:type="spellEnd"/>
      <w:r w:rsidRPr="00A834E7">
        <w:rPr>
          <w:rFonts w:cstheme="minorHAnsi"/>
        </w:rPr>
        <w:t>. 2026:252:116729</w:t>
      </w:r>
    </w:p>
    <w:p w14:paraId="50215F4B" w14:textId="77777777" w:rsidR="00A834E7" w:rsidRPr="00A834E7" w:rsidRDefault="00A834E7" w:rsidP="00A834E7">
      <w:pPr>
        <w:pStyle w:val="Prrafodelista"/>
        <w:ind w:left="360" w:firstLine="0"/>
        <w:rPr>
          <w:rFonts w:cstheme="minorHAnsi"/>
        </w:rPr>
      </w:pPr>
    </w:p>
    <w:p w14:paraId="4FB26FC3" w14:textId="77777777" w:rsidR="00A834E7" w:rsidRPr="00A834E7" w:rsidRDefault="00A834E7" w:rsidP="00A834E7">
      <w:pPr>
        <w:rPr>
          <w:rFonts w:ascii="Calibri" w:hAnsi="Calibri" w:cs="Calibri"/>
        </w:rPr>
      </w:pPr>
      <w:r w:rsidRPr="00A834E7">
        <w:rPr>
          <w:rFonts w:ascii="Calibri" w:hAnsi="Calibri" w:cs="Calibri"/>
        </w:rPr>
        <w:t xml:space="preserve">Los proveedores prehospitalarios utilizan un algoritmo escalonado para determinar qué pacientes con trauma deben ser trasladados preferentemente a un centro de trauma. Se ha demostrado un beneficio de supervivencia para pacientes trasladados a un centro de trauma de Nivel 1, especialmente para los más gravemente lesionados, así como para aquellos con lesión cerebral traumática (TBI), lesiones penetrantes e inestabilidad hemodinámica. Desde 1987, el Comité de Trauma del American </w:t>
      </w:r>
      <w:proofErr w:type="spellStart"/>
      <w:r w:rsidRPr="00A834E7">
        <w:rPr>
          <w:rFonts w:ascii="Calibri" w:hAnsi="Calibri" w:cs="Calibri"/>
        </w:rPr>
        <w:t>College</w:t>
      </w:r>
      <w:proofErr w:type="spellEnd"/>
      <w:r w:rsidRPr="00A834E7">
        <w:rPr>
          <w:rFonts w:ascii="Calibri" w:hAnsi="Calibri" w:cs="Calibri"/>
        </w:rPr>
        <w:t xml:space="preserve"> of </w:t>
      </w:r>
      <w:proofErr w:type="spellStart"/>
      <w:r w:rsidRPr="00A834E7">
        <w:rPr>
          <w:rFonts w:ascii="Calibri" w:hAnsi="Calibri" w:cs="Calibri"/>
        </w:rPr>
        <w:t>Surgeons</w:t>
      </w:r>
      <w:proofErr w:type="spellEnd"/>
      <w:r w:rsidRPr="00A834E7">
        <w:rPr>
          <w:rFonts w:ascii="Calibri" w:hAnsi="Calibri" w:cs="Calibri"/>
        </w:rPr>
        <w:t xml:space="preserve"> (ASC-COT) ha definido y refinado criterios de triaje de campo para guiar las decisiones de triaje de trauma prehospitalario. La última versión de las Directrices de Triaje de Campo (FTG) se publicó en 2021. </w:t>
      </w:r>
    </w:p>
    <w:p w14:paraId="0B766708" w14:textId="5ED8AB3B" w:rsidR="00A834E7" w:rsidRPr="00A834E7" w:rsidRDefault="00A834E7" w:rsidP="00A834E7">
      <w:pPr>
        <w:rPr>
          <w:rFonts w:ascii="Calibri" w:hAnsi="Calibri" w:cs="Calibri"/>
        </w:rPr>
      </w:pPr>
      <w:r w:rsidRPr="00A834E7">
        <w:rPr>
          <w:rFonts w:ascii="Calibri" w:hAnsi="Calibri" w:cs="Calibri"/>
        </w:rPr>
        <w:t>Tanto el triaje por encima como por debajo ocurre si el triaje preciso falla. El exceso de triaje se refiere al traslado de pacientes a un centro de traumatología que no requieren ese nivel de atención. El exceso de triaje puede sobrecargar el sistema y desperdiciar recursos. La sub-triage se refiere al fracaso en transportar a un paciente a un centro de trauma que cumple los criterios para el traslado de un centro de trauma. La subclasificación pone en riesgo la vida del paciente, ya que no está en el hospital adecuado para recibir el nivel de atención necesario. El ACS-COT ha designado la tasa aceptable de sobre</w:t>
      </w:r>
      <w:r w:rsidR="001A632D">
        <w:rPr>
          <w:rFonts w:ascii="Calibri" w:hAnsi="Calibri" w:cs="Calibri"/>
        </w:rPr>
        <w:t xml:space="preserve"> </w:t>
      </w:r>
      <w:r w:rsidRPr="00A834E7">
        <w:rPr>
          <w:rFonts w:ascii="Calibri" w:hAnsi="Calibri" w:cs="Calibri"/>
        </w:rPr>
        <w:t xml:space="preserve">triaje como ≤ 35% y por debajo del triaje ≤ 5%. </w:t>
      </w:r>
    </w:p>
    <w:p w14:paraId="585B538E" w14:textId="32502140" w:rsidR="00A834E7" w:rsidRPr="00A834E7" w:rsidRDefault="00A834E7" w:rsidP="00A834E7">
      <w:pPr>
        <w:rPr>
          <w:rFonts w:ascii="Calibri" w:hAnsi="Calibri" w:cs="Calibri"/>
        </w:rPr>
      </w:pPr>
      <w:r w:rsidRPr="00A834E7">
        <w:rPr>
          <w:rFonts w:ascii="Calibri" w:hAnsi="Calibri" w:cs="Calibri"/>
        </w:rPr>
        <w:t xml:space="preserve">Los FTG de 2021 utilizan Criterios Rojos para identificar a los pacientes que deben ser trasladados a un centro de trauma de Nivel 1, si están disponibles en el sistema, y Criterios Amarillos para quienes </w:t>
      </w:r>
      <w:r w:rsidRPr="00A834E7">
        <w:rPr>
          <w:rFonts w:ascii="Calibri" w:hAnsi="Calibri" w:cs="Calibri"/>
        </w:rPr>
        <w:lastRenderedPageBreak/>
        <w:t xml:space="preserve">requieren cualquier nivel de centro de trauma. Los Criterios Rojos son los criterios anatómicos y fisiológicos, mientras que los Criterios Amarillos utilizan el mecanismo de lesión y el juicio del proveedor de EMS. La herramienta </w:t>
      </w:r>
      <w:proofErr w:type="spellStart"/>
      <w:r w:rsidRPr="00A834E7">
        <w:rPr>
          <w:rFonts w:ascii="Calibri" w:hAnsi="Calibri" w:cs="Calibri"/>
        </w:rPr>
        <w:t>Need</w:t>
      </w:r>
      <w:proofErr w:type="spellEnd"/>
      <w:r w:rsidRPr="00A834E7">
        <w:rPr>
          <w:rFonts w:ascii="Calibri" w:hAnsi="Calibri" w:cs="Calibri"/>
        </w:rPr>
        <w:t xml:space="preserve"> </w:t>
      </w:r>
      <w:proofErr w:type="spellStart"/>
      <w:r w:rsidRPr="00A834E7">
        <w:rPr>
          <w:rFonts w:ascii="Calibri" w:hAnsi="Calibri" w:cs="Calibri"/>
        </w:rPr>
        <w:t>for</w:t>
      </w:r>
      <w:proofErr w:type="spellEnd"/>
      <w:r w:rsidRPr="00A834E7">
        <w:rPr>
          <w:rFonts w:ascii="Calibri" w:hAnsi="Calibri" w:cs="Calibri"/>
        </w:rPr>
        <w:t xml:space="preserve"> Trauma </w:t>
      </w:r>
      <w:proofErr w:type="spellStart"/>
      <w:r w:rsidRPr="00A834E7">
        <w:rPr>
          <w:rFonts w:ascii="Calibri" w:hAnsi="Calibri" w:cs="Calibri"/>
        </w:rPr>
        <w:t>Intervention</w:t>
      </w:r>
      <w:proofErr w:type="spellEnd"/>
      <w:r w:rsidRPr="00A834E7">
        <w:rPr>
          <w:rFonts w:ascii="Calibri" w:hAnsi="Calibri" w:cs="Calibri"/>
        </w:rPr>
        <w:t xml:space="preserve"> (NFTI) utiliza criterios retrospectivos basados en intervenciones y resultados para evaluar la eficacia de las decisiones de triaje. Los criterios NFTI incluían: transfusión de sangre en las 4 horas siguientes a la llegada, operación en los 90 minutos, utilización de radiología intervencionista (normalmente para control de hemorragias), ingreso en UCI por más de 3 días y fallecimiento en un plazo de 60 horas. El propósito de este estudio fue evaluar el rendimiento de los FTG de 2021, con especial atención a la sub-triage, utilizando el NFTI como estándar de oro. Los autores plantearon la hipótesis de que los FTG de 2021 no alcanzarían el objetivo de activación de trauma ACS-COT de ≤ 5% de </w:t>
      </w:r>
      <w:r w:rsidR="001A632D" w:rsidRPr="00A834E7">
        <w:rPr>
          <w:rFonts w:ascii="Calibri" w:hAnsi="Calibri" w:cs="Calibri"/>
        </w:rPr>
        <w:t>sub</w:t>
      </w:r>
      <w:r w:rsidR="001A632D">
        <w:rPr>
          <w:rFonts w:ascii="Calibri" w:hAnsi="Calibri" w:cs="Calibri"/>
        </w:rPr>
        <w:t>-</w:t>
      </w:r>
      <w:r w:rsidR="001A632D" w:rsidRPr="00A834E7">
        <w:rPr>
          <w:rFonts w:ascii="Calibri" w:hAnsi="Calibri" w:cs="Calibri"/>
        </w:rPr>
        <w:t>triage</w:t>
      </w:r>
      <w:r w:rsidRPr="00A834E7">
        <w:rPr>
          <w:rFonts w:ascii="Calibri" w:hAnsi="Calibri" w:cs="Calibri"/>
        </w:rPr>
        <w:t xml:space="preserve"> y ≤ 35% de sobre</w:t>
      </w:r>
      <w:r w:rsidR="001A632D">
        <w:rPr>
          <w:rFonts w:ascii="Calibri" w:hAnsi="Calibri" w:cs="Calibri"/>
        </w:rPr>
        <w:t>-</w:t>
      </w:r>
      <w:r w:rsidRPr="00A834E7">
        <w:rPr>
          <w:rFonts w:ascii="Calibri" w:hAnsi="Calibri" w:cs="Calibri"/>
        </w:rPr>
        <w:t xml:space="preserve">triaje. </w:t>
      </w:r>
    </w:p>
    <w:p w14:paraId="42A14A86" w14:textId="77777777" w:rsidR="00A834E7" w:rsidRPr="00A834E7" w:rsidRDefault="00A834E7" w:rsidP="00A834E7">
      <w:pPr>
        <w:rPr>
          <w:rFonts w:ascii="Calibri" w:hAnsi="Calibri" w:cs="Calibri"/>
        </w:rPr>
      </w:pPr>
      <w:r w:rsidRPr="00A834E7">
        <w:rPr>
          <w:rFonts w:ascii="Calibri" w:hAnsi="Calibri" w:cs="Calibri"/>
        </w:rPr>
        <w:t xml:space="preserve">Todos los pacientes tratados en un centro de trauma de Nivel 1 durante un periodo de 2 meses fueron incluidos en el estudio. Se excluyeron a los menores de 18 años, a los que faltaban las hojas de revisión prehospitalaria, a los traslados y a quienes fueron transportados por medios distintos a la ambulancia. Los datos prehospitalarios identificaron a pacientes que cumplían los criterios Rojo y/o Amarillo, mientras que los datos hospitalarios identificaron a pacientes que cumplían con NFTI. La </w:t>
      </w:r>
      <w:proofErr w:type="spellStart"/>
      <w:r w:rsidRPr="00A834E7">
        <w:rPr>
          <w:rFonts w:ascii="Calibri" w:hAnsi="Calibri" w:cs="Calibri"/>
        </w:rPr>
        <w:t>sub-triaje</w:t>
      </w:r>
      <w:proofErr w:type="spellEnd"/>
      <w:r w:rsidRPr="00A834E7">
        <w:rPr>
          <w:rFonts w:ascii="Calibri" w:hAnsi="Calibri" w:cs="Calibri"/>
        </w:rPr>
        <w:t xml:space="preserve"> se definió como cualquier paciente que cumpliera uno de los criterios NFTI (NFTI +) pero no cumpliera los criterios Rojo o Amarillo. El sobre-triaje se definió como cualquier paciente que fuera NFTI- pero cumpliera los criterios Rojo o Amarillo. </w:t>
      </w:r>
    </w:p>
    <w:p w14:paraId="40B4CBA6" w14:textId="57BED66C" w:rsidR="00A834E7" w:rsidRPr="00A834E7" w:rsidRDefault="00A834E7" w:rsidP="00A834E7">
      <w:pPr>
        <w:rPr>
          <w:rFonts w:ascii="Calibri" w:hAnsi="Calibri" w:cs="Calibri"/>
        </w:rPr>
      </w:pPr>
      <w:r w:rsidRPr="00A834E7">
        <w:rPr>
          <w:rFonts w:ascii="Calibri" w:hAnsi="Calibri" w:cs="Calibri"/>
        </w:rPr>
        <w:t xml:space="preserve">En total se incluyeron 319 pacientes en el estudio. La edad media era de 35 años, el 71% eran hombres y el 73% afroamericanos. Una ligera mayoría de pacientes presentaba un mecanismo romo (60,5%). Para quienes cumplían con los Criterios Rojos, las tasas de bajo y exceso de triaje fueron del 21,3% y 39,6% respectivamente. Quienes tenían Criterios Amarillos tenían una tasa de triaje bajo y excesivo del 47,9% y 66,2% respectivamente. Esto equivalía a tasas de triaje bajo y excesivo del 23,4% y 30,2% respectivamente para los criterios de activación completa.  La </w:t>
      </w:r>
      <w:r w:rsidR="001A632D" w:rsidRPr="00A834E7">
        <w:rPr>
          <w:rFonts w:ascii="Calibri" w:hAnsi="Calibri" w:cs="Calibri"/>
        </w:rPr>
        <w:t>sub-triage</w:t>
      </w:r>
      <w:r w:rsidRPr="00A834E7">
        <w:rPr>
          <w:rFonts w:ascii="Calibri" w:hAnsi="Calibri" w:cs="Calibri"/>
        </w:rPr>
        <w:t xml:space="preserve"> según los criterios rojos se debía más comúnmente a la </w:t>
      </w:r>
      <w:r w:rsidR="001A632D" w:rsidRPr="00A834E7">
        <w:rPr>
          <w:rFonts w:ascii="Calibri" w:hAnsi="Calibri" w:cs="Calibri"/>
        </w:rPr>
        <w:t>normo tensión</w:t>
      </w:r>
      <w:r w:rsidRPr="00A834E7">
        <w:rPr>
          <w:rFonts w:ascii="Calibri" w:hAnsi="Calibri" w:cs="Calibri"/>
        </w:rPr>
        <w:t xml:space="preserve"> (el paciente no cumplía el requisito de hipotensión para ser considerado rojo). De todos los pacientes subclasificados por los Criterios Rojos, el 100% presentaba un mecanismo contundente. </w:t>
      </w:r>
    </w:p>
    <w:p w14:paraId="72F57864" w14:textId="6D0C7337" w:rsidR="00A834E7" w:rsidRPr="00A834E7" w:rsidRDefault="00A834E7" w:rsidP="00A834E7">
      <w:pPr>
        <w:rPr>
          <w:rFonts w:ascii="Calibri" w:hAnsi="Calibri" w:cs="Calibri"/>
        </w:rPr>
      </w:pPr>
      <w:r w:rsidRPr="00A834E7">
        <w:rPr>
          <w:rFonts w:ascii="Calibri" w:hAnsi="Calibri" w:cs="Calibri"/>
        </w:rPr>
        <w:t xml:space="preserve">Este estudio tiene algunas limitaciones. Es un estudio </w:t>
      </w:r>
      <w:r w:rsidR="001A632D" w:rsidRPr="00A834E7">
        <w:rPr>
          <w:rFonts w:ascii="Calibri" w:hAnsi="Calibri" w:cs="Calibri"/>
        </w:rPr>
        <w:t>mono céntrico</w:t>
      </w:r>
      <w:r w:rsidRPr="00A834E7">
        <w:rPr>
          <w:rFonts w:ascii="Calibri" w:hAnsi="Calibri" w:cs="Calibri"/>
        </w:rPr>
        <w:t xml:space="preserve"> de un centro de trauma con un porcentaje relativamente alto de trauma penetrante, por lo que estos datos pueden no reflejar todos los sistemas de trauma. El pequeño tamaño de la muestra, y el hecho de que el estudio se realizara en junio y julio, limitaron los análisis de subgrupos y podrían haber pasado por alto cualquier tendencia estacional en los patrones de lesiones. Es posible que alguna información prehospitalaria fuera incompleta o inexacta. </w:t>
      </w:r>
    </w:p>
    <w:p w14:paraId="0647A345" w14:textId="2C4AEE9C" w:rsidR="004E7694" w:rsidRDefault="00A834E7" w:rsidP="00A834E7">
      <w:pPr>
        <w:rPr>
          <w:rFonts w:ascii="Calibri" w:hAnsi="Calibri" w:cs="Calibri"/>
        </w:rPr>
      </w:pPr>
      <w:r w:rsidRPr="00A834E7">
        <w:rPr>
          <w:rFonts w:ascii="Calibri" w:hAnsi="Calibri" w:cs="Calibri"/>
        </w:rPr>
        <w:t xml:space="preserve">Este estudio muestra una tasa de </w:t>
      </w:r>
      <w:r w:rsidR="001A632D" w:rsidRPr="00A834E7">
        <w:rPr>
          <w:rFonts w:ascii="Calibri" w:hAnsi="Calibri" w:cs="Calibri"/>
        </w:rPr>
        <w:t>sub-triage</w:t>
      </w:r>
      <w:r w:rsidRPr="00A834E7">
        <w:rPr>
          <w:rFonts w:ascii="Calibri" w:hAnsi="Calibri" w:cs="Calibri"/>
        </w:rPr>
        <w:t xml:space="preserve"> del 21,3% y una tasa de sobre-triaje del </w:t>
      </w:r>
      <w:proofErr w:type="gramStart"/>
      <w:r w:rsidRPr="00A834E7">
        <w:rPr>
          <w:rFonts w:ascii="Calibri" w:hAnsi="Calibri" w:cs="Calibri"/>
        </w:rPr>
        <w:t>39,%</w:t>
      </w:r>
      <w:proofErr w:type="gramEnd"/>
      <w:r w:rsidRPr="00A834E7">
        <w:rPr>
          <w:rFonts w:ascii="Calibri" w:hAnsi="Calibri" w:cs="Calibri"/>
        </w:rPr>
        <w:t xml:space="preserve"> con los FTG de 2021. Los FTG de 2021 aún no cumplen los criterios ACS-COT para una </w:t>
      </w:r>
      <w:r w:rsidR="001A632D" w:rsidRPr="00A834E7">
        <w:rPr>
          <w:rFonts w:ascii="Calibri" w:hAnsi="Calibri" w:cs="Calibri"/>
        </w:rPr>
        <w:t>sub-triage</w:t>
      </w:r>
      <w:r w:rsidRPr="00A834E7">
        <w:rPr>
          <w:rFonts w:ascii="Calibri" w:hAnsi="Calibri" w:cs="Calibri"/>
        </w:rPr>
        <w:t xml:space="preserve"> y una </w:t>
      </w:r>
      <w:proofErr w:type="spellStart"/>
      <w:r w:rsidRPr="00A834E7">
        <w:rPr>
          <w:rFonts w:ascii="Calibri" w:hAnsi="Calibri" w:cs="Calibri"/>
        </w:rPr>
        <w:t>sobre-triage</w:t>
      </w:r>
      <w:proofErr w:type="spellEnd"/>
      <w:r w:rsidRPr="00A834E7">
        <w:rPr>
          <w:rFonts w:ascii="Calibri" w:hAnsi="Calibri" w:cs="Calibri"/>
        </w:rPr>
        <w:t xml:space="preserve"> de ≤ 5% y ≤ 35% respectivamente. Se requieren más estudios para predecir qué pacientes se beneficiarían del transporte en centros de trauma.</w:t>
      </w:r>
    </w:p>
    <w:p w14:paraId="7E4D5B65" w14:textId="77777777" w:rsidR="00A834E7" w:rsidRPr="00444FD7" w:rsidRDefault="00A834E7" w:rsidP="00A834E7">
      <w:pPr>
        <w:rPr>
          <w:rFonts w:ascii="Calibri" w:hAnsi="Calibri" w:cs="Calibri"/>
        </w:rPr>
      </w:pPr>
    </w:p>
    <w:p w14:paraId="11CB9DE5" w14:textId="1D982D57" w:rsidR="007B4CDB" w:rsidRPr="00A834E7" w:rsidRDefault="00A834E7" w:rsidP="00A834E7">
      <w:pPr>
        <w:pStyle w:val="Prrafodelista"/>
        <w:numPr>
          <w:ilvl w:val="0"/>
          <w:numId w:val="42"/>
        </w:numPr>
        <w:rPr>
          <w:rFonts w:cstheme="minorHAnsi"/>
          <w:bCs/>
        </w:rPr>
      </w:pPr>
      <w:r w:rsidRPr="00A834E7">
        <w:rPr>
          <w:rFonts w:cstheme="minorHAnsi"/>
          <w:b/>
        </w:rPr>
        <w:t xml:space="preserve">Resultados clínicos comparativos del transporte de trauma: servicios médicos de emergencia frente a transporte policial, revisión sistemática y metaanálisis.  </w:t>
      </w:r>
      <w:proofErr w:type="spellStart"/>
      <w:r w:rsidRPr="00A834E7">
        <w:rPr>
          <w:rFonts w:cstheme="minorHAnsi"/>
          <w:bCs/>
        </w:rPr>
        <w:t>Shapovalov</w:t>
      </w:r>
      <w:proofErr w:type="spellEnd"/>
      <w:r w:rsidRPr="00A834E7">
        <w:rPr>
          <w:rFonts w:cstheme="minorHAnsi"/>
          <w:bCs/>
        </w:rPr>
        <w:t xml:space="preserve"> V, Tran QK, </w:t>
      </w:r>
      <w:proofErr w:type="spellStart"/>
      <w:r w:rsidRPr="00A834E7">
        <w:rPr>
          <w:rFonts w:cstheme="minorHAnsi"/>
          <w:bCs/>
        </w:rPr>
        <w:t>Sarani</w:t>
      </w:r>
      <w:proofErr w:type="spellEnd"/>
      <w:r w:rsidRPr="00A834E7">
        <w:rPr>
          <w:rFonts w:cstheme="minorHAnsi"/>
          <w:bCs/>
        </w:rPr>
        <w:t xml:space="preserve"> B, MD, et al.   J </w:t>
      </w:r>
      <w:proofErr w:type="spellStart"/>
      <w:r w:rsidRPr="00A834E7">
        <w:rPr>
          <w:rFonts w:cstheme="minorHAnsi"/>
          <w:bCs/>
        </w:rPr>
        <w:t>Emerg</w:t>
      </w:r>
      <w:proofErr w:type="spellEnd"/>
      <w:r w:rsidRPr="00A834E7">
        <w:rPr>
          <w:rFonts w:cstheme="minorHAnsi"/>
          <w:bCs/>
        </w:rPr>
        <w:t xml:space="preserve"> </w:t>
      </w:r>
      <w:proofErr w:type="spellStart"/>
      <w:r w:rsidRPr="00A834E7">
        <w:rPr>
          <w:rFonts w:cstheme="minorHAnsi"/>
          <w:bCs/>
        </w:rPr>
        <w:t>Med</w:t>
      </w:r>
      <w:proofErr w:type="spellEnd"/>
      <w:r w:rsidRPr="00A834E7">
        <w:rPr>
          <w:rFonts w:cstheme="minorHAnsi"/>
          <w:bCs/>
        </w:rPr>
        <w:t xml:space="preserve"> 2026; 80:8–19</w:t>
      </w:r>
    </w:p>
    <w:p w14:paraId="5457B17D" w14:textId="77777777" w:rsidR="000403B1" w:rsidRPr="009B3196" w:rsidRDefault="000403B1" w:rsidP="000403B1">
      <w:pPr>
        <w:pStyle w:val="Prrafodelista"/>
        <w:ind w:left="360" w:firstLine="0"/>
        <w:rPr>
          <w:rFonts w:cstheme="minorHAnsi"/>
          <w:b/>
        </w:rPr>
      </w:pPr>
    </w:p>
    <w:p w14:paraId="2AEFE23D" w14:textId="77777777" w:rsidR="00A834E7" w:rsidRPr="00A834E7" w:rsidRDefault="00A834E7" w:rsidP="00A834E7">
      <w:pPr>
        <w:rPr>
          <w:rFonts w:ascii="Calibri" w:hAnsi="Calibri" w:cs="Calibri"/>
        </w:rPr>
      </w:pPr>
      <w:r w:rsidRPr="00A834E7">
        <w:rPr>
          <w:rFonts w:ascii="Calibri" w:hAnsi="Calibri" w:cs="Calibri"/>
        </w:rPr>
        <w:t xml:space="preserve">Durante muchos años, el tratamiento de pacientes con trauma se centró en el traslado rápido a un centro de trauma adecuado, con una intervención limitada antes del inicio del traslado, siguiendo la lógica de que cuanto antes se pueda tratar un paciente en el centro, mejor será el resultado. Esto está bien respaldado por la literatura y es un protocolo estándar en la mayoría de los servicios de emergencias médicas.  Algunas ciudades más grandes permitieron que la policía local transportara a pacientes con trauma penetrante al hospital más cercano antes de la llegada de los servicios de </w:t>
      </w:r>
      <w:r w:rsidRPr="00A834E7">
        <w:rPr>
          <w:rFonts w:ascii="Calibri" w:hAnsi="Calibri" w:cs="Calibri"/>
        </w:rPr>
        <w:lastRenderedPageBreak/>
        <w:t xml:space="preserve">emergencia.  Los autores de esta Revisión Sistemática evaluaron la evidencia y los resultados de los pacientes transportados por transporte policial (PT) y por EMS estándar.  </w:t>
      </w:r>
    </w:p>
    <w:p w14:paraId="4FC70DE2" w14:textId="77777777" w:rsidR="00A834E7" w:rsidRPr="00A834E7" w:rsidRDefault="00A834E7" w:rsidP="00A834E7">
      <w:pPr>
        <w:rPr>
          <w:rFonts w:ascii="Calibri" w:hAnsi="Calibri" w:cs="Calibri"/>
        </w:rPr>
      </w:pPr>
      <w:r w:rsidRPr="00A834E7">
        <w:rPr>
          <w:rFonts w:ascii="Calibri" w:hAnsi="Calibri" w:cs="Calibri"/>
        </w:rPr>
        <w:t xml:space="preserve">Los autores realizaron una búsqueda bibliográfica utilizando las palabras clave Policía, Fuerzas de Seguridad, Transporte y Trauma.  La búsqueda realizada en enero de 2025 arrojó 631 títulos y resúmenes que contenían las palabras clave.  Tras la evaluación, se revisaron 32 artículos en texto completo; 10 cumplieron los criterios del estudio y fueron incluidos en la evaluación final.  De los 10 estudios incluidos, nueve (9) fueron retrospectivos y uno (1) prospectivo.  Nueve de los estudios fueron predominantemente trauma penetrante, con uno (1) centrado en traumatismo contundente.  </w:t>
      </w:r>
    </w:p>
    <w:p w14:paraId="226C7B22" w14:textId="5DECA016" w:rsidR="00A834E7" w:rsidRPr="00A834E7" w:rsidRDefault="00A834E7" w:rsidP="00A834E7">
      <w:pPr>
        <w:rPr>
          <w:rFonts w:ascii="Calibri" w:hAnsi="Calibri" w:cs="Calibri"/>
        </w:rPr>
      </w:pPr>
      <w:r w:rsidRPr="00A834E7">
        <w:rPr>
          <w:rFonts w:ascii="Calibri" w:hAnsi="Calibri" w:cs="Calibri"/>
        </w:rPr>
        <w:t xml:space="preserve">Todos los estudios revisados informaron de la mortalidad como su resultado principal.  La tasa global de mortalidad fue del 14%, con una tasa de mortalidad del 12,7% (12.742 pacientes) para el grupo de transporte EMS y una tasa de mortalidad del 25% (2.933 pacientes) para el grupo de transporte policial.  No hubo diferencias estadísticamente significativas en las intervenciones quirúrgicas necesarias entre ambos grupos.  Sin embargo, se observó que, utilizando la SBP y puntuaciones más altas de la ISS como marcadores, los datos demostraban que los pacientes transportados por EMS no resultaban gravemente heridos en comparación con los transportados por la policía.  Sin embargo, los autores señalaron que "ninguna de estas características explicaba de forma independiente el aumento de la mortalidad." </w:t>
      </w:r>
    </w:p>
    <w:p w14:paraId="650FB475" w14:textId="36BC8DA3" w:rsidR="004E7694" w:rsidRDefault="00A834E7" w:rsidP="00A834E7">
      <w:pPr>
        <w:rPr>
          <w:rFonts w:ascii="Calibri" w:hAnsi="Calibri" w:cs="Calibri"/>
        </w:rPr>
      </w:pPr>
      <w:r w:rsidRPr="00A834E7">
        <w:rPr>
          <w:rFonts w:ascii="Calibri" w:hAnsi="Calibri" w:cs="Calibri"/>
        </w:rPr>
        <w:t>Aunque esta revisión bibliográfica demuestra una disminución en la mortalidad de los pacientes transportados por EMS, aún quedan dudas.  La cuestión de la selectividad por parte de la policía sobre qué pacientes transportar o esperar a los servicios de emergencia pudo haber dado lugar a un sesgo para que pacientes más gravemente heridos fueran transportados por la policía.  Dado que los estudios eran de carácter retrospectivo, los estudios prospectivos deberían realizarse utilizando un diseño robusto y un protocolo de selección de pacientes bien definido.</w:t>
      </w:r>
    </w:p>
    <w:p w14:paraId="5DB553E2" w14:textId="77777777" w:rsidR="00A834E7" w:rsidRDefault="00A834E7" w:rsidP="00A834E7">
      <w:pPr>
        <w:rPr>
          <w:rFonts w:ascii="Calibri" w:hAnsi="Calibri" w:cs="Calibri"/>
        </w:rPr>
      </w:pPr>
    </w:p>
    <w:p w14:paraId="25C3B6D1" w14:textId="4AD70B99" w:rsidR="00717345" w:rsidRPr="00717345" w:rsidRDefault="00717345" w:rsidP="00717345">
      <w:pPr>
        <w:pStyle w:val="Prrafodelista"/>
        <w:numPr>
          <w:ilvl w:val="0"/>
          <w:numId w:val="42"/>
        </w:numPr>
        <w:rPr>
          <w:rFonts w:eastAsia="Times New Roman" w:cstheme="minorHAnsi"/>
        </w:rPr>
      </w:pPr>
      <w:r w:rsidRPr="00717345">
        <w:rPr>
          <w:rFonts w:eastAsia="Times New Roman" w:cstheme="minorHAnsi"/>
          <w:b/>
          <w:bCs/>
        </w:rPr>
        <w:t xml:space="preserve">Impacto del intervalo de tiempo en el lugar en la supervivencia en un paro cardíaco traumático fuera del hospital.  </w:t>
      </w:r>
      <w:r w:rsidRPr="00717345">
        <w:rPr>
          <w:rFonts w:eastAsia="Times New Roman" w:cstheme="minorHAnsi"/>
        </w:rPr>
        <w:t>Choi Y</w:t>
      </w:r>
    </w:p>
    <w:p w14:paraId="6BD9098C" w14:textId="7C0B36DB" w:rsidR="00BC4278" w:rsidRPr="00717345" w:rsidRDefault="00717345" w:rsidP="00717345">
      <w:pPr>
        <w:pStyle w:val="Prrafodelista"/>
        <w:ind w:left="360" w:firstLine="0"/>
        <w:rPr>
          <w:rFonts w:eastAsia="Times New Roman" w:cstheme="minorHAnsi"/>
        </w:rPr>
      </w:pPr>
      <w:r w:rsidRPr="00717345">
        <w:rPr>
          <w:rFonts w:eastAsia="Times New Roman" w:cstheme="minorHAnsi"/>
        </w:rPr>
        <w:t>enero de 2026; 57(1):112821</w:t>
      </w:r>
    </w:p>
    <w:p w14:paraId="65EA8B40" w14:textId="77777777" w:rsidR="00CE5A35" w:rsidRPr="00CE5A35" w:rsidRDefault="00CE5A35" w:rsidP="00CE5A35">
      <w:pPr>
        <w:pStyle w:val="Prrafodelista"/>
        <w:ind w:left="360" w:firstLine="0"/>
        <w:rPr>
          <w:rFonts w:eastAsia="Times New Roman" w:cstheme="minorHAnsi"/>
          <w:b/>
          <w:bCs/>
        </w:rPr>
      </w:pPr>
    </w:p>
    <w:p w14:paraId="09632D2B" w14:textId="77777777" w:rsidR="00717345" w:rsidRPr="00717345" w:rsidRDefault="00BC4278" w:rsidP="00717345">
      <w:pPr>
        <w:tabs>
          <w:tab w:val="left" w:pos="360"/>
        </w:tabs>
        <w:autoSpaceDE w:val="0"/>
        <w:autoSpaceDN w:val="0"/>
        <w:adjustRightInd w:val="0"/>
        <w:ind w:firstLine="0"/>
        <w:rPr>
          <w:rFonts w:ascii="Calibri" w:hAnsi="Calibri" w:cs="Calibri"/>
        </w:rPr>
      </w:pPr>
      <w:r>
        <w:rPr>
          <w:rFonts w:ascii="Calibri" w:hAnsi="Calibri" w:cs="Calibri"/>
        </w:rPr>
        <w:tab/>
      </w:r>
      <w:r w:rsidR="00717345" w:rsidRPr="00717345">
        <w:rPr>
          <w:rFonts w:ascii="Calibri" w:hAnsi="Calibri" w:cs="Calibri"/>
        </w:rPr>
        <w:t>El trauma es una de las principales causas de muerte a nivel mundial, contribuyendo a más de 4,4 millones de muertes cada año, siendo el paro cardíaco traumático fuera de la hospitalización (TOHCA) una tasa global de mortalidad del 96%. La importancia de una intervención oportuna para corregir condiciones que ponen en peligro la vida no puede subestimarse. El tiempo prehospitalario prolongado contribuye a retrasar la atención definitiva.  Estudios previos mostraron que el tiempo prehospitalario total más corto se asociaba con mejores resultados de supervivencia, pero que el efecto en el lugar del evento, en concreto, no se había investigado.</w:t>
      </w:r>
    </w:p>
    <w:p w14:paraId="3BC49BF4" w14:textId="45AB9D16" w:rsidR="00717345" w:rsidRPr="00717345" w:rsidRDefault="00717345" w:rsidP="00717345">
      <w:pPr>
        <w:tabs>
          <w:tab w:val="left" w:pos="360"/>
        </w:tabs>
        <w:autoSpaceDE w:val="0"/>
        <w:autoSpaceDN w:val="0"/>
        <w:adjustRightInd w:val="0"/>
        <w:ind w:firstLine="0"/>
        <w:rPr>
          <w:rFonts w:ascii="Calibri" w:hAnsi="Calibri" w:cs="Calibri"/>
        </w:rPr>
      </w:pPr>
      <w:r>
        <w:rPr>
          <w:rFonts w:ascii="Calibri" w:hAnsi="Calibri" w:cs="Calibri"/>
        </w:rPr>
        <w:tab/>
      </w:r>
      <w:r w:rsidRPr="00717345">
        <w:rPr>
          <w:rFonts w:ascii="Calibri" w:hAnsi="Calibri" w:cs="Calibri"/>
        </w:rPr>
        <w:t xml:space="preserve">Este estudio se propuso evaluar el impacto del intervalo de tiempo en el lugar en la supervivencia en un paro cardíaco traumático fuera del hospital (TOCHA) y determinar si existe un intervalo de tiempo óptimo en el lugar. </w:t>
      </w:r>
    </w:p>
    <w:p w14:paraId="009FBE47" w14:textId="77777777" w:rsidR="00717345" w:rsidRPr="00717345" w:rsidRDefault="00717345" w:rsidP="00717345">
      <w:pPr>
        <w:tabs>
          <w:tab w:val="left" w:pos="360"/>
        </w:tabs>
        <w:autoSpaceDE w:val="0"/>
        <w:autoSpaceDN w:val="0"/>
        <w:adjustRightInd w:val="0"/>
        <w:ind w:firstLine="0"/>
        <w:rPr>
          <w:rFonts w:ascii="Calibri" w:hAnsi="Calibri" w:cs="Calibri"/>
        </w:rPr>
      </w:pPr>
      <w:r w:rsidRPr="00717345">
        <w:rPr>
          <w:rFonts w:ascii="Calibri" w:hAnsi="Calibri" w:cs="Calibri"/>
        </w:rPr>
        <w:t xml:space="preserve">El equipo analizó pacientes de TOHCA de &gt;15 años en Corea del Sur desde enero de 2019 hasta diciembre de 2021. Definieron el intervalo de tiempo en el lugar como el tiempo que los servicios de emergencia pasaron en el lugar desde la llegada hasta la salida del lugar al hospital. El resultado principal fue la supervivencia hasta el alta hospitalaria. </w:t>
      </w:r>
    </w:p>
    <w:p w14:paraId="052A4CE2" w14:textId="407EF118" w:rsidR="00717345" w:rsidRPr="00717345" w:rsidRDefault="00717345" w:rsidP="00717345">
      <w:pPr>
        <w:tabs>
          <w:tab w:val="left" w:pos="360"/>
        </w:tabs>
        <w:autoSpaceDE w:val="0"/>
        <w:autoSpaceDN w:val="0"/>
        <w:adjustRightInd w:val="0"/>
        <w:ind w:firstLine="0"/>
        <w:rPr>
          <w:rFonts w:ascii="Calibri" w:hAnsi="Calibri" w:cs="Calibri"/>
        </w:rPr>
      </w:pPr>
      <w:r>
        <w:rPr>
          <w:rFonts w:ascii="Calibri" w:hAnsi="Calibri" w:cs="Calibri"/>
        </w:rPr>
        <w:tab/>
      </w:r>
      <w:r w:rsidRPr="00717345">
        <w:rPr>
          <w:rFonts w:ascii="Calibri" w:hAnsi="Calibri" w:cs="Calibri"/>
        </w:rPr>
        <w:t xml:space="preserve">En total se incluyeron 6.106 casos de TOHCA en el estudio. Los datos se recopilaron a partir de la Vigilancia de Paros Cardíacos Fuera del Hospital, y de la Encuesta Comunitaria de Trauma Severo recogida por la Agencia de Control y Prevención de Enfermedades de Corea. La tasa de supervivencia a alta para los pacientes con TOHCA fue del 3,7%. Los supervivientes tenían más probabilidades de ser hombres, que experimentaron un paro cardíaco presenciado con RCP de testigos y presentaron un ritmo que podía ser descargable. La causa más común de estas lesiones eran los accidentes de vehículos </w:t>
      </w:r>
      <w:r w:rsidRPr="00717345">
        <w:rPr>
          <w:rFonts w:ascii="Calibri" w:hAnsi="Calibri" w:cs="Calibri"/>
        </w:rPr>
        <w:lastRenderedPageBreak/>
        <w:t>motorizados. El resto fue causado por resbalones o caídas, golpes directos, lesiones por penetración y traumatismos relacionados con máquinas. Las caídas y resbalones tuvieron las peores tasas de supervivencia a descarga con un 2,1%, seguidas por accidentes de tráfico con un 4,3%, lesiones penetrantes con un 6,4%, lesiones por golpes directos con un 7,6% y lesiones relacionadas con máquinas con un 9,8%. Su análisis mostró "una relación negativa entre el intervalo de tiempo en el lugar y las probabilidades de supervivencia para el alta con intervalos superiores a 10 minutos, reduciendo significativamente las probabilidades de supervivencia al alta."</w:t>
      </w:r>
    </w:p>
    <w:p w14:paraId="62793644" w14:textId="60F40BD8" w:rsidR="00717345" w:rsidRPr="00717345" w:rsidRDefault="00717345" w:rsidP="00717345">
      <w:pPr>
        <w:tabs>
          <w:tab w:val="left" w:pos="360"/>
        </w:tabs>
        <w:autoSpaceDE w:val="0"/>
        <w:autoSpaceDN w:val="0"/>
        <w:adjustRightInd w:val="0"/>
        <w:ind w:firstLine="0"/>
        <w:rPr>
          <w:rFonts w:ascii="Calibri" w:hAnsi="Calibri" w:cs="Calibri"/>
        </w:rPr>
      </w:pPr>
      <w:r>
        <w:rPr>
          <w:rFonts w:ascii="Calibri" w:hAnsi="Calibri" w:cs="Calibri"/>
        </w:rPr>
        <w:tab/>
      </w:r>
      <w:r w:rsidRPr="00717345">
        <w:rPr>
          <w:rFonts w:ascii="Calibri" w:hAnsi="Calibri" w:cs="Calibri"/>
        </w:rPr>
        <w:t xml:space="preserve">El estudio tiene varias limitaciones.  La base de datos no incluye las puntuaciones de gravedad de lesiones, lo que hace imposible ajustar la gravedad.  Además, no registra qué intervenciones prehospitalarias se realizaron.  </w:t>
      </w:r>
    </w:p>
    <w:p w14:paraId="680789D6" w14:textId="7F2544EB" w:rsidR="00CE5A35" w:rsidRDefault="00717345" w:rsidP="00717345">
      <w:pPr>
        <w:tabs>
          <w:tab w:val="left" w:pos="360"/>
        </w:tabs>
        <w:autoSpaceDE w:val="0"/>
        <w:autoSpaceDN w:val="0"/>
        <w:adjustRightInd w:val="0"/>
        <w:ind w:firstLine="0"/>
        <w:rPr>
          <w:rFonts w:ascii="Calibri" w:hAnsi="Calibri" w:cs="Calibri"/>
        </w:rPr>
      </w:pPr>
      <w:r>
        <w:rPr>
          <w:rFonts w:ascii="Calibri" w:hAnsi="Calibri" w:cs="Calibri"/>
        </w:rPr>
        <w:tab/>
      </w:r>
      <w:r w:rsidRPr="00717345">
        <w:rPr>
          <w:rFonts w:ascii="Calibri" w:hAnsi="Calibri" w:cs="Calibri"/>
        </w:rPr>
        <w:t>Este estudio muestra, como era de esperar, que aumentar los intervalos de tiempo en el lugar se asoció significativamente con una menor probabilidad de supervivencia para el alta con un corte brusco cuando el intervalo en el lugar superaba los 10 minutos. Aunque proponen una solución de centrarse en la atención de BLS para los pacientes con TOHCA para asegurar que el intervalo en el lugar no supere los 10 minutos, dando a estos pacientes su mejor oportunidad de supervivencia, el objetivo final debería ser que la escena dure lo más breve posible.</w:t>
      </w:r>
    </w:p>
    <w:p w14:paraId="5A8E9D4F" w14:textId="77777777" w:rsidR="0008350C" w:rsidRDefault="0008350C" w:rsidP="00BC4278">
      <w:pPr>
        <w:tabs>
          <w:tab w:val="left" w:pos="360"/>
        </w:tabs>
        <w:autoSpaceDE w:val="0"/>
        <w:autoSpaceDN w:val="0"/>
        <w:adjustRightInd w:val="0"/>
        <w:ind w:firstLine="0"/>
        <w:rPr>
          <w:rFonts w:ascii="Calibri" w:hAnsi="Calibri" w:cs="Calibri"/>
        </w:rPr>
      </w:pPr>
    </w:p>
    <w:p w14:paraId="5BD71105" w14:textId="79A78A55" w:rsidR="00DF0E6D" w:rsidRPr="00DF0E6D" w:rsidRDefault="00DF0E6D" w:rsidP="00DF0E6D">
      <w:pPr>
        <w:pStyle w:val="Prrafodelista"/>
        <w:numPr>
          <w:ilvl w:val="0"/>
          <w:numId w:val="42"/>
        </w:numPr>
        <w:rPr>
          <w:rFonts w:cstheme="minorHAnsi"/>
        </w:rPr>
      </w:pPr>
      <w:r w:rsidRPr="00DF0E6D">
        <w:rPr>
          <w:rFonts w:cstheme="minorHAnsi"/>
          <w:b/>
          <w:bCs/>
        </w:rPr>
        <w:t xml:space="preserve">Evaluación de la tasa de éxito de los intentos de acceso intraóseo distal del fémur en pacientes pediátricos en el entorno prehospitalario: un análisis retrospectivo.  </w:t>
      </w:r>
      <w:proofErr w:type="spellStart"/>
      <w:r w:rsidRPr="00DF0E6D">
        <w:rPr>
          <w:rFonts w:cstheme="minorHAnsi"/>
        </w:rPr>
        <w:t>Zitek</w:t>
      </w:r>
      <w:proofErr w:type="spellEnd"/>
      <w:r w:rsidRPr="00DF0E6D">
        <w:rPr>
          <w:rFonts w:cstheme="minorHAnsi"/>
        </w:rPr>
        <w:t xml:space="preserve"> T, </w:t>
      </w:r>
      <w:proofErr w:type="spellStart"/>
      <w:r w:rsidRPr="00DF0E6D">
        <w:rPr>
          <w:rFonts w:cstheme="minorHAnsi"/>
        </w:rPr>
        <w:t>Antevy</w:t>
      </w:r>
      <w:proofErr w:type="spellEnd"/>
      <w:r w:rsidRPr="00DF0E6D">
        <w:rPr>
          <w:rFonts w:cstheme="minorHAnsi"/>
        </w:rPr>
        <w:t xml:space="preserve"> P, Garay S, et al. ATENCIÓN DE URGENCIAS PREHOSPITALARIAS 2025; 29:776–781</w:t>
      </w:r>
    </w:p>
    <w:p w14:paraId="238BFB46" w14:textId="64B4E201" w:rsidR="0008350C" w:rsidRPr="0008350C" w:rsidRDefault="0008350C" w:rsidP="00DF0E6D">
      <w:pPr>
        <w:pStyle w:val="Prrafodelista"/>
        <w:tabs>
          <w:tab w:val="left" w:pos="360"/>
        </w:tabs>
        <w:autoSpaceDE w:val="0"/>
        <w:autoSpaceDN w:val="0"/>
        <w:adjustRightInd w:val="0"/>
        <w:ind w:left="360" w:firstLine="0"/>
        <w:rPr>
          <w:rFonts w:cstheme="minorHAnsi"/>
        </w:rPr>
      </w:pPr>
    </w:p>
    <w:p w14:paraId="2B410626" w14:textId="2287584E" w:rsidR="000577EB" w:rsidRDefault="00DA7547" w:rsidP="00BC4278">
      <w:pPr>
        <w:autoSpaceDE w:val="0"/>
        <w:autoSpaceDN w:val="0"/>
        <w:adjustRightInd w:val="0"/>
        <w:ind w:firstLine="0"/>
        <w:rPr>
          <w:rFonts w:cstheme="minorHAnsi"/>
        </w:rPr>
      </w:pPr>
      <w:r w:rsidRPr="00DA7547">
        <w:rPr>
          <w:rFonts w:cstheme="minorHAnsi"/>
        </w:rPr>
        <w:t xml:space="preserve"> </w:t>
      </w:r>
    </w:p>
    <w:p w14:paraId="1EE9A0D2" w14:textId="4B15CAB7" w:rsidR="00DF0E6D" w:rsidRPr="00DF0E6D" w:rsidRDefault="00DF0E6D" w:rsidP="00DF0E6D">
      <w:pPr>
        <w:autoSpaceDE w:val="0"/>
        <w:autoSpaceDN w:val="0"/>
        <w:adjustRightInd w:val="0"/>
        <w:rPr>
          <w:rFonts w:cstheme="minorHAnsi"/>
        </w:rPr>
      </w:pPr>
      <w:r w:rsidRPr="00DF0E6D">
        <w:rPr>
          <w:rFonts w:cstheme="minorHAnsi"/>
        </w:rPr>
        <w:t xml:space="preserve">La </w:t>
      </w:r>
      <w:proofErr w:type="spellStart"/>
      <w:r w:rsidRPr="00DF0E6D">
        <w:rPr>
          <w:rFonts w:cstheme="minorHAnsi"/>
        </w:rPr>
        <w:t>can</w:t>
      </w:r>
      <w:r w:rsidR="001A632D">
        <w:rPr>
          <w:rFonts w:cstheme="minorHAnsi"/>
        </w:rPr>
        <w:t>alizacion</w:t>
      </w:r>
      <w:proofErr w:type="spellEnd"/>
      <w:r w:rsidRPr="00DF0E6D">
        <w:rPr>
          <w:rFonts w:cstheme="minorHAnsi"/>
        </w:rPr>
        <w:t xml:space="preserve"> intraósea (IO) se ha vuelto común en el entorno prehospitalario.  Es una forma rápida y eficaz de acceder a los vasos para la administración de medicamentos y líquidos para la reanimación de volumen.  Las tasas de éxito de las IO prehospitalarias se estiman entre el 76% y el 100% en todos los grupos de edad y superiores al 80% en la población pediátrica. Los lugares comunes para el acceso I</w:t>
      </w:r>
      <w:r w:rsidR="001A632D">
        <w:rPr>
          <w:rFonts w:cstheme="minorHAnsi"/>
        </w:rPr>
        <w:t xml:space="preserve">ntra </w:t>
      </w:r>
      <w:r w:rsidR="001A632D" w:rsidRPr="00DF0E6D">
        <w:rPr>
          <w:rFonts w:cstheme="minorHAnsi"/>
        </w:rPr>
        <w:t>Ó</w:t>
      </w:r>
      <w:r w:rsidR="001A632D">
        <w:rPr>
          <w:rFonts w:cstheme="minorHAnsi"/>
        </w:rPr>
        <w:t>seo</w:t>
      </w:r>
      <w:r w:rsidRPr="00DF0E6D">
        <w:rPr>
          <w:rFonts w:cstheme="minorHAnsi"/>
        </w:rPr>
        <w:t xml:space="preserve"> incluyen el húmero proximal, el esternón y la tibia proximal.  Aunque es un lugar popular debido a su ubicación alejada del pecho y la cabeza, algunos estudios han sugerido que un gran número de I</w:t>
      </w:r>
      <w:r w:rsidR="001A632D">
        <w:rPr>
          <w:rFonts w:cstheme="minorHAnsi"/>
        </w:rPr>
        <w:t xml:space="preserve">ntra </w:t>
      </w:r>
      <w:r w:rsidR="001A632D" w:rsidRPr="00DF0E6D">
        <w:rPr>
          <w:rFonts w:cstheme="minorHAnsi"/>
        </w:rPr>
        <w:t>Ó</w:t>
      </w:r>
      <w:r w:rsidR="001A632D">
        <w:rPr>
          <w:rFonts w:cstheme="minorHAnsi"/>
        </w:rPr>
        <w:t>seo</w:t>
      </w:r>
      <w:r w:rsidR="001A632D" w:rsidRPr="00DF0E6D">
        <w:rPr>
          <w:rFonts w:cstheme="minorHAnsi"/>
        </w:rPr>
        <w:t>s</w:t>
      </w:r>
      <w:r w:rsidRPr="00DF0E6D">
        <w:rPr>
          <w:rFonts w:cstheme="minorHAnsi"/>
        </w:rPr>
        <w:t xml:space="preserve"> pediátricas colocadas en la tibia proximal pueden no estar correctamente posicionadas. </w:t>
      </w:r>
    </w:p>
    <w:p w14:paraId="03CB6C96" w14:textId="3334B591" w:rsidR="00DF0E6D" w:rsidRPr="00DF0E6D" w:rsidRDefault="00DF0E6D" w:rsidP="00DF0E6D">
      <w:pPr>
        <w:autoSpaceDE w:val="0"/>
        <w:autoSpaceDN w:val="0"/>
        <w:adjustRightInd w:val="0"/>
        <w:rPr>
          <w:rFonts w:cstheme="minorHAnsi"/>
        </w:rPr>
      </w:pPr>
      <w:r w:rsidRPr="00DF0E6D">
        <w:rPr>
          <w:rFonts w:cstheme="minorHAnsi"/>
        </w:rPr>
        <w:t>Los proveedores de Rescate de Bomberos de Palm Beach (Florida) (PBFR) han sido formados y autorizados para utilizar el fémur distal para acceso a IO desde 2015.  Los profesionales no están obligados a usar el fémur distal para la colocación de IO, pero se recomienda desde 2019 en la población pediátrica. Los profesionales están entrenados para colocar I</w:t>
      </w:r>
      <w:r w:rsidR="001A632D">
        <w:rPr>
          <w:rFonts w:cstheme="minorHAnsi"/>
        </w:rPr>
        <w:t xml:space="preserve">ntra </w:t>
      </w:r>
      <w:r w:rsidR="001A632D" w:rsidRPr="00DF0E6D">
        <w:rPr>
          <w:rFonts w:cstheme="minorHAnsi"/>
        </w:rPr>
        <w:t>Ós</w:t>
      </w:r>
      <w:r w:rsidR="001A632D">
        <w:rPr>
          <w:rFonts w:cstheme="minorHAnsi"/>
        </w:rPr>
        <w:t>eos</w:t>
      </w:r>
      <w:r w:rsidRPr="00DF0E6D">
        <w:rPr>
          <w:rFonts w:cstheme="minorHAnsi"/>
        </w:rPr>
        <w:t xml:space="preserve"> distales del fémur aproximadamente a 1-2 cm proximal al borde superior de la rótula y 1 cm medial a la línea media.  Los proveedores están formados para usar un dispositivo de inserción de IO de "tipo taladro".</w:t>
      </w:r>
    </w:p>
    <w:p w14:paraId="2E11773B" w14:textId="77777777" w:rsidR="00DF0E6D" w:rsidRPr="00DF0E6D" w:rsidRDefault="00DF0E6D" w:rsidP="00DF0E6D">
      <w:pPr>
        <w:autoSpaceDE w:val="0"/>
        <w:autoSpaceDN w:val="0"/>
        <w:adjustRightInd w:val="0"/>
        <w:rPr>
          <w:rFonts w:cstheme="minorHAnsi"/>
        </w:rPr>
      </w:pPr>
      <w:r w:rsidRPr="00DF0E6D">
        <w:rPr>
          <w:rFonts w:cstheme="minorHAnsi"/>
        </w:rPr>
        <w:t xml:space="preserve">Los autores de este artículo emprendieron un estudio retrospectivo de revisión de historiales con exención del Comité de Revisión Institucional para evaluar las tasas de éxito, las tasas de complicaciones, la administración de medicamentos, el tamaño de la aguja IO y las tasas de ROSC en pacientes pediátricos (&lt;15 años) tratados con PBFR entre mayo de 2015 y enero de 2024. </w:t>
      </w:r>
    </w:p>
    <w:p w14:paraId="6F17E9DF" w14:textId="77777777" w:rsidR="00DF0E6D" w:rsidRPr="00DF0E6D" w:rsidRDefault="00DF0E6D" w:rsidP="00DF0E6D">
      <w:pPr>
        <w:autoSpaceDE w:val="0"/>
        <w:autoSpaceDN w:val="0"/>
        <w:adjustRightInd w:val="0"/>
        <w:rPr>
          <w:rFonts w:cstheme="minorHAnsi"/>
        </w:rPr>
      </w:pPr>
      <w:r w:rsidRPr="00DF0E6D">
        <w:rPr>
          <w:rFonts w:cstheme="minorHAnsi"/>
        </w:rPr>
        <w:t xml:space="preserve">Tras la revisión inicial de los datos, los autores identificaron 163 historiales clínicas de pacientes con intentos documentados de IO.  Las pacientes femeninas representaban el 51,5 de la población de cohorte. La edad media de los pacientes era de 1,9 años y el 39,9% eran negros, seguidos por los blancos no hispanos con un 26,4% y el 21,5% hispanos.  El número de pacientes en paro cardíaco fue de 105 (64,4%).  En total, hubo 235 intentos con una tasa de éxito del 97,5%.  Los primeros intentos de acceso vascular fueron 41,1% fémur distal, 31,3% tibia proximal, 14,7% intravenoso, 48% tibia distal y 9% húmero proximal.  La tasa de éxito para el acceso IO distal del fémur fue del 89% frente al 84,7% para la colocación proximal de la tibia.  Se documentaron cuatro complicaciones distales del fémur y tres </w:t>
      </w:r>
      <w:r w:rsidRPr="00DF0E6D">
        <w:rPr>
          <w:rFonts w:cstheme="minorHAnsi"/>
        </w:rPr>
        <w:lastRenderedPageBreak/>
        <w:t>complicaciones proximales de la tibia, incluyendo desplazamiento, infiltración y pérdida de patencia.  El acceso IO distal del fémur fue el primer intento de acceso vascular en el 49,5% de los pacientes del grupo con paro cardíaco, de los cuales el 23,1% lograron la ROSC.  En comparación, el 34,3% del acceso vascular del paciente con paro cardíaco se realizó a través de la IO tibial proximal, mientras que el 22,2% logró la ROSC.  Por último, la media para la administración de medicamentos era de 3,3 medicamentos por IO distal del fémur y 3 por IO proximal del fémur.  Los autores no pudieron incluir el tamaño de la aguja IO debido a la inconsistencia y la falta de documentación en los informes de atención a pacientes del grupo de estudio.</w:t>
      </w:r>
    </w:p>
    <w:p w14:paraId="03740F3E" w14:textId="1E0EBE33" w:rsidR="00DF0E6D" w:rsidRPr="00DF0E6D" w:rsidRDefault="00DF0E6D" w:rsidP="00DF0E6D">
      <w:pPr>
        <w:autoSpaceDE w:val="0"/>
        <w:autoSpaceDN w:val="0"/>
        <w:adjustRightInd w:val="0"/>
        <w:rPr>
          <w:rFonts w:cstheme="minorHAnsi"/>
        </w:rPr>
      </w:pPr>
      <w:r w:rsidRPr="00DF0E6D">
        <w:rPr>
          <w:rFonts w:cstheme="minorHAnsi"/>
        </w:rPr>
        <w:t xml:space="preserve">Las limitaciones de este artículo incluyen la naturaleza de revisión retrospectiva de historiales de agencia única del estudio.  El tamaño de la muestra examinada fue relativamente pequeño.  Los datos fueron </w:t>
      </w:r>
      <w:proofErr w:type="spellStart"/>
      <w:r w:rsidRPr="00DF0E6D">
        <w:rPr>
          <w:rFonts w:cstheme="minorHAnsi"/>
        </w:rPr>
        <w:t>auto</w:t>
      </w:r>
      <w:r w:rsidR="001A632D">
        <w:rPr>
          <w:rFonts w:cstheme="minorHAnsi"/>
        </w:rPr>
        <w:t>-</w:t>
      </w:r>
      <w:r w:rsidRPr="00DF0E6D">
        <w:rPr>
          <w:rFonts w:cstheme="minorHAnsi"/>
        </w:rPr>
        <w:t>informados</w:t>
      </w:r>
      <w:proofErr w:type="spellEnd"/>
      <w:r w:rsidRPr="00DF0E6D">
        <w:rPr>
          <w:rFonts w:cstheme="minorHAnsi"/>
        </w:rPr>
        <w:t xml:space="preserve"> por los proveedores y puede que no incluyeran todos los intentos de IO.  Las complicaciones se limitaron a la estabilidad de la IO, la patencia de la IO y la infiltración de la línea IO; todos factores prehospitalarios sin incluir complicaciones hospitalarias posteriores como la osteomielitis.  </w:t>
      </w:r>
    </w:p>
    <w:p w14:paraId="10A31740" w14:textId="3249455C" w:rsidR="0008350C" w:rsidRPr="000577EB" w:rsidRDefault="00DF0E6D" w:rsidP="00DF0E6D">
      <w:pPr>
        <w:autoSpaceDE w:val="0"/>
        <w:autoSpaceDN w:val="0"/>
        <w:adjustRightInd w:val="0"/>
        <w:rPr>
          <w:rFonts w:cstheme="minorHAnsi"/>
        </w:rPr>
      </w:pPr>
      <w:r w:rsidRPr="00DF0E6D">
        <w:rPr>
          <w:rFonts w:cstheme="minorHAnsi"/>
        </w:rPr>
        <w:t xml:space="preserve">Este estudio no reveló una ventaja estadísticamente significativa de las IO distales del fémur sobre las IO proximales de la tibia.  Al mismo tiempo, tampoco reveló una desventaja estadísticamente significativa.  Encontraron tasas de éxito y de respuesta de </w:t>
      </w:r>
      <w:r w:rsidR="001A632D">
        <w:rPr>
          <w:rFonts w:cstheme="minorHAnsi"/>
        </w:rPr>
        <w:t>IO</w:t>
      </w:r>
      <w:r w:rsidRPr="00DF0E6D">
        <w:rPr>
          <w:rFonts w:cstheme="minorHAnsi"/>
        </w:rPr>
        <w:t xml:space="preserve"> ligeramente mayor con el enfoque distal del fémur frente a la tibia proximal.  Los autores señalaron que, en el momento de la publicación, no existía ningún dispositivo comercial de entrenamiento de IO distal del fémur.  Esto puede demostrar la facilidad de colocación de la IO distal del fémur.  Los servicios de emergencia médica que actualmente restringen el acceso IO al esternón, húmero proximal y tibia proximal podrían considerar autorizar a los profesionales a acceder vascular a través de una IO distal.</w:t>
      </w:r>
    </w:p>
    <w:sectPr w:rsidR="0008350C" w:rsidRPr="000577EB" w:rsidSect="002B2E1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71EA0" w14:textId="77777777" w:rsidR="003444E9" w:rsidRDefault="003444E9" w:rsidP="00CC1ECE">
      <w:r>
        <w:separator/>
      </w:r>
    </w:p>
  </w:endnote>
  <w:endnote w:type="continuationSeparator" w:id="0">
    <w:p w14:paraId="0C4D9D9A" w14:textId="77777777" w:rsidR="003444E9" w:rsidRDefault="003444E9" w:rsidP="00CC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w:altName w:val="Corbel"/>
    <w:charset w:val="00"/>
    <w:family w:val="auto"/>
    <w:pitch w:val="variable"/>
    <w:sig w:usb0="00000001"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0C9FD" w14:textId="77777777" w:rsidR="00EC556A" w:rsidRPr="00CC0C6C" w:rsidRDefault="00EC556A" w:rsidP="00EC556A">
    <w:pPr>
      <w:pStyle w:val="Piedepgina"/>
      <w:jc w:val="center"/>
      <w:rPr>
        <w:b/>
      </w:rPr>
    </w:pPr>
    <w:r w:rsidRPr="00CC0C6C">
      <w:rPr>
        <w:b/>
      </w:rPr>
      <w:t>www.IPHMI.com</w:t>
    </w:r>
  </w:p>
  <w:p w14:paraId="3911A5C2" w14:textId="77777777" w:rsidR="00EC556A" w:rsidRDefault="00EC55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AA066" w14:textId="77777777" w:rsidR="003444E9" w:rsidRDefault="003444E9" w:rsidP="00CC1ECE">
      <w:r>
        <w:separator/>
      </w:r>
    </w:p>
  </w:footnote>
  <w:footnote w:type="continuationSeparator" w:id="0">
    <w:p w14:paraId="7F1A3F0F" w14:textId="77777777" w:rsidR="003444E9" w:rsidRDefault="003444E9" w:rsidP="00CC1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FA8A" w14:textId="77777777" w:rsidR="00EC556A" w:rsidRPr="00CC0C6C" w:rsidRDefault="00EC556A" w:rsidP="00EC556A">
    <w:pPr>
      <w:pStyle w:val="Encabezado"/>
      <w:jc w:val="center"/>
      <w:rPr>
        <w:b/>
        <w:i/>
        <w:sz w:val="36"/>
        <w:u w:val="single"/>
      </w:rPr>
    </w:pPr>
    <w:r w:rsidRPr="00CC0C6C">
      <w:rPr>
        <w:b/>
        <w:i/>
        <w:sz w:val="36"/>
        <w:u w:val="single"/>
      </w:rPr>
      <w:t>Instituto Internacional de Medicina Prehospitalaria</w:t>
    </w:r>
  </w:p>
  <w:p w14:paraId="0A9D369C" w14:textId="77777777" w:rsidR="00EC556A" w:rsidRDefault="00EC556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BBB979"/>
    <w:multiLevelType w:val="hybridMultilevel"/>
    <w:tmpl w:val="C0EEF0B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EE167A"/>
    <w:multiLevelType w:val="hybridMultilevel"/>
    <w:tmpl w:val="C84468D2"/>
    <w:lvl w:ilvl="0" w:tplc="9CDAD16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083F8B"/>
    <w:multiLevelType w:val="hybridMultilevel"/>
    <w:tmpl w:val="1A0C7E44"/>
    <w:lvl w:ilvl="0" w:tplc="1C8EDF10">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ADD720C"/>
    <w:multiLevelType w:val="hybridMultilevel"/>
    <w:tmpl w:val="170A378C"/>
    <w:lvl w:ilvl="0" w:tplc="9A2C270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4456E8"/>
    <w:multiLevelType w:val="hybridMultilevel"/>
    <w:tmpl w:val="6806213E"/>
    <w:lvl w:ilvl="0" w:tplc="A2729FB8">
      <w:start w:val="3"/>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D465A3"/>
    <w:multiLevelType w:val="hybridMultilevel"/>
    <w:tmpl w:val="C84468D2"/>
    <w:lvl w:ilvl="0" w:tplc="FFFFFFFF">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707113A"/>
    <w:multiLevelType w:val="hybridMultilevel"/>
    <w:tmpl w:val="9AD2CF04"/>
    <w:lvl w:ilvl="0" w:tplc="FFFFFFFF">
      <w:start w:val="1"/>
      <w:numFmt w:val="decimal"/>
      <w:lvlText w:val="%1."/>
      <w:lvlJc w:val="left"/>
      <w:pPr>
        <w:ind w:left="360" w:hanging="360"/>
      </w:pPr>
      <w:rPr>
        <w:b/>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C360673"/>
    <w:multiLevelType w:val="hybridMultilevel"/>
    <w:tmpl w:val="F45C207A"/>
    <w:lvl w:ilvl="0" w:tplc="FFFFFFFF">
      <w:start w:val="1"/>
      <w:numFmt w:val="decimal"/>
      <w:lvlText w:val="%1."/>
      <w:lvlJc w:val="left"/>
      <w:pPr>
        <w:ind w:left="360" w:hanging="360"/>
      </w:pPr>
      <w:rPr>
        <w:b/>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D7C6044"/>
    <w:multiLevelType w:val="hybridMultilevel"/>
    <w:tmpl w:val="C84468D2"/>
    <w:lvl w:ilvl="0" w:tplc="FFFFFFFF">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E177E2D"/>
    <w:multiLevelType w:val="hybridMultilevel"/>
    <w:tmpl w:val="D4B84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8509DA"/>
    <w:multiLevelType w:val="hybridMultilevel"/>
    <w:tmpl w:val="3B523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D148A0"/>
    <w:multiLevelType w:val="hybridMultilevel"/>
    <w:tmpl w:val="FE0CCF82"/>
    <w:lvl w:ilvl="0" w:tplc="11B6D3B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00C3259"/>
    <w:multiLevelType w:val="hybridMultilevel"/>
    <w:tmpl w:val="5978CEEE"/>
    <w:lvl w:ilvl="0" w:tplc="8D02F6B6">
      <w:start w:val="4"/>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D373C0"/>
    <w:multiLevelType w:val="hybridMultilevel"/>
    <w:tmpl w:val="28B4DCD8"/>
    <w:lvl w:ilvl="0" w:tplc="FFFFFFFF">
      <w:start w:val="1"/>
      <w:numFmt w:val="decimal"/>
      <w:lvlText w:val="%1."/>
      <w:lvlJc w:val="left"/>
      <w:pPr>
        <w:ind w:left="360" w:hanging="360"/>
      </w:pPr>
      <w:rPr>
        <w:b/>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1C66000"/>
    <w:multiLevelType w:val="hybridMultilevel"/>
    <w:tmpl w:val="6030A0AC"/>
    <w:lvl w:ilvl="0" w:tplc="6CC2A610">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846CD1"/>
    <w:multiLevelType w:val="hybridMultilevel"/>
    <w:tmpl w:val="CB4A5E80"/>
    <w:lvl w:ilvl="0" w:tplc="554CAC0E">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047DFD"/>
    <w:multiLevelType w:val="hybridMultilevel"/>
    <w:tmpl w:val="2134433A"/>
    <w:lvl w:ilvl="0" w:tplc="88BC33D4">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3C3BC1"/>
    <w:multiLevelType w:val="hybridMultilevel"/>
    <w:tmpl w:val="22649E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C9D2D74"/>
    <w:multiLevelType w:val="hybridMultilevel"/>
    <w:tmpl w:val="F8906F12"/>
    <w:lvl w:ilvl="0" w:tplc="9EDAB5B6">
      <w:start w:val="4"/>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C922A1"/>
    <w:multiLevelType w:val="hybridMultilevel"/>
    <w:tmpl w:val="43382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C36320"/>
    <w:multiLevelType w:val="hybridMultilevel"/>
    <w:tmpl w:val="28B4DCD8"/>
    <w:lvl w:ilvl="0" w:tplc="CF208A0A">
      <w:start w:val="1"/>
      <w:numFmt w:val="decimal"/>
      <w:lvlText w:val="%1."/>
      <w:lvlJc w:val="left"/>
      <w:pPr>
        <w:ind w:left="360" w:hanging="360"/>
      </w:pPr>
      <w:rPr>
        <w:b/>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B4C05D8"/>
    <w:multiLevelType w:val="hybridMultilevel"/>
    <w:tmpl w:val="CA4091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FF00B29"/>
    <w:multiLevelType w:val="hybridMultilevel"/>
    <w:tmpl w:val="74A0B0A8"/>
    <w:lvl w:ilvl="0" w:tplc="1812EB14">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0525D69"/>
    <w:multiLevelType w:val="hybridMultilevel"/>
    <w:tmpl w:val="063A3918"/>
    <w:lvl w:ilvl="0" w:tplc="9CDAD16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5A22AB4"/>
    <w:multiLevelType w:val="hybridMultilevel"/>
    <w:tmpl w:val="0846B586"/>
    <w:lvl w:ilvl="0" w:tplc="563C9164">
      <w:start w:val="2"/>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52526B"/>
    <w:multiLevelType w:val="hybridMultilevel"/>
    <w:tmpl w:val="C83A0AC2"/>
    <w:lvl w:ilvl="0" w:tplc="04090019">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47CE7307"/>
    <w:multiLevelType w:val="hybridMultilevel"/>
    <w:tmpl w:val="B8CA8C2E"/>
    <w:lvl w:ilvl="0" w:tplc="307EDACC">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A316B5B"/>
    <w:multiLevelType w:val="hybridMultilevel"/>
    <w:tmpl w:val="C582C08E"/>
    <w:lvl w:ilvl="0" w:tplc="B2E69150">
      <w:start w:val="4"/>
      <w:numFmt w:val="decimal"/>
      <w:lvlText w:val="%1."/>
      <w:lvlJc w:val="left"/>
      <w:pPr>
        <w:ind w:left="36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5D05CA"/>
    <w:multiLevelType w:val="hybridMultilevel"/>
    <w:tmpl w:val="C84468D2"/>
    <w:lvl w:ilvl="0" w:tplc="9CDAD16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0564616"/>
    <w:multiLevelType w:val="hybridMultilevel"/>
    <w:tmpl w:val="28B4DCD8"/>
    <w:lvl w:ilvl="0" w:tplc="FFFFFFFF">
      <w:start w:val="1"/>
      <w:numFmt w:val="decimal"/>
      <w:lvlText w:val="%1."/>
      <w:lvlJc w:val="left"/>
      <w:pPr>
        <w:ind w:left="360" w:hanging="360"/>
      </w:pPr>
      <w:rPr>
        <w:b/>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4F87855"/>
    <w:multiLevelType w:val="hybridMultilevel"/>
    <w:tmpl w:val="5D445E76"/>
    <w:lvl w:ilvl="0" w:tplc="78FE33CE">
      <w:start w:val="2"/>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09630B"/>
    <w:multiLevelType w:val="hybridMultilevel"/>
    <w:tmpl w:val="ED7EB376"/>
    <w:lvl w:ilvl="0" w:tplc="C6C61DC6">
      <w:start w:val="4"/>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397F82"/>
    <w:multiLevelType w:val="hybridMultilevel"/>
    <w:tmpl w:val="C3B82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B243BA"/>
    <w:multiLevelType w:val="hybridMultilevel"/>
    <w:tmpl w:val="AA8EAAFA"/>
    <w:lvl w:ilvl="0" w:tplc="FFFFFFFF">
      <w:start w:val="1"/>
      <w:numFmt w:val="decimal"/>
      <w:lvlText w:val="%1."/>
      <w:lvlJc w:val="left"/>
      <w:pPr>
        <w:ind w:left="360" w:hanging="360"/>
      </w:pPr>
      <w:rPr>
        <w:b/>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F492B7A"/>
    <w:multiLevelType w:val="hybridMultilevel"/>
    <w:tmpl w:val="41AA868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5" w15:restartNumberingAfterBreak="0">
    <w:nsid w:val="746F12BA"/>
    <w:multiLevelType w:val="hybridMultilevel"/>
    <w:tmpl w:val="C84468D2"/>
    <w:lvl w:ilvl="0" w:tplc="9CDAD16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4930ABD"/>
    <w:multiLevelType w:val="hybridMultilevel"/>
    <w:tmpl w:val="FA74D32A"/>
    <w:lvl w:ilvl="0" w:tplc="78FE33CE">
      <w:start w:val="2"/>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9992BC6"/>
    <w:multiLevelType w:val="hybridMultilevel"/>
    <w:tmpl w:val="ADB6CBA0"/>
    <w:lvl w:ilvl="0" w:tplc="1198496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A1550A5"/>
    <w:multiLevelType w:val="hybridMultilevel"/>
    <w:tmpl w:val="050C1C0A"/>
    <w:lvl w:ilvl="0" w:tplc="9A2C270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ACA7468"/>
    <w:multiLevelType w:val="hybridMultilevel"/>
    <w:tmpl w:val="2F5A141C"/>
    <w:lvl w:ilvl="0" w:tplc="C15456BC">
      <w:start w:val="3"/>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13573C"/>
    <w:multiLevelType w:val="hybridMultilevel"/>
    <w:tmpl w:val="9A9CCCCE"/>
    <w:lvl w:ilvl="0" w:tplc="FFFFFFFF">
      <w:start w:val="1"/>
      <w:numFmt w:val="decimal"/>
      <w:lvlText w:val="%1."/>
      <w:lvlJc w:val="left"/>
      <w:pPr>
        <w:ind w:left="360" w:hanging="360"/>
      </w:pPr>
      <w:rPr>
        <w:b/>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B7A37FB"/>
    <w:multiLevelType w:val="hybridMultilevel"/>
    <w:tmpl w:val="C84468D2"/>
    <w:lvl w:ilvl="0" w:tplc="9CDAD16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9"/>
  </w:num>
  <w:num w:numId="2">
    <w:abstractNumId w:val="31"/>
  </w:num>
  <w:num w:numId="3">
    <w:abstractNumId w:val="20"/>
  </w:num>
  <w:num w:numId="4">
    <w:abstractNumId w:val="16"/>
  </w:num>
  <w:num w:numId="5">
    <w:abstractNumId w:val="0"/>
  </w:num>
  <w:num w:numId="6">
    <w:abstractNumId w:val="25"/>
  </w:num>
  <w:num w:numId="7">
    <w:abstractNumId w:val="32"/>
  </w:num>
  <w:num w:numId="8">
    <w:abstractNumId w:val="9"/>
  </w:num>
  <w:num w:numId="9">
    <w:abstractNumId w:val="19"/>
  </w:num>
  <w:num w:numId="10">
    <w:abstractNumId w:val="17"/>
  </w:num>
  <w:num w:numId="11">
    <w:abstractNumId w:val="21"/>
  </w:num>
  <w:num w:numId="12">
    <w:abstractNumId w:val="3"/>
  </w:num>
  <w:num w:numId="13">
    <w:abstractNumId w:val="38"/>
  </w:num>
  <w:num w:numId="14">
    <w:abstractNumId w:val="23"/>
  </w:num>
  <w:num w:numId="15">
    <w:abstractNumId w:val="35"/>
  </w:num>
  <w:num w:numId="16">
    <w:abstractNumId w:val="1"/>
  </w:num>
  <w:num w:numId="17">
    <w:abstractNumId w:val="11"/>
  </w:num>
  <w:num w:numId="18">
    <w:abstractNumId w:val="41"/>
  </w:num>
  <w:num w:numId="19">
    <w:abstractNumId w:val="14"/>
  </w:num>
  <w:num w:numId="20">
    <w:abstractNumId w:val="28"/>
  </w:num>
  <w:num w:numId="21">
    <w:abstractNumId w:val="12"/>
  </w:num>
  <w:num w:numId="22">
    <w:abstractNumId w:val="4"/>
  </w:num>
  <w:num w:numId="23">
    <w:abstractNumId w:val="22"/>
  </w:num>
  <w:num w:numId="24">
    <w:abstractNumId w:val="8"/>
  </w:num>
  <w:num w:numId="25">
    <w:abstractNumId w:val="2"/>
  </w:num>
  <w:num w:numId="26">
    <w:abstractNumId w:val="5"/>
  </w:num>
  <w:num w:numId="27">
    <w:abstractNumId w:val="26"/>
  </w:num>
  <w:num w:numId="28">
    <w:abstractNumId w:val="24"/>
  </w:num>
  <w:num w:numId="29">
    <w:abstractNumId w:val="27"/>
  </w:num>
  <w:num w:numId="30">
    <w:abstractNumId w:val="13"/>
  </w:num>
  <w:num w:numId="31">
    <w:abstractNumId w:val="34"/>
  </w:num>
  <w:num w:numId="32">
    <w:abstractNumId w:val="33"/>
  </w:num>
  <w:num w:numId="33">
    <w:abstractNumId w:val="6"/>
  </w:num>
  <w:num w:numId="34">
    <w:abstractNumId w:val="29"/>
  </w:num>
  <w:num w:numId="35">
    <w:abstractNumId w:val="10"/>
  </w:num>
  <w:num w:numId="36">
    <w:abstractNumId w:val="37"/>
  </w:num>
  <w:num w:numId="37">
    <w:abstractNumId w:val="36"/>
  </w:num>
  <w:num w:numId="38">
    <w:abstractNumId w:val="15"/>
  </w:num>
  <w:num w:numId="39">
    <w:abstractNumId w:val="30"/>
  </w:num>
  <w:num w:numId="40">
    <w:abstractNumId w:val="18"/>
  </w:num>
  <w:num w:numId="41">
    <w:abstractNumId w:val="7"/>
  </w:num>
  <w:num w:numId="42">
    <w:abstractNumId w:val="4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DB7"/>
    <w:rsid w:val="0000060E"/>
    <w:rsid w:val="00000D8B"/>
    <w:rsid w:val="00000FEC"/>
    <w:rsid w:val="00007BA6"/>
    <w:rsid w:val="00012F95"/>
    <w:rsid w:val="0001698B"/>
    <w:rsid w:val="00020D8A"/>
    <w:rsid w:val="0002464E"/>
    <w:rsid w:val="000251EC"/>
    <w:rsid w:val="00033677"/>
    <w:rsid w:val="00033B77"/>
    <w:rsid w:val="00037773"/>
    <w:rsid w:val="000403B1"/>
    <w:rsid w:val="00041C70"/>
    <w:rsid w:val="00046471"/>
    <w:rsid w:val="00053DC7"/>
    <w:rsid w:val="000548D0"/>
    <w:rsid w:val="000577EB"/>
    <w:rsid w:val="000607DE"/>
    <w:rsid w:val="0008350C"/>
    <w:rsid w:val="00086FB0"/>
    <w:rsid w:val="000942CA"/>
    <w:rsid w:val="00096298"/>
    <w:rsid w:val="000A39D8"/>
    <w:rsid w:val="000A500D"/>
    <w:rsid w:val="000A7673"/>
    <w:rsid w:val="000B2DC9"/>
    <w:rsid w:val="000B3977"/>
    <w:rsid w:val="000B5810"/>
    <w:rsid w:val="000C1C93"/>
    <w:rsid w:val="000C1ED3"/>
    <w:rsid w:val="000D737E"/>
    <w:rsid w:val="000E1EEE"/>
    <w:rsid w:val="000E61AC"/>
    <w:rsid w:val="000E7FF5"/>
    <w:rsid w:val="000F0391"/>
    <w:rsid w:val="000F44FE"/>
    <w:rsid w:val="000F6E4A"/>
    <w:rsid w:val="001053F1"/>
    <w:rsid w:val="00107449"/>
    <w:rsid w:val="00112343"/>
    <w:rsid w:val="0011511A"/>
    <w:rsid w:val="0012112A"/>
    <w:rsid w:val="00125483"/>
    <w:rsid w:val="00125AF1"/>
    <w:rsid w:val="00126D9C"/>
    <w:rsid w:val="001272F3"/>
    <w:rsid w:val="001327B9"/>
    <w:rsid w:val="00137FB9"/>
    <w:rsid w:val="00140F42"/>
    <w:rsid w:val="001459A9"/>
    <w:rsid w:val="001465D4"/>
    <w:rsid w:val="001505DB"/>
    <w:rsid w:val="00155484"/>
    <w:rsid w:val="00161774"/>
    <w:rsid w:val="00176FE6"/>
    <w:rsid w:val="001810C4"/>
    <w:rsid w:val="00181E88"/>
    <w:rsid w:val="00184890"/>
    <w:rsid w:val="00184D1F"/>
    <w:rsid w:val="00193364"/>
    <w:rsid w:val="00193BAE"/>
    <w:rsid w:val="001A2AF5"/>
    <w:rsid w:val="001A2CA7"/>
    <w:rsid w:val="001A632D"/>
    <w:rsid w:val="001B2C0E"/>
    <w:rsid w:val="001C0348"/>
    <w:rsid w:val="001C16EF"/>
    <w:rsid w:val="001C3615"/>
    <w:rsid w:val="001C5280"/>
    <w:rsid w:val="001D0851"/>
    <w:rsid w:val="001D229F"/>
    <w:rsid w:val="001D57F6"/>
    <w:rsid w:val="001E10D6"/>
    <w:rsid w:val="001E4361"/>
    <w:rsid w:val="001F470D"/>
    <w:rsid w:val="001F6CFD"/>
    <w:rsid w:val="001F7C77"/>
    <w:rsid w:val="00200E21"/>
    <w:rsid w:val="00203A36"/>
    <w:rsid w:val="00204A3E"/>
    <w:rsid w:val="00204D61"/>
    <w:rsid w:val="00206296"/>
    <w:rsid w:val="00216EFE"/>
    <w:rsid w:val="00221F53"/>
    <w:rsid w:val="00234651"/>
    <w:rsid w:val="00234BAF"/>
    <w:rsid w:val="00235410"/>
    <w:rsid w:val="00235D40"/>
    <w:rsid w:val="0023757E"/>
    <w:rsid w:val="0024264F"/>
    <w:rsid w:val="00253C5C"/>
    <w:rsid w:val="002576B3"/>
    <w:rsid w:val="00264DF6"/>
    <w:rsid w:val="00265734"/>
    <w:rsid w:val="00265A59"/>
    <w:rsid w:val="00267862"/>
    <w:rsid w:val="00270EB5"/>
    <w:rsid w:val="0027336D"/>
    <w:rsid w:val="002736F8"/>
    <w:rsid w:val="002750A3"/>
    <w:rsid w:val="00275AE9"/>
    <w:rsid w:val="002816EF"/>
    <w:rsid w:val="00281AA8"/>
    <w:rsid w:val="00283B4B"/>
    <w:rsid w:val="002910C5"/>
    <w:rsid w:val="002943AA"/>
    <w:rsid w:val="0029612D"/>
    <w:rsid w:val="002A448D"/>
    <w:rsid w:val="002A612A"/>
    <w:rsid w:val="002B1C13"/>
    <w:rsid w:val="002B2E15"/>
    <w:rsid w:val="002C00B1"/>
    <w:rsid w:val="002C1439"/>
    <w:rsid w:val="002C41E8"/>
    <w:rsid w:val="002D18D0"/>
    <w:rsid w:val="002D385C"/>
    <w:rsid w:val="002E0AB2"/>
    <w:rsid w:val="002E6A42"/>
    <w:rsid w:val="002F1B9E"/>
    <w:rsid w:val="002F2158"/>
    <w:rsid w:val="00301C76"/>
    <w:rsid w:val="00304FCB"/>
    <w:rsid w:val="003058A2"/>
    <w:rsid w:val="003078BD"/>
    <w:rsid w:val="003111DD"/>
    <w:rsid w:val="003122CE"/>
    <w:rsid w:val="00316585"/>
    <w:rsid w:val="00317365"/>
    <w:rsid w:val="0032129A"/>
    <w:rsid w:val="00321528"/>
    <w:rsid w:val="00326AF1"/>
    <w:rsid w:val="00332A7D"/>
    <w:rsid w:val="003331AA"/>
    <w:rsid w:val="003444E9"/>
    <w:rsid w:val="00346AB0"/>
    <w:rsid w:val="00356335"/>
    <w:rsid w:val="00361398"/>
    <w:rsid w:val="00362F86"/>
    <w:rsid w:val="00363F26"/>
    <w:rsid w:val="00367A88"/>
    <w:rsid w:val="003800B3"/>
    <w:rsid w:val="00381BDD"/>
    <w:rsid w:val="0038633C"/>
    <w:rsid w:val="0038790A"/>
    <w:rsid w:val="00390AEA"/>
    <w:rsid w:val="00392C1F"/>
    <w:rsid w:val="00395433"/>
    <w:rsid w:val="003962A4"/>
    <w:rsid w:val="003B3023"/>
    <w:rsid w:val="003B39E9"/>
    <w:rsid w:val="003B3A90"/>
    <w:rsid w:val="003B6592"/>
    <w:rsid w:val="003B7857"/>
    <w:rsid w:val="003D2244"/>
    <w:rsid w:val="003D44D9"/>
    <w:rsid w:val="003E0710"/>
    <w:rsid w:val="003E07DA"/>
    <w:rsid w:val="003E1465"/>
    <w:rsid w:val="003E51F2"/>
    <w:rsid w:val="003F4BB7"/>
    <w:rsid w:val="0040407D"/>
    <w:rsid w:val="00404F6F"/>
    <w:rsid w:val="004068DD"/>
    <w:rsid w:val="00406B3D"/>
    <w:rsid w:val="0041124D"/>
    <w:rsid w:val="00413939"/>
    <w:rsid w:val="00415CB4"/>
    <w:rsid w:val="00424045"/>
    <w:rsid w:val="00424314"/>
    <w:rsid w:val="00425215"/>
    <w:rsid w:val="004269E1"/>
    <w:rsid w:val="00431361"/>
    <w:rsid w:val="004654DB"/>
    <w:rsid w:val="00472F9A"/>
    <w:rsid w:val="004749F7"/>
    <w:rsid w:val="00483D2C"/>
    <w:rsid w:val="00485330"/>
    <w:rsid w:val="00490A07"/>
    <w:rsid w:val="0049245A"/>
    <w:rsid w:val="00493BCD"/>
    <w:rsid w:val="004A1C81"/>
    <w:rsid w:val="004A2499"/>
    <w:rsid w:val="004A5FB7"/>
    <w:rsid w:val="004B5626"/>
    <w:rsid w:val="004B6C92"/>
    <w:rsid w:val="004B7EE3"/>
    <w:rsid w:val="004D3C0D"/>
    <w:rsid w:val="004D5F8C"/>
    <w:rsid w:val="004E0756"/>
    <w:rsid w:val="004E27B8"/>
    <w:rsid w:val="004E3BCF"/>
    <w:rsid w:val="004E7694"/>
    <w:rsid w:val="004F050C"/>
    <w:rsid w:val="005053A7"/>
    <w:rsid w:val="00506F03"/>
    <w:rsid w:val="00520E73"/>
    <w:rsid w:val="005217D8"/>
    <w:rsid w:val="00523D0F"/>
    <w:rsid w:val="00526673"/>
    <w:rsid w:val="00527BE6"/>
    <w:rsid w:val="00530542"/>
    <w:rsid w:val="00536681"/>
    <w:rsid w:val="00540AB0"/>
    <w:rsid w:val="00542970"/>
    <w:rsid w:val="00550A12"/>
    <w:rsid w:val="0057657B"/>
    <w:rsid w:val="005769AE"/>
    <w:rsid w:val="005830F5"/>
    <w:rsid w:val="00592D6B"/>
    <w:rsid w:val="00593D20"/>
    <w:rsid w:val="00597139"/>
    <w:rsid w:val="005A338C"/>
    <w:rsid w:val="005A340E"/>
    <w:rsid w:val="005A685A"/>
    <w:rsid w:val="005B1B93"/>
    <w:rsid w:val="005B3228"/>
    <w:rsid w:val="005B4D2F"/>
    <w:rsid w:val="005C209E"/>
    <w:rsid w:val="005D21B6"/>
    <w:rsid w:val="005D3C3C"/>
    <w:rsid w:val="005E1684"/>
    <w:rsid w:val="005E4774"/>
    <w:rsid w:val="005F2C3D"/>
    <w:rsid w:val="0060639D"/>
    <w:rsid w:val="00612DB7"/>
    <w:rsid w:val="0062363F"/>
    <w:rsid w:val="00632D45"/>
    <w:rsid w:val="00640BE7"/>
    <w:rsid w:val="00643503"/>
    <w:rsid w:val="0064535D"/>
    <w:rsid w:val="00653565"/>
    <w:rsid w:val="00656510"/>
    <w:rsid w:val="00657100"/>
    <w:rsid w:val="0066164D"/>
    <w:rsid w:val="00666AD9"/>
    <w:rsid w:val="0067234F"/>
    <w:rsid w:val="006758ED"/>
    <w:rsid w:val="006808BC"/>
    <w:rsid w:val="00692403"/>
    <w:rsid w:val="00692F42"/>
    <w:rsid w:val="00695417"/>
    <w:rsid w:val="00696332"/>
    <w:rsid w:val="006A73E8"/>
    <w:rsid w:val="006B01B5"/>
    <w:rsid w:val="006B4BCB"/>
    <w:rsid w:val="006B4C49"/>
    <w:rsid w:val="006B787B"/>
    <w:rsid w:val="006C1D46"/>
    <w:rsid w:val="006C28B6"/>
    <w:rsid w:val="006C78B2"/>
    <w:rsid w:val="006D0CA1"/>
    <w:rsid w:val="006D2989"/>
    <w:rsid w:val="006E1A31"/>
    <w:rsid w:val="006E632D"/>
    <w:rsid w:val="006E6E47"/>
    <w:rsid w:val="006F0274"/>
    <w:rsid w:val="006F5CBF"/>
    <w:rsid w:val="006F7C8E"/>
    <w:rsid w:val="00701C52"/>
    <w:rsid w:val="007044CC"/>
    <w:rsid w:val="00717345"/>
    <w:rsid w:val="00733101"/>
    <w:rsid w:val="0073764B"/>
    <w:rsid w:val="007419D9"/>
    <w:rsid w:val="00742AC7"/>
    <w:rsid w:val="00745AC5"/>
    <w:rsid w:val="007537AD"/>
    <w:rsid w:val="00753E26"/>
    <w:rsid w:val="00757AE3"/>
    <w:rsid w:val="0077245B"/>
    <w:rsid w:val="007832E3"/>
    <w:rsid w:val="00783856"/>
    <w:rsid w:val="00783BAC"/>
    <w:rsid w:val="0078434F"/>
    <w:rsid w:val="007866D0"/>
    <w:rsid w:val="007953ED"/>
    <w:rsid w:val="007A125C"/>
    <w:rsid w:val="007A1647"/>
    <w:rsid w:val="007A3A49"/>
    <w:rsid w:val="007B4CDB"/>
    <w:rsid w:val="007B66CA"/>
    <w:rsid w:val="007B735B"/>
    <w:rsid w:val="007C09BD"/>
    <w:rsid w:val="007C1ECF"/>
    <w:rsid w:val="007C7235"/>
    <w:rsid w:val="007D0305"/>
    <w:rsid w:val="007D3F72"/>
    <w:rsid w:val="007D5076"/>
    <w:rsid w:val="007D58BA"/>
    <w:rsid w:val="007D6F97"/>
    <w:rsid w:val="007E0612"/>
    <w:rsid w:val="007F3B34"/>
    <w:rsid w:val="007F7274"/>
    <w:rsid w:val="00803A9A"/>
    <w:rsid w:val="008141BF"/>
    <w:rsid w:val="00825722"/>
    <w:rsid w:val="008363AF"/>
    <w:rsid w:val="00837F82"/>
    <w:rsid w:val="00846182"/>
    <w:rsid w:val="00852D41"/>
    <w:rsid w:val="008548AF"/>
    <w:rsid w:val="008710B9"/>
    <w:rsid w:val="00873AD0"/>
    <w:rsid w:val="00880689"/>
    <w:rsid w:val="008A0008"/>
    <w:rsid w:val="008A0F53"/>
    <w:rsid w:val="008B00CB"/>
    <w:rsid w:val="008B038E"/>
    <w:rsid w:val="008B4ABE"/>
    <w:rsid w:val="008B6898"/>
    <w:rsid w:val="008C2DA9"/>
    <w:rsid w:val="008D4278"/>
    <w:rsid w:val="008E160E"/>
    <w:rsid w:val="008E2104"/>
    <w:rsid w:val="008E424C"/>
    <w:rsid w:val="008E502B"/>
    <w:rsid w:val="008E68F7"/>
    <w:rsid w:val="008E7368"/>
    <w:rsid w:val="008F3248"/>
    <w:rsid w:val="008F601D"/>
    <w:rsid w:val="00901F19"/>
    <w:rsid w:val="00903E7E"/>
    <w:rsid w:val="00904E9C"/>
    <w:rsid w:val="009073F7"/>
    <w:rsid w:val="009106F1"/>
    <w:rsid w:val="00912F3D"/>
    <w:rsid w:val="00914150"/>
    <w:rsid w:val="00922E3E"/>
    <w:rsid w:val="009260F6"/>
    <w:rsid w:val="009277B9"/>
    <w:rsid w:val="009308A2"/>
    <w:rsid w:val="009328CC"/>
    <w:rsid w:val="00940115"/>
    <w:rsid w:val="00943813"/>
    <w:rsid w:val="00945B96"/>
    <w:rsid w:val="009505B0"/>
    <w:rsid w:val="00951957"/>
    <w:rsid w:val="00960913"/>
    <w:rsid w:val="009634BA"/>
    <w:rsid w:val="0097137D"/>
    <w:rsid w:val="00975B8C"/>
    <w:rsid w:val="009809EC"/>
    <w:rsid w:val="00985114"/>
    <w:rsid w:val="00987ADA"/>
    <w:rsid w:val="00996C8E"/>
    <w:rsid w:val="009979A0"/>
    <w:rsid w:val="009A5621"/>
    <w:rsid w:val="009A72C1"/>
    <w:rsid w:val="009B3196"/>
    <w:rsid w:val="009B5E3E"/>
    <w:rsid w:val="009D2B40"/>
    <w:rsid w:val="009D3589"/>
    <w:rsid w:val="009D57E7"/>
    <w:rsid w:val="009E2627"/>
    <w:rsid w:val="009F25AA"/>
    <w:rsid w:val="009F53F7"/>
    <w:rsid w:val="00A03A18"/>
    <w:rsid w:val="00A11702"/>
    <w:rsid w:val="00A12D76"/>
    <w:rsid w:val="00A16ED6"/>
    <w:rsid w:val="00A322D2"/>
    <w:rsid w:val="00A33F37"/>
    <w:rsid w:val="00A34DB2"/>
    <w:rsid w:val="00A36579"/>
    <w:rsid w:val="00A406B3"/>
    <w:rsid w:val="00A45647"/>
    <w:rsid w:val="00A55EE6"/>
    <w:rsid w:val="00A569A0"/>
    <w:rsid w:val="00A57792"/>
    <w:rsid w:val="00A62253"/>
    <w:rsid w:val="00A65EF4"/>
    <w:rsid w:val="00A66C04"/>
    <w:rsid w:val="00A704B4"/>
    <w:rsid w:val="00A71B69"/>
    <w:rsid w:val="00A73410"/>
    <w:rsid w:val="00A779CC"/>
    <w:rsid w:val="00A834E7"/>
    <w:rsid w:val="00A83C04"/>
    <w:rsid w:val="00A84C1B"/>
    <w:rsid w:val="00A933AB"/>
    <w:rsid w:val="00A93E30"/>
    <w:rsid w:val="00AA5387"/>
    <w:rsid w:val="00AA7EC1"/>
    <w:rsid w:val="00AB1930"/>
    <w:rsid w:val="00AB3C9D"/>
    <w:rsid w:val="00AB5858"/>
    <w:rsid w:val="00AD2237"/>
    <w:rsid w:val="00AD7ED9"/>
    <w:rsid w:val="00AF221D"/>
    <w:rsid w:val="00AF5699"/>
    <w:rsid w:val="00B07EA7"/>
    <w:rsid w:val="00B13E10"/>
    <w:rsid w:val="00B1711F"/>
    <w:rsid w:val="00B31B87"/>
    <w:rsid w:val="00B31C7F"/>
    <w:rsid w:val="00B33670"/>
    <w:rsid w:val="00B4144E"/>
    <w:rsid w:val="00B432F8"/>
    <w:rsid w:val="00B44CA8"/>
    <w:rsid w:val="00B50275"/>
    <w:rsid w:val="00B5115C"/>
    <w:rsid w:val="00B5424E"/>
    <w:rsid w:val="00B65219"/>
    <w:rsid w:val="00B662B4"/>
    <w:rsid w:val="00B67CE0"/>
    <w:rsid w:val="00B702EE"/>
    <w:rsid w:val="00B76069"/>
    <w:rsid w:val="00B817D8"/>
    <w:rsid w:val="00B903C9"/>
    <w:rsid w:val="00B916EB"/>
    <w:rsid w:val="00BA3A92"/>
    <w:rsid w:val="00BB1C4D"/>
    <w:rsid w:val="00BB3360"/>
    <w:rsid w:val="00BC3FB1"/>
    <w:rsid w:val="00BC4278"/>
    <w:rsid w:val="00BD0399"/>
    <w:rsid w:val="00BD171A"/>
    <w:rsid w:val="00BD242E"/>
    <w:rsid w:val="00BE1F02"/>
    <w:rsid w:val="00BE6989"/>
    <w:rsid w:val="00BE7361"/>
    <w:rsid w:val="00BF6A4B"/>
    <w:rsid w:val="00C076B5"/>
    <w:rsid w:val="00C07D4B"/>
    <w:rsid w:val="00C101AC"/>
    <w:rsid w:val="00C106D8"/>
    <w:rsid w:val="00C11D96"/>
    <w:rsid w:val="00C22F59"/>
    <w:rsid w:val="00C23304"/>
    <w:rsid w:val="00C26485"/>
    <w:rsid w:val="00C33139"/>
    <w:rsid w:val="00C4127F"/>
    <w:rsid w:val="00C4140F"/>
    <w:rsid w:val="00C42D45"/>
    <w:rsid w:val="00C44324"/>
    <w:rsid w:val="00C459ED"/>
    <w:rsid w:val="00C627AA"/>
    <w:rsid w:val="00C644DC"/>
    <w:rsid w:val="00C704D2"/>
    <w:rsid w:val="00C70676"/>
    <w:rsid w:val="00C7369A"/>
    <w:rsid w:val="00C8273A"/>
    <w:rsid w:val="00C90D69"/>
    <w:rsid w:val="00C94CBA"/>
    <w:rsid w:val="00C97C08"/>
    <w:rsid w:val="00CA15CD"/>
    <w:rsid w:val="00CB208E"/>
    <w:rsid w:val="00CB7B80"/>
    <w:rsid w:val="00CC1ECE"/>
    <w:rsid w:val="00CC28FA"/>
    <w:rsid w:val="00CC3B9C"/>
    <w:rsid w:val="00CC60E0"/>
    <w:rsid w:val="00CD11FC"/>
    <w:rsid w:val="00CD47BF"/>
    <w:rsid w:val="00CD6CCC"/>
    <w:rsid w:val="00CE5A35"/>
    <w:rsid w:val="00CF26A5"/>
    <w:rsid w:val="00D03F51"/>
    <w:rsid w:val="00D07B9D"/>
    <w:rsid w:val="00D12076"/>
    <w:rsid w:val="00D20569"/>
    <w:rsid w:val="00D21EC7"/>
    <w:rsid w:val="00D24707"/>
    <w:rsid w:val="00D24E8B"/>
    <w:rsid w:val="00D27263"/>
    <w:rsid w:val="00D50450"/>
    <w:rsid w:val="00D551AD"/>
    <w:rsid w:val="00D60821"/>
    <w:rsid w:val="00D6189B"/>
    <w:rsid w:val="00D63344"/>
    <w:rsid w:val="00D635BE"/>
    <w:rsid w:val="00D706A9"/>
    <w:rsid w:val="00D72B85"/>
    <w:rsid w:val="00D7366F"/>
    <w:rsid w:val="00D73D4F"/>
    <w:rsid w:val="00D746F3"/>
    <w:rsid w:val="00D75F7A"/>
    <w:rsid w:val="00D764C8"/>
    <w:rsid w:val="00D80B58"/>
    <w:rsid w:val="00DA1520"/>
    <w:rsid w:val="00DA3D18"/>
    <w:rsid w:val="00DA7547"/>
    <w:rsid w:val="00DC0273"/>
    <w:rsid w:val="00DC08A7"/>
    <w:rsid w:val="00DC1BDF"/>
    <w:rsid w:val="00DC67D9"/>
    <w:rsid w:val="00DC7963"/>
    <w:rsid w:val="00DD3366"/>
    <w:rsid w:val="00DE6841"/>
    <w:rsid w:val="00DF0E6D"/>
    <w:rsid w:val="00DF1BB5"/>
    <w:rsid w:val="00DF551A"/>
    <w:rsid w:val="00E0109A"/>
    <w:rsid w:val="00E03092"/>
    <w:rsid w:val="00E06170"/>
    <w:rsid w:val="00E067C2"/>
    <w:rsid w:val="00E122A1"/>
    <w:rsid w:val="00E21606"/>
    <w:rsid w:val="00E32EFE"/>
    <w:rsid w:val="00E35014"/>
    <w:rsid w:val="00E36885"/>
    <w:rsid w:val="00E36F82"/>
    <w:rsid w:val="00E44B5A"/>
    <w:rsid w:val="00E52C61"/>
    <w:rsid w:val="00E653CA"/>
    <w:rsid w:val="00E7020E"/>
    <w:rsid w:val="00E71FDA"/>
    <w:rsid w:val="00E7332A"/>
    <w:rsid w:val="00E77606"/>
    <w:rsid w:val="00E8179F"/>
    <w:rsid w:val="00E86572"/>
    <w:rsid w:val="00E918D6"/>
    <w:rsid w:val="00EA5606"/>
    <w:rsid w:val="00EC3111"/>
    <w:rsid w:val="00EC32F1"/>
    <w:rsid w:val="00EC4980"/>
    <w:rsid w:val="00EC556A"/>
    <w:rsid w:val="00ED5F07"/>
    <w:rsid w:val="00EF3522"/>
    <w:rsid w:val="00EF3E44"/>
    <w:rsid w:val="00F04C34"/>
    <w:rsid w:val="00F04F34"/>
    <w:rsid w:val="00F114EE"/>
    <w:rsid w:val="00F128FD"/>
    <w:rsid w:val="00F13C7C"/>
    <w:rsid w:val="00F15F8D"/>
    <w:rsid w:val="00F246AC"/>
    <w:rsid w:val="00F30BD1"/>
    <w:rsid w:val="00F36A03"/>
    <w:rsid w:val="00F36AD9"/>
    <w:rsid w:val="00F46E88"/>
    <w:rsid w:val="00F47D00"/>
    <w:rsid w:val="00F5437E"/>
    <w:rsid w:val="00F54978"/>
    <w:rsid w:val="00F63757"/>
    <w:rsid w:val="00F67571"/>
    <w:rsid w:val="00F67C65"/>
    <w:rsid w:val="00F74DEA"/>
    <w:rsid w:val="00F80497"/>
    <w:rsid w:val="00F83E59"/>
    <w:rsid w:val="00F921FA"/>
    <w:rsid w:val="00FA207B"/>
    <w:rsid w:val="00FA3E27"/>
    <w:rsid w:val="00FA51B5"/>
    <w:rsid w:val="00FC4013"/>
    <w:rsid w:val="00FC4639"/>
    <w:rsid w:val="00FC467B"/>
    <w:rsid w:val="00FD1A6B"/>
    <w:rsid w:val="00FD5B32"/>
    <w:rsid w:val="00FE48DE"/>
    <w:rsid w:val="00FF6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96E6D"/>
  <w15:docId w15:val="{66A55C3E-23C0-4F59-A726-56252D2BD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0B1"/>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419D9"/>
    <w:pPr>
      <w:ind w:left="720"/>
      <w:contextualSpacing/>
    </w:pPr>
  </w:style>
  <w:style w:type="character" w:customStyle="1" w:styleId="journaltitlesp1">
    <w:name w:val="journaltitlesp1"/>
    <w:basedOn w:val="Fuentedeprrafopredeter"/>
    <w:rsid w:val="00523D0F"/>
    <w:rPr>
      <w:i/>
      <w:iCs/>
    </w:rPr>
  </w:style>
  <w:style w:type="character" w:customStyle="1" w:styleId="issuevolsp">
    <w:name w:val="issuevolsp"/>
    <w:basedOn w:val="Fuentedeprrafopredeter"/>
    <w:rsid w:val="00523D0F"/>
  </w:style>
  <w:style w:type="character" w:customStyle="1" w:styleId="pagerange">
    <w:name w:val="pagerange"/>
    <w:basedOn w:val="Fuentedeprrafopredeter"/>
    <w:rsid w:val="00523D0F"/>
  </w:style>
  <w:style w:type="paragraph" w:styleId="Textodeglobo">
    <w:name w:val="Balloon Text"/>
    <w:basedOn w:val="Normal"/>
    <w:link w:val="TextodegloboCar"/>
    <w:uiPriority w:val="99"/>
    <w:semiHidden/>
    <w:unhideWhenUsed/>
    <w:rsid w:val="007C7235"/>
    <w:rPr>
      <w:rFonts w:ascii="Tahoma" w:hAnsi="Tahoma" w:cs="Tahoma"/>
      <w:sz w:val="16"/>
      <w:szCs w:val="16"/>
    </w:rPr>
  </w:style>
  <w:style w:type="character" w:customStyle="1" w:styleId="TextodegloboCar">
    <w:name w:val="Texto de globo Car"/>
    <w:basedOn w:val="Fuentedeprrafopredeter"/>
    <w:link w:val="Textodeglobo"/>
    <w:uiPriority w:val="99"/>
    <w:semiHidden/>
    <w:rsid w:val="007C7235"/>
    <w:rPr>
      <w:rFonts w:ascii="Tahoma" w:hAnsi="Tahoma" w:cs="Tahoma"/>
      <w:sz w:val="16"/>
      <w:szCs w:val="16"/>
    </w:rPr>
  </w:style>
  <w:style w:type="paragraph" w:styleId="Sinespaciado">
    <w:name w:val="No Spacing"/>
    <w:uiPriority w:val="1"/>
    <w:qFormat/>
    <w:rsid w:val="00B5424E"/>
  </w:style>
  <w:style w:type="paragraph" w:styleId="Encabezado">
    <w:name w:val="header"/>
    <w:basedOn w:val="Normal"/>
    <w:link w:val="EncabezadoCar"/>
    <w:uiPriority w:val="99"/>
    <w:unhideWhenUsed/>
    <w:rsid w:val="00CC1ECE"/>
    <w:pPr>
      <w:tabs>
        <w:tab w:val="center" w:pos="4680"/>
        <w:tab w:val="right" w:pos="9360"/>
      </w:tabs>
    </w:pPr>
  </w:style>
  <w:style w:type="character" w:customStyle="1" w:styleId="EncabezadoCar">
    <w:name w:val="Encabezado Car"/>
    <w:basedOn w:val="Fuentedeprrafopredeter"/>
    <w:link w:val="Encabezado"/>
    <w:uiPriority w:val="99"/>
    <w:rsid w:val="00CC1ECE"/>
  </w:style>
  <w:style w:type="paragraph" w:styleId="Piedepgina">
    <w:name w:val="footer"/>
    <w:basedOn w:val="Normal"/>
    <w:link w:val="PiedepginaCar"/>
    <w:uiPriority w:val="99"/>
    <w:unhideWhenUsed/>
    <w:rsid w:val="00CC1ECE"/>
    <w:pPr>
      <w:tabs>
        <w:tab w:val="center" w:pos="4680"/>
        <w:tab w:val="right" w:pos="9360"/>
      </w:tabs>
    </w:pPr>
  </w:style>
  <w:style w:type="character" w:customStyle="1" w:styleId="PiedepginaCar">
    <w:name w:val="Pie de página Car"/>
    <w:basedOn w:val="Fuentedeprrafopredeter"/>
    <w:link w:val="Piedepgina"/>
    <w:uiPriority w:val="99"/>
    <w:rsid w:val="00CC1ECE"/>
  </w:style>
  <w:style w:type="character" w:styleId="Hipervnculo">
    <w:name w:val="Hyperlink"/>
    <w:basedOn w:val="Fuentedeprrafopredeter"/>
    <w:uiPriority w:val="99"/>
    <w:unhideWhenUsed/>
    <w:rsid w:val="00943813"/>
    <w:rPr>
      <w:color w:val="0000FF" w:themeColor="hyperlink"/>
      <w:u w:val="single"/>
    </w:rPr>
  </w:style>
  <w:style w:type="character" w:styleId="Hipervnculovisitado">
    <w:name w:val="FollowedHyperlink"/>
    <w:basedOn w:val="Fuentedeprrafopredeter"/>
    <w:uiPriority w:val="99"/>
    <w:semiHidden/>
    <w:unhideWhenUsed/>
    <w:rsid w:val="00F67571"/>
    <w:rPr>
      <w:color w:val="800080" w:themeColor="followedHyperlink"/>
      <w:u w:val="single"/>
    </w:rPr>
  </w:style>
  <w:style w:type="table" w:styleId="Tablaconcuadrcula">
    <w:name w:val="Table Grid"/>
    <w:basedOn w:val="Tablanormal"/>
    <w:uiPriority w:val="59"/>
    <w:rsid w:val="004B5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122A1"/>
    <w:rPr>
      <w:rFonts w:ascii="Times New Roman" w:hAnsi="Times New Roman" w:cs="Times New Roman"/>
      <w:sz w:val="24"/>
      <w:szCs w:val="24"/>
    </w:rPr>
  </w:style>
  <w:style w:type="character" w:customStyle="1" w:styleId="A6">
    <w:name w:val="A6"/>
    <w:uiPriority w:val="99"/>
    <w:rsid w:val="00321528"/>
    <w:rPr>
      <w:color w:val="000000"/>
      <w:sz w:val="21"/>
      <w:szCs w:val="21"/>
    </w:rPr>
  </w:style>
  <w:style w:type="character" w:customStyle="1" w:styleId="UnresolvedMention1">
    <w:name w:val="Unresolved Mention1"/>
    <w:basedOn w:val="Fuentedeprrafopredeter"/>
    <w:uiPriority w:val="99"/>
    <w:semiHidden/>
    <w:unhideWhenUsed/>
    <w:rsid w:val="00DA1520"/>
    <w:rPr>
      <w:color w:val="605E5C"/>
      <w:shd w:val="clear" w:color="auto" w:fill="E1DFDD"/>
    </w:rPr>
  </w:style>
  <w:style w:type="paragraph" w:customStyle="1" w:styleId="Default">
    <w:name w:val="Default"/>
    <w:rsid w:val="00692F42"/>
    <w:pPr>
      <w:autoSpaceDE w:val="0"/>
      <w:autoSpaceDN w:val="0"/>
      <w:adjustRightInd w:val="0"/>
      <w:ind w:firstLine="0"/>
    </w:pPr>
    <w:rPr>
      <w:rFonts w:ascii="Avenir" w:hAnsi="Avenir" w:cs="Avenir"/>
      <w:color w:val="000000"/>
      <w:sz w:val="24"/>
      <w:szCs w:val="24"/>
      <w14:ligatures w14:val="standardContextual"/>
    </w:rPr>
  </w:style>
  <w:style w:type="character" w:styleId="Mencinsinresolver">
    <w:name w:val="Unresolved Mention"/>
    <w:basedOn w:val="Fuentedeprrafopredeter"/>
    <w:uiPriority w:val="99"/>
    <w:semiHidden/>
    <w:unhideWhenUsed/>
    <w:rsid w:val="000403B1"/>
    <w:rPr>
      <w:color w:val="605E5C"/>
      <w:shd w:val="clear" w:color="auto" w:fill="E1DFDD"/>
    </w:rPr>
  </w:style>
  <w:style w:type="character" w:styleId="Textodelmarcadordeposicin">
    <w:name w:val="Placeholder Text"/>
    <w:basedOn w:val="Fuentedeprrafopredeter"/>
    <w:uiPriority w:val="99"/>
    <w:semiHidden/>
    <w:rsid w:val="001A63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2B99C-3094-44CE-BAF1-E4DE088BA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2678</Words>
  <Characters>14729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PTP</dc:creator>
  <cp:lastModifiedBy>JORGE</cp:lastModifiedBy>
  <cp:revision>1</cp:revision>
  <cp:lastPrinted>2025-06-27T20:38:00Z</cp:lastPrinted>
  <dcterms:created xsi:type="dcterms:W3CDTF">2026-01-24T21:22:00Z</dcterms:created>
  <dcterms:modified xsi:type="dcterms:W3CDTF">2026-01-27T00:59:00Z</dcterms:modified>
</cp:coreProperties>
</file>