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7074" w14:textId="12268CF6" w:rsidR="00D27263" w:rsidRPr="003052CE" w:rsidRDefault="00C627AA" w:rsidP="003052CE">
      <w:pPr>
        <w:rPr>
          <w:sz w:val="48"/>
        </w:rPr>
      </w:pPr>
      <w:r w:rsidRPr="003052CE">
        <w:rPr>
          <w:b/>
        </w:rPr>
        <w:drawing>
          <wp:inline distT="0" distB="0" distL="0" distR="0" wp14:anchorId="7DAEC0B0" wp14:editId="3423138E">
            <wp:extent cx="9569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pic:spPr>
                </pic:pic>
              </a:graphicData>
            </a:graphic>
          </wp:inline>
        </w:drawing>
      </w:r>
      <w:r w:rsidR="00D27263" w:rsidRPr="003052CE">
        <w:rPr>
          <w:sz w:val="40"/>
        </w:rPr>
        <w:t>Revue de la littérature de l'IPHM</w:t>
      </w:r>
      <w:r w:rsidR="003052CE" w:rsidRPr="003052CE">
        <w:rPr>
          <w:sz w:val="40"/>
        </w:rPr>
        <w:t>I</w:t>
      </w:r>
      <w:r w:rsidR="00D27263" w:rsidRPr="003052CE">
        <w:rPr>
          <w:b/>
        </w:rPr>
        <w:drawing>
          <wp:inline distT="0" distB="0" distL="0" distR="0" wp14:anchorId="40B1EC8D" wp14:editId="04CCBF62">
            <wp:extent cx="1402080" cy="881243"/>
            <wp:effectExtent l="19050" t="19050" r="2667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nlCoversS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3989" cy="901298"/>
                    </a:xfrm>
                    <a:prstGeom prst="rect">
                      <a:avLst/>
                    </a:prstGeom>
                    <a:ln w="25400">
                      <a:solidFill>
                        <a:schemeClr val="tx1"/>
                      </a:solidFill>
                    </a:ln>
                  </pic:spPr>
                </pic:pic>
              </a:graphicData>
            </a:graphic>
          </wp:inline>
        </w:drawing>
      </w:r>
    </w:p>
    <w:p w14:paraId="58BCD5BA" w14:textId="2AF7040E" w:rsidR="00D27263" w:rsidRPr="003052CE" w:rsidRDefault="00D27263" w:rsidP="00D27263">
      <w:pPr>
        <w:jc w:val="center"/>
        <w:rPr>
          <w:sz w:val="28"/>
          <w:szCs w:val="28"/>
        </w:rPr>
      </w:pPr>
      <w:r w:rsidRPr="003052CE">
        <w:rPr>
          <w:sz w:val="28"/>
          <w:szCs w:val="28"/>
        </w:rPr>
        <w:t>Tenir à jour la littérature et les études actuelles sur les EMS</w:t>
      </w:r>
    </w:p>
    <w:p w14:paraId="5F601443" w14:textId="5BDB0E13" w:rsidR="00D27263" w:rsidRPr="003052CE" w:rsidRDefault="00332A7D" w:rsidP="00332A7D">
      <w:pPr>
        <w:ind w:left="2160" w:firstLine="720"/>
        <w:rPr>
          <w:sz w:val="40"/>
          <w:szCs w:val="40"/>
        </w:rPr>
      </w:pPr>
      <w:r w:rsidRPr="003052CE">
        <w:rPr>
          <w:sz w:val="40"/>
          <w:szCs w:val="40"/>
        </w:rPr>
        <w:t xml:space="preserve">    Vol. 8.8</w:t>
      </w:r>
    </w:p>
    <w:p w14:paraId="0DE2D581" w14:textId="77777777" w:rsidR="00692F42" w:rsidRPr="003052CE" w:rsidRDefault="00692F42" w:rsidP="00CD6CCC">
      <w:pPr>
        <w:ind w:firstLine="0"/>
        <w:rPr>
          <w:rFonts w:cstheme="minorHAnsi"/>
        </w:rPr>
      </w:pPr>
      <w:bookmarkStart w:id="0" w:name="_Hlk94267765"/>
      <w:bookmarkStart w:id="1" w:name="_Hlk99358131"/>
      <w:bookmarkStart w:id="2" w:name="_Hlk91327920"/>
    </w:p>
    <w:p w14:paraId="4676A5B0" w14:textId="052CB733" w:rsidR="00C571A0" w:rsidRPr="003052CE" w:rsidRDefault="00C571A0">
      <w:pPr>
        <w:pStyle w:val="Paragraphedeliste"/>
        <w:numPr>
          <w:ilvl w:val="0"/>
          <w:numId w:val="1"/>
        </w:numPr>
        <w:autoSpaceDE w:val="0"/>
        <w:autoSpaceDN w:val="0"/>
        <w:adjustRightInd w:val="0"/>
        <w:spacing w:before="100" w:beforeAutospacing="1" w:after="100" w:afterAutospacing="1"/>
        <w:rPr>
          <w:rFonts w:cstheme="minorHAnsi"/>
        </w:rPr>
      </w:pPr>
      <w:bookmarkStart w:id="3" w:name="_Hlk217123144"/>
      <w:bookmarkStart w:id="4" w:name="_Hlk104805474"/>
      <w:bookmarkStart w:id="5" w:name="_Hlk109814945"/>
      <w:bookmarkStart w:id="6" w:name="_Hlk91665549"/>
      <w:bookmarkStart w:id="7" w:name="_Hlk101786252"/>
      <w:bookmarkStart w:id="8" w:name="_Hlk188787144"/>
      <w:bookmarkStart w:id="9" w:name="_Hlk203820641"/>
      <w:bookmarkStart w:id="10" w:name="_Hlk209350553"/>
      <w:bookmarkEnd w:id="0"/>
      <w:bookmarkEnd w:id="1"/>
      <w:bookmarkEnd w:id="2"/>
      <w:r w:rsidRPr="003052CE">
        <w:rPr>
          <w:rFonts w:cstheme="minorHAnsi"/>
          <w:b/>
          <w:bCs/>
        </w:rPr>
        <w:t xml:space="preserve">Sécurité de l'administration des médicaments vasoactifs périphériques en médecine préhospitalière et de traitement (SPOTLESS-2) : une étude prospective observationnelle de cohorte.  </w:t>
      </w:r>
      <w:bookmarkStart w:id="11" w:name="_Hlk220156538"/>
      <w:bookmarkStart w:id="12" w:name="_Hlk217123478"/>
      <w:bookmarkEnd w:id="3"/>
      <w:r w:rsidRPr="003052CE">
        <w:rPr>
          <w:rFonts w:cstheme="minorHAnsi"/>
        </w:rPr>
        <w:t xml:space="preserve">Greaves RL, Quai A, Bolot R, Roi J, Gibbs C.  </w:t>
      </w:r>
      <w:r w:rsidRPr="003052CE">
        <w:rPr>
          <w:rFonts w:cstheme="minorHAnsi"/>
          <w:i/>
          <w:iCs/>
        </w:rPr>
        <w:t>Médecine d'urgence académique</w:t>
      </w:r>
      <w:r w:rsidRPr="003052CE">
        <w:rPr>
          <w:rFonts w:cstheme="minorHAnsi"/>
        </w:rPr>
        <w:t xml:space="preserve"> 2026 ; 33 : e70271</w:t>
      </w:r>
    </w:p>
    <w:bookmarkEnd w:id="4"/>
    <w:bookmarkEnd w:id="5"/>
    <w:bookmarkEnd w:id="6"/>
    <w:bookmarkEnd w:id="7"/>
    <w:bookmarkEnd w:id="8"/>
    <w:bookmarkEnd w:id="9"/>
    <w:bookmarkEnd w:id="10"/>
    <w:bookmarkEnd w:id="11"/>
    <w:bookmarkEnd w:id="12"/>
    <w:p w14:paraId="16A38FFF" w14:textId="4AEA8D50" w:rsidR="00C571A0" w:rsidRPr="003052CE" w:rsidRDefault="00C571A0">
      <w:pPr>
        <w:pStyle w:val="Paragraphedeliste"/>
        <w:numPr>
          <w:ilvl w:val="0"/>
          <w:numId w:val="1"/>
        </w:numPr>
        <w:rPr>
          <w:rFonts w:ascii="Calibri" w:hAnsi="Calibri" w:cs="Calibri"/>
        </w:rPr>
      </w:pPr>
      <w:r w:rsidRPr="003052CE">
        <w:rPr>
          <w:rFonts w:ascii="Calibri" w:hAnsi="Calibri" w:cs="Calibri"/>
          <w:b/>
          <w:bCs/>
        </w:rPr>
        <w:t xml:space="preserve">Volume et mortalité des cliniciens individuels en médecine d'urgence chez les patients traumatisés.  </w:t>
      </w:r>
      <w:r w:rsidRPr="003052CE">
        <w:rPr>
          <w:rFonts w:ascii="Calibri" w:hAnsi="Calibri" w:cs="Calibri"/>
        </w:rPr>
        <w:t xml:space="preserve">Beiriger J, Martin-Gill C, Silver DS, et al.  </w:t>
      </w:r>
      <w:r w:rsidRPr="003052CE">
        <w:rPr>
          <w:rFonts w:ascii="Calibri" w:hAnsi="Calibri" w:cs="Calibri"/>
          <w:i/>
          <w:iCs/>
        </w:rPr>
        <w:t xml:space="preserve">JAMA </w:t>
      </w:r>
      <w:proofErr w:type="spellStart"/>
      <w:r w:rsidRPr="003052CE">
        <w:rPr>
          <w:rFonts w:ascii="Calibri" w:hAnsi="Calibri" w:cs="Calibri"/>
          <w:i/>
          <w:iCs/>
        </w:rPr>
        <w:t>Surg</w:t>
      </w:r>
      <w:proofErr w:type="spellEnd"/>
      <w:r w:rsidRPr="003052CE">
        <w:rPr>
          <w:rFonts w:ascii="Calibri" w:hAnsi="Calibri" w:cs="Calibri"/>
        </w:rPr>
        <w:t>. 2026 ; 161:389-396</w:t>
      </w:r>
    </w:p>
    <w:p w14:paraId="78D83895" w14:textId="03A9DB97" w:rsidR="00030CC4" w:rsidRPr="003052CE" w:rsidRDefault="00030CC4">
      <w:pPr>
        <w:pStyle w:val="Paragraphedeliste"/>
        <w:numPr>
          <w:ilvl w:val="0"/>
          <w:numId w:val="1"/>
        </w:numPr>
        <w:rPr>
          <w:rFonts w:ascii="Calibri" w:hAnsi="Calibri" w:cs="Calibri"/>
        </w:rPr>
      </w:pPr>
      <w:r w:rsidRPr="003052CE">
        <w:rPr>
          <w:rFonts w:eastAsia="Times New Roman" w:cstheme="minorHAnsi"/>
          <w:b/>
          <w:bCs/>
        </w:rPr>
        <w:t xml:space="preserve">Reconnaissance préhospitalière de la septicémie et administration d'antibiotiques : une analyse rétrospective. </w:t>
      </w:r>
      <w:proofErr w:type="spellStart"/>
      <w:r w:rsidRPr="003052CE">
        <w:rPr>
          <w:rFonts w:eastAsia="Times New Roman" w:cstheme="minorHAnsi"/>
        </w:rPr>
        <w:t>Antevy</w:t>
      </w:r>
      <w:proofErr w:type="spellEnd"/>
      <w:r w:rsidRPr="003052CE">
        <w:rPr>
          <w:rFonts w:eastAsia="Times New Roman" w:cstheme="minorHAnsi"/>
        </w:rPr>
        <w:t xml:space="preserve"> P, Scheppke K, Coyle C, et al.  </w:t>
      </w:r>
      <w:r w:rsidRPr="003052CE">
        <w:rPr>
          <w:rFonts w:eastAsia="Times New Roman" w:cstheme="minorHAnsi"/>
          <w:i/>
          <w:iCs/>
        </w:rPr>
        <w:t xml:space="preserve">Soins d'urgence préhospitaliers </w:t>
      </w:r>
      <w:r w:rsidRPr="003052CE">
        <w:rPr>
          <w:rFonts w:eastAsia="Times New Roman" w:cstheme="minorHAnsi"/>
        </w:rPr>
        <w:t>2026 ; 30:284–289.</w:t>
      </w:r>
    </w:p>
    <w:p w14:paraId="0A76811E" w14:textId="510F614D" w:rsidR="00BD0399" w:rsidRPr="003052CE" w:rsidRDefault="00030CC4">
      <w:pPr>
        <w:pStyle w:val="Paragraphedeliste"/>
        <w:numPr>
          <w:ilvl w:val="0"/>
          <w:numId w:val="1"/>
        </w:numPr>
        <w:rPr>
          <w:rFonts w:ascii="Calibri" w:hAnsi="Calibri" w:cs="Calibri"/>
        </w:rPr>
      </w:pPr>
      <w:r w:rsidRPr="003052CE">
        <w:rPr>
          <w:rFonts w:ascii="Calibri" w:hAnsi="Calibri" w:cs="Calibri"/>
          <w:b/>
          <w:bCs/>
        </w:rPr>
        <w:t xml:space="preserve">Association entre défibrillation immédiate et résultats lors d'un arrêt cardiaque hors hôpital susceptible de choquer : une analyse du score de propension. </w:t>
      </w:r>
      <w:r w:rsidRPr="003052CE">
        <w:rPr>
          <w:rFonts w:ascii="Calibri" w:hAnsi="Calibri" w:cs="Calibri"/>
        </w:rPr>
        <w:t xml:space="preserve">Kimura R, Nakagawa K, </w:t>
      </w:r>
      <w:proofErr w:type="spellStart"/>
      <w:r w:rsidRPr="003052CE">
        <w:rPr>
          <w:rFonts w:ascii="Calibri" w:hAnsi="Calibri" w:cs="Calibri"/>
        </w:rPr>
        <w:t>Kinoshi</w:t>
      </w:r>
      <w:proofErr w:type="spellEnd"/>
      <w:r w:rsidRPr="003052CE">
        <w:rPr>
          <w:rFonts w:ascii="Calibri" w:hAnsi="Calibri" w:cs="Calibri"/>
        </w:rPr>
        <w:t xml:space="preserve"> T, Tanaka H.  </w:t>
      </w:r>
      <w:r w:rsidRPr="003052CE">
        <w:rPr>
          <w:rFonts w:ascii="Calibri" w:hAnsi="Calibri" w:cs="Calibri"/>
          <w:i/>
          <w:iCs/>
        </w:rPr>
        <w:t xml:space="preserve">Soins d'urgence préhospitaliers </w:t>
      </w:r>
      <w:r w:rsidRPr="003052CE">
        <w:rPr>
          <w:rFonts w:ascii="Calibri" w:hAnsi="Calibri" w:cs="Calibri"/>
        </w:rPr>
        <w:t>2026 ; 30:393–400</w:t>
      </w:r>
    </w:p>
    <w:p w14:paraId="2E2BAA1E" w14:textId="77777777" w:rsidR="00030CC4" w:rsidRPr="003052CE" w:rsidRDefault="00030CC4" w:rsidP="00030CC4">
      <w:pPr>
        <w:pStyle w:val="Paragraphedeliste"/>
        <w:autoSpaceDE w:val="0"/>
        <w:autoSpaceDN w:val="0"/>
        <w:adjustRightInd w:val="0"/>
        <w:spacing w:before="100" w:beforeAutospacing="1" w:after="100" w:afterAutospacing="1"/>
        <w:ind w:left="360" w:firstLine="0"/>
        <w:rPr>
          <w:rFonts w:cstheme="minorHAnsi"/>
        </w:rPr>
      </w:pPr>
    </w:p>
    <w:p w14:paraId="0A3A7D24" w14:textId="2B0D0954" w:rsidR="00C571A0" w:rsidRPr="003052CE" w:rsidRDefault="00C571A0">
      <w:pPr>
        <w:pStyle w:val="Paragraphedeliste"/>
        <w:numPr>
          <w:ilvl w:val="0"/>
          <w:numId w:val="3"/>
        </w:numPr>
        <w:autoSpaceDE w:val="0"/>
        <w:autoSpaceDN w:val="0"/>
        <w:adjustRightInd w:val="0"/>
        <w:spacing w:before="100" w:beforeAutospacing="1" w:after="100" w:afterAutospacing="1"/>
        <w:rPr>
          <w:rFonts w:cstheme="minorHAnsi"/>
        </w:rPr>
      </w:pPr>
      <w:r w:rsidRPr="003052CE">
        <w:rPr>
          <w:rFonts w:cstheme="minorHAnsi"/>
          <w:b/>
          <w:bCs/>
        </w:rPr>
        <w:t xml:space="preserve">Sécurité de l'administration des médicaments vasoactifs périphériques en médecine préhospitalière et de traitement (SPOTLESS-2) : une étude prospective observationnelle de cohorte.  </w:t>
      </w:r>
      <w:r w:rsidRPr="003052CE">
        <w:rPr>
          <w:rFonts w:cstheme="minorHAnsi"/>
        </w:rPr>
        <w:t xml:space="preserve">Greaves RL, Quai A, Bolot R, Roi J, Gibbs C.  </w:t>
      </w:r>
      <w:r w:rsidRPr="003052CE">
        <w:rPr>
          <w:rFonts w:cstheme="minorHAnsi"/>
          <w:i/>
          <w:iCs/>
        </w:rPr>
        <w:t>Médecine d'urgence académique</w:t>
      </w:r>
      <w:r w:rsidRPr="003052CE">
        <w:rPr>
          <w:rFonts w:cstheme="minorHAnsi"/>
        </w:rPr>
        <w:t xml:space="preserve"> 2026 ; 33 : e70271</w:t>
      </w:r>
    </w:p>
    <w:p w14:paraId="50215F4B" w14:textId="77777777" w:rsidR="00A834E7" w:rsidRPr="003052CE" w:rsidRDefault="00A834E7" w:rsidP="00A834E7">
      <w:pPr>
        <w:pStyle w:val="Paragraphedeliste"/>
        <w:ind w:left="360" w:firstLine="0"/>
        <w:rPr>
          <w:rFonts w:cstheme="minorHAnsi"/>
        </w:rPr>
      </w:pPr>
    </w:p>
    <w:p w14:paraId="30B6DA70" w14:textId="77777777" w:rsidR="00C571A0" w:rsidRPr="003052CE" w:rsidRDefault="00C571A0" w:rsidP="00C571A0">
      <w:pPr>
        <w:rPr>
          <w:rFonts w:ascii="Calibri" w:hAnsi="Calibri" w:cs="Calibri"/>
        </w:rPr>
      </w:pPr>
      <w:r w:rsidRPr="003052CE">
        <w:rPr>
          <w:rFonts w:ascii="Calibri" w:hAnsi="Calibri" w:cs="Calibri"/>
        </w:rPr>
        <w:t xml:space="preserve">En soins intensifs, l'adrénaline (épinéphrine) et la noradrénaline (noradrénaline) sont administrées par un accès veineux central afin d'éviter les lésions tissulaires associées à une extravasation involontaire du médicament. En milieu préhospitalier, l'accès veineux central peut être difficile et prendre du temps, ce qui entraîne une dépendance à l'accès veineux périphérique pour administrer tous les médicaments, y compris les médicaments vasoactifs. Bien qu'il existe des preuves de la sécurité de l'administration périphérique de ces deux médicaments dans des lieux contrôlés tels que l'unité de soins intensifs, il existe peu de preuves de leur sécurité en médecine préhospitalière et de récupération (transports de soins critiques).  </w:t>
      </w:r>
    </w:p>
    <w:p w14:paraId="3D4C298C" w14:textId="77777777" w:rsidR="00C571A0" w:rsidRPr="003052CE" w:rsidRDefault="00C571A0" w:rsidP="00C571A0">
      <w:pPr>
        <w:rPr>
          <w:rFonts w:ascii="Calibri" w:hAnsi="Calibri" w:cs="Calibri"/>
        </w:rPr>
      </w:pPr>
      <w:r w:rsidRPr="003052CE">
        <w:rPr>
          <w:rFonts w:ascii="Calibri" w:hAnsi="Calibri" w:cs="Calibri"/>
        </w:rPr>
        <w:t xml:space="preserve">Dans le but d'établir la sécurité de l'administration périphérique d'adrénaline et de noradrénaline, les auteurs ont mené une étude de cohorte prospective et observationnelle sur des patients transportés par </w:t>
      </w:r>
      <w:proofErr w:type="spellStart"/>
      <w:r w:rsidRPr="003052CE">
        <w:rPr>
          <w:rFonts w:ascii="Calibri" w:hAnsi="Calibri" w:cs="Calibri"/>
        </w:rPr>
        <w:t>Lifeflight</w:t>
      </w:r>
      <w:proofErr w:type="spellEnd"/>
      <w:r w:rsidRPr="003052CE">
        <w:rPr>
          <w:rFonts w:ascii="Calibri" w:hAnsi="Calibri" w:cs="Calibri"/>
        </w:rPr>
        <w:t xml:space="preserve"> Medicine d'avril 2022 à août 2023 ayant reçu l'un des deux médicaments par accès intraveineux périphérique.  La mesure de jugement principale était toute complication liée à la perfusion périphérique de l'un ou l'autre médicament.</w:t>
      </w:r>
    </w:p>
    <w:p w14:paraId="6BC7730B" w14:textId="23E9AAC7" w:rsidR="00C571A0" w:rsidRPr="003052CE" w:rsidRDefault="00C571A0" w:rsidP="00C571A0">
      <w:pPr>
        <w:rPr>
          <w:rFonts w:ascii="Calibri" w:hAnsi="Calibri" w:cs="Calibri"/>
        </w:rPr>
      </w:pPr>
      <w:r w:rsidRPr="003052CE">
        <w:rPr>
          <w:rFonts w:ascii="Calibri" w:hAnsi="Calibri" w:cs="Calibri"/>
        </w:rPr>
        <w:lastRenderedPageBreak/>
        <w:t xml:space="preserve">Au total, 656 patients ont été dépistés, dont 468 </w:t>
      </w:r>
      <w:r w:rsidR="003052CE" w:rsidRPr="003052CE">
        <w:rPr>
          <w:rFonts w:ascii="Calibri" w:hAnsi="Calibri" w:cs="Calibri"/>
        </w:rPr>
        <w:t>répondants</w:t>
      </w:r>
      <w:r w:rsidRPr="003052CE">
        <w:rPr>
          <w:rFonts w:ascii="Calibri" w:hAnsi="Calibri" w:cs="Calibri"/>
        </w:rPr>
        <w:t xml:space="preserve"> à leurs critères d'inclusion. L'âge médian des patients était de 64 ans et 74 % d'entre eux ont été transportés par hélicoptère. La noradrénaline représentait 72 % des perfusions avec une dose médiane de 0,1 </w:t>
      </w:r>
      <w:proofErr w:type="spellStart"/>
      <w:r w:rsidRPr="003052CE">
        <w:rPr>
          <w:rFonts w:ascii="Calibri" w:hAnsi="Calibri" w:cs="Calibri"/>
        </w:rPr>
        <w:t>mcg</w:t>
      </w:r>
      <w:proofErr w:type="spellEnd"/>
      <w:r w:rsidRPr="003052CE">
        <w:rPr>
          <w:rFonts w:ascii="Calibri" w:hAnsi="Calibri" w:cs="Calibri"/>
        </w:rPr>
        <w:t xml:space="preserve">/kg/min. Les autres étaient des perfusions d'adrénaline avec une dose médiane de 0,13 </w:t>
      </w:r>
      <w:proofErr w:type="spellStart"/>
      <w:r w:rsidRPr="003052CE">
        <w:rPr>
          <w:rFonts w:ascii="Calibri" w:hAnsi="Calibri" w:cs="Calibri"/>
        </w:rPr>
        <w:t>mcg</w:t>
      </w:r>
      <w:proofErr w:type="spellEnd"/>
      <w:r w:rsidRPr="003052CE">
        <w:rPr>
          <w:rFonts w:ascii="Calibri" w:hAnsi="Calibri" w:cs="Calibri"/>
        </w:rPr>
        <w:t xml:space="preserve">/kg/min.  Les deux médicaments sont administrés à l'aide d'une pompe à perfusion à seringue. Le site d'infusion le plus courant était la fosse </w:t>
      </w:r>
      <w:proofErr w:type="spellStart"/>
      <w:r w:rsidRPr="003052CE">
        <w:rPr>
          <w:rFonts w:ascii="Calibri" w:hAnsi="Calibri" w:cs="Calibri"/>
        </w:rPr>
        <w:t>anté</w:t>
      </w:r>
      <w:proofErr w:type="spellEnd"/>
      <w:r w:rsidR="003052CE">
        <w:rPr>
          <w:rFonts w:ascii="Calibri" w:hAnsi="Calibri" w:cs="Calibri"/>
        </w:rPr>
        <w:t>-</w:t>
      </w:r>
      <w:r w:rsidRPr="003052CE">
        <w:rPr>
          <w:rFonts w:ascii="Calibri" w:hAnsi="Calibri" w:cs="Calibri"/>
        </w:rPr>
        <w:t xml:space="preserve">cubitale, représentant 72 % des sites d'accès périphérique.  L'indication la plus courante pour le traitement était le choc septique (47 %). La durée médiane des perfusions était de 85 minutes. </w:t>
      </w:r>
    </w:p>
    <w:p w14:paraId="48CA4C6E" w14:textId="77777777" w:rsidR="00C571A0" w:rsidRPr="003052CE" w:rsidRDefault="00C571A0" w:rsidP="00C571A0">
      <w:pPr>
        <w:rPr>
          <w:rFonts w:ascii="Calibri" w:hAnsi="Calibri" w:cs="Calibri"/>
        </w:rPr>
      </w:pPr>
      <w:r w:rsidRPr="003052CE">
        <w:rPr>
          <w:rFonts w:ascii="Calibri" w:hAnsi="Calibri" w:cs="Calibri"/>
        </w:rPr>
        <w:t>Aucun problème technique ou complication n'a été observé chez 93,4 % des patients. 2,8 % ont rencontré des problèmes techniques mineurs lors de l'administration des médicaments et 3 % ont eu des complications mineures affectant les soins aux patients. Quatre patients (0,8 %) ont nécessité la conversion de la perfusion en accès veineux central pendant le transit. Ils ont constaté que plus la canule IV placée était grande, plus le taux de complications était faible.  Lors du suivi 24h, il n'y avait aucune complication tissulaire.</w:t>
      </w:r>
    </w:p>
    <w:p w14:paraId="034683F4" w14:textId="735ADFDB" w:rsidR="00C571A0" w:rsidRPr="003052CE" w:rsidRDefault="00C571A0" w:rsidP="00C571A0">
      <w:pPr>
        <w:rPr>
          <w:rFonts w:ascii="Calibri" w:hAnsi="Calibri" w:cs="Calibri"/>
        </w:rPr>
      </w:pPr>
      <w:r w:rsidRPr="003052CE">
        <w:rPr>
          <w:rFonts w:ascii="Calibri" w:hAnsi="Calibri" w:cs="Calibri"/>
        </w:rPr>
        <w:t>Quant aux limitations, les auteurs notent « un biais de sélection inhérent chez les cliniciens expérimentés des patients jugés à moindre risque et intrinsèquement plus aptes à recevoir des médicaments vasoactifs périphériques qui pourraient réduire artificiellement notre taux d'effets indésirables ». D'autres limites pour capturer de petits événements tissulaires lors du suivi hospitalier sont la documentation qui peut être limitée et difficile à capturer. Ils notent également que la noradrénaline, utilisée par voie intramusculaire, présente moins de risques de complications tissulaires. Enfin, cette étude a été réalisée dans un service air-médical et peut ou non être transférable à un service EMS au sol.</w:t>
      </w:r>
    </w:p>
    <w:p w14:paraId="6D5BC643" w14:textId="379A77F0" w:rsidR="00CB6B28" w:rsidRPr="003052CE" w:rsidRDefault="00C571A0" w:rsidP="00C571A0">
      <w:pPr>
        <w:rPr>
          <w:rFonts w:ascii="Calibri" w:hAnsi="Calibri" w:cs="Calibri"/>
        </w:rPr>
      </w:pPr>
      <w:r w:rsidRPr="003052CE">
        <w:rPr>
          <w:rFonts w:ascii="Calibri" w:hAnsi="Calibri" w:cs="Calibri"/>
        </w:rPr>
        <w:t xml:space="preserve">Les auteurs ont décrit leur étude comme fournissant le plus grand ensemble de données prospectif à ce jour sur l'administration de vasopresseurs périphériques en médecine préhospitalière et de </w:t>
      </w:r>
      <w:r w:rsidR="003052CE">
        <w:rPr>
          <w:rFonts w:ascii="Calibri" w:hAnsi="Calibri" w:cs="Calibri"/>
        </w:rPr>
        <w:t xml:space="preserve">prélèvements </w:t>
      </w:r>
      <w:r w:rsidRPr="003052CE">
        <w:rPr>
          <w:rFonts w:ascii="Calibri" w:hAnsi="Calibri" w:cs="Calibri"/>
        </w:rPr>
        <w:t xml:space="preserve">, et ont conclu que leur étude suggère que l'adrénaline et la noradrénaline, dans un service hautement formé et réglementé, pourraient être sûrs à administrer en médecine préhospitalière et de prélèvement (transport d'acres critiques) avec un faible risque global de complications. Ils estimaient que ces médicaments pouvaient être utilisés en toute sécurité comme méthode principale de soutien de la tension artérielle chez certains patients. Cette étude apporte des preuves sur la sécurité, la faisabilité, la pratique actuelle et le taux de complications dans un large éventail de pathologies et de milieux et fournit des preuves pour orienter la pratique clinique et orienter les futures recommandations préhospitalières.  </w:t>
      </w:r>
    </w:p>
    <w:p w14:paraId="5A44F459" w14:textId="77777777" w:rsidR="00C571A0" w:rsidRPr="003052CE" w:rsidRDefault="00C571A0" w:rsidP="00C571A0">
      <w:pPr>
        <w:rPr>
          <w:rFonts w:ascii="Calibri" w:hAnsi="Calibri" w:cs="Calibri"/>
        </w:rPr>
      </w:pPr>
    </w:p>
    <w:p w14:paraId="0FB4A549" w14:textId="77777777" w:rsidR="00C571A0" w:rsidRPr="003052CE" w:rsidRDefault="00C571A0">
      <w:pPr>
        <w:pStyle w:val="Paragraphedeliste"/>
        <w:numPr>
          <w:ilvl w:val="0"/>
          <w:numId w:val="3"/>
        </w:numPr>
        <w:rPr>
          <w:rFonts w:ascii="Calibri" w:hAnsi="Calibri" w:cs="Calibri"/>
        </w:rPr>
      </w:pPr>
      <w:r w:rsidRPr="003052CE">
        <w:rPr>
          <w:rFonts w:ascii="Calibri" w:hAnsi="Calibri" w:cs="Calibri"/>
          <w:b/>
          <w:bCs/>
        </w:rPr>
        <w:t xml:space="preserve">Volume et mortalité des cliniciens individuels en médecine d'urgence chez les patients traumatisés.  </w:t>
      </w:r>
      <w:r w:rsidRPr="003052CE">
        <w:rPr>
          <w:rFonts w:ascii="Calibri" w:hAnsi="Calibri" w:cs="Calibri"/>
        </w:rPr>
        <w:t xml:space="preserve">Beiriger J, Martin-Gill C, Silver DS, et al.  </w:t>
      </w:r>
      <w:r w:rsidRPr="003052CE">
        <w:rPr>
          <w:rFonts w:ascii="Calibri" w:hAnsi="Calibri" w:cs="Calibri"/>
          <w:i/>
          <w:iCs/>
        </w:rPr>
        <w:t xml:space="preserve">JAMA </w:t>
      </w:r>
      <w:proofErr w:type="spellStart"/>
      <w:r w:rsidRPr="003052CE">
        <w:rPr>
          <w:rFonts w:ascii="Calibri" w:hAnsi="Calibri" w:cs="Calibri"/>
          <w:i/>
          <w:iCs/>
        </w:rPr>
        <w:t>Surg</w:t>
      </w:r>
      <w:proofErr w:type="spellEnd"/>
      <w:r w:rsidRPr="003052CE">
        <w:rPr>
          <w:rFonts w:ascii="Calibri" w:hAnsi="Calibri" w:cs="Calibri"/>
        </w:rPr>
        <w:t>. 2026 ; 161:389-396</w:t>
      </w:r>
    </w:p>
    <w:p w14:paraId="5457B17D" w14:textId="77777777" w:rsidR="000403B1" w:rsidRPr="003052CE" w:rsidRDefault="000403B1" w:rsidP="000403B1">
      <w:pPr>
        <w:pStyle w:val="Paragraphedeliste"/>
        <w:ind w:left="360" w:firstLine="0"/>
        <w:rPr>
          <w:rFonts w:cstheme="minorHAnsi"/>
          <w:b/>
        </w:rPr>
      </w:pPr>
    </w:p>
    <w:p w14:paraId="20550295" w14:textId="77777777" w:rsidR="00C571A0" w:rsidRPr="003052CE" w:rsidRDefault="00C571A0" w:rsidP="00C571A0">
      <w:pPr>
        <w:rPr>
          <w:rFonts w:ascii="Calibri" w:hAnsi="Calibri" w:cs="Calibri"/>
        </w:rPr>
      </w:pPr>
      <w:r w:rsidRPr="003052CE">
        <w:rPr>
          <w:rFonts w:ascii="Calibri" w:hAnsi="Calibri" w:cs="Calibri"/>
        </w:rPr>
        <w:t xml:space="preserve">De nombreux domaines de la médecine ont obtenu de meilleurs résultats avec l'augmentation du volume. Cela a été démontré dans les hôpitaux proposant certaines interventions chirurgicales à haut risque et explique la régionalisation des soins de traumatologie – certains hôpitaux conçus pour recevoir les blessés les plus gravement performent s'ils sont les plus performants si leur volume est élevé. Dans le cadre préhospitalier, aucune étude n'a évalué l'association entre le volume de patients traumatisés par les cliniciens EMS et les résultats des patients. L'objectif de cette étude était de déterminer si le volume des patients traumatisés préhospitaliers individuels et l'expertise procédurale étaient associés à de meilleurs résultats pour les patients blessés. </w:t>
      </w:r>
    </w:p>
    <w:p w14:paraId="7850D59B" w14:textId="33E15203" w:rsidR="00C571A0" w:rsidRPr="003052CE" w:rsidRDefault="00C571A0" w:rsidP="00C571A0">
      <w:pPr>
        <w:rPr>
          <w:rFonts w:ascii="Calibri" w:hAnsi="Calibri" w:cs="Calibri"/>
        </w:rPr>
      </w:pPr>
      <w:r w:rsidRPr="003052CE">
        <w:rPr>
          <w:rFonts w:ascii="Calibri" w:hAnsi="Calibri" w:cs="Calibri"/>
        </w:rPr>
        <w:t xml:space="preserve">Les auteurs ont analysé la base de données </w:t>
      </w:r>
      <w:proofErr w:type="spellStart"/>
      <w:r w:rsidRPr="003052CE">
        <w:rPr>
          <w:rFonts w:ascii="Calibri" w:hAnsi="Calibri" w:cs="Calibri"/>
        </w:rPr>
        <w:t>Linking</w:t>
      </w:r>
      <w:proofErr w:type="spellEnd"/>
      <w:r w:rsidRPr="003052CE">
        <w:rPr>
          <w:rFonts w:ascii="Calibri" w:hAnsi="Calibri" w:cs="Calibri"/>
        </w:rPr>
        <w:t xml:space="preserve"> Investigations in Trauma and Emergency Services </w:t>
      </w:r>
      <w:proofErr w:type="spellStart"/>
      <w:r w:rsidRPr="003052CE">
        <w:rPr>
          <w:rFonts w:ascii="Calibri" w:hAnsi="Calibri" w:cs="Calibri"/>
        </w:rPr>
        <w:t>Task</w:t>
      </w:r>
      <w:proofErr w:type="spellEnd"/>
      <w:r w:rsidRPr="003052CE">
        <w:rPr>
          <w:rFonts w:ascii="Calibri" w:hAnsi="Calibri" w:cs="Calibri"/>
        </w:rPr>
        <w:t xml:space="preserve"> </w:t>
      </w:r>
      <w:proofErr w:type="spellStart"/>
      <w:r w:rsidRPr="003052CE">
        <w:rPr>
          <w:rFonts w:ascii="Calibri" w:hAnsi="Calibri" w:cs="Calibri"/>
        </w:rPr>
        <w:t>Order</w:t>
      </w:r>
      <w:proofErr w:type="spellEnd"/>
      <w:r w:rsidRPr="003052CE">
        <w:rPr>
          <w:rFonts w:ascii="Calibri" w:hAnsi="Calibri" w:cs="Calibri"/>
        </w:rPr>
        <w:t xml:space="preserve"> 1 (LITES TO1). Il s'agissait d'une étude prospective multicentrique de cohorte portant sur des patients gravement blessés âgés de 18 à 90 ans, transportés vers un seul centre de traumatologie quaternaire. Un score de gravité des blessures (ISS) ≥ 9 était requis pour l'inscription. </w:t>
      </w:r>
      <w:r w:rsidR="003052CE" w:rsidRPr="003052CE">
        <w:rPr>
          <w:rFonts w:ascii="Calibri" w:hAnsi="Calibri" w:cs="Calibri"/>
        </w:rPr>
        <w:t>Transport</w:t>
      </w:r>
      <w:r w:rsidRPr="003052CE">
        <w:rPr>
          <w:rFonts w:ascii="Calibri" w:hAnsi="Calibri" w:cs="Calibri"/>
        </w:rPr>
        <w:t xml:space="preserve">es individuelles des cliniciens préhospitaliers étaient disponibles auprès de deux agences : une agence de </w:t>
      </w:r>
      <w:r w:rsidRPr="003052CE">
        <w:rPr>
          <w:rFonts w:ascii="Calibri" w:hAnsi="Calibri" w:cs="Calibri"/>
        </w:rPr>
        <w:lastRenderedPageBreak/>
        <w:t xml:space="preserve">transport de soins critiques médicaux aériens et une agence métropolitaine d'EMS terrestre. Des données sur le nombre de patients adultes traumatisés transportés et le volume d'intubation endotrachéale ont été collectées pour chaque clinicien préhospitalier transportant un patient dans l'étude. Les données des cliniciens EMS ont été collectées pour les 3 années précédant la date de chaque contact avec les patients afin d'évaluer leur volume de patients traumatisés et leur expérience d'intubation. Toute personne employée moins de 3 ans voyait son volume divisé entre le premier cas inscrit au registre et la date de la blessure, avec un dénominateur minimum d'un an pour éviter une inflation artificielle du volume. Le critère principal était une mortalité à 6 heures. Cette période a été choisie car elle met l'accent sur l'effet des soins préhospitaliers et minimise l'influence des facteurs hospitaliers sur les résultats. Les auteurs ont également analysé la mortalité à 24 heures et la mortalité à l'hôpital. La variable principale étudiée était le volume annuel de traumatismes des cliniciens EMS. Comme les patients étaient souvent traités par plusieurs cliniciens, ils évaluaient le volume de deux manières : le volume moyen du clinicien principal et le volume maximal de tous les cliniciens préhospitaliers prenant en charge le patient. En second ordre, les auteurs ont évalué si le volume clinique individuel était associé à l'obtention des indicateurs de qualité définis par l'industrie EMS issus du groupe Ground &amp; Air </w:t>
      </w:r>
      <w:proofErr w:type="spellStart"/>
      <w:r w:rsidRPr="003052CE">
        <w:rPr>
          <w:rFonts w:ascii="Calibri" w:hAnsi="Calibri" w:cs="Calibri"/>
        </w:rPr>
        <w:t>Medical</w:t>
      </w:r>
      <w:proofErr w:type="spellEnd"/>
      <w:r w:rsidRPr="003052CE">
        <w:rPr>
          <w:rFonts w:ascii="Calibri" w:hAnsi="Calibri" w:cs="Calibri"/>
        </w:rPr>
        <w:t xml:space="preserve"> </w:t>
      </w:r>
      <w:proofErr w:type="spellStart"/>
      <w:r w:rsidRPr="003052CE">
        <w:rPr>
          <w:rFonts w:ascii="Calibri" w:hAnsi="Calibri" w:cs="Calibri"/>
        </w:rPr>
        <w:t>Quality</w:t>
      </w:r>
      <w:proofErr w:type="spellEnd"/>
      <w:r w:rsidRPr="003052CE">
        <w:rPr>
          <w:rFonts w:ascii="Calibri" w:hAnsi="Calibri" w:cs="Calibri"/>
        </w:rPr>
        <w:t xml:space="preserve"> Transport (GAMUT). Le succès de l'intubation au premier passage et la pose définitive des voies respiratoires sans hypoxie ni hypotension lors de la première tentative (DASH-1A) ont été enregistrés. </w:t>
      </w:r>
    </w:p>
    <w:p w14:paraId="501FA673" w14:textId="77777777" w:rsidR="00C571A0" w:rsidRPr="003052CE" w:rsidRDefault="00C571A0" w:rsidP="00C571A0">
      <w:pPr>
        <w:rPr>
          <w:rFonts w:ascii="Calibri" w:hAnsi="Calibri" w:cs="Calibri"/>
        </w:rPr>
      </w:pPr>
      <w:r w:rsidRPr="003052CE">
        <w:rPr>
          <w:rFonts w:ascii="Calibri" w:hAnsi="Calibri" w:cs="Calibri"/>
        </w:rPr>
        <w:t xml:space="preserve">La cohorte d'étude comprenait 6 769 interactions patient-clinicien impliquant 359 cliniciens EMS et 3 649 patients. Les deux tiers des cliniciens EMS étaient des ambulanciers avec un volume annuel médian de 46 patients traumatisés. Un total de 323 cliniciens (90 %) ont été employés pendant au moins 3 ans avant leur premier cas dans la cohorte LITES TO1. Cela a donné un volume annuel réel moyenné sur une période de 3 ans. Chaque 5 patients traumatisés supplémentaires transportés par un clinicien EMS individuel par un seul clinicien EMS entraînait une réduction de 10 % des chances de mortalité en 6 heures. Chaque augmentation annuelle de 5 patients a également entraîné une réduction de 2,6 % de la mortalité totale à l'hôpital. Lors de l'évaluation du volume procédural, les chances d'atteindre le DASH-1A (succès de l'intubation du premier essai sans hypoxie ni hypotension) augmentaient à chaque tentative d'intubation. Le volume maximal de traumatismes chez tous les cliniciens de l'équipe plutôt que chez le clinicien principal traitant n'a jamais été associé à une amélioration de la mortalité. De plus, le nombre d'années d'emploi n'a jamais été associé à une amélioration de la mortalité. Le volume non traumatisé de chaque clinicien n'a jamais été associé à la mortalité à aucun moment de l'étude, ce qui suggère que le résultat associé au volume des patients blessés est spécifique au volume des patients traumatisés et non au volume global des patients traités. </w:t>
      </w:r>
    </w:p>
    <w:p w14:paraId="69416F74" w14:textId="77777777" w:rsidR="00C571A0" w:rsidRPr="003052CE" w:rsidRDefault="00C571A0" w:rsidP="00C571A0">
      <w:pPr>
        <w:rPr>
          <w:rFonts w:ascii="Calibri" w:hAnsi="Calibri" w:cs="Calibri"/>
        </w:rPr>
      </w:pPr>
      <w:r w:rsidRPr="003052CE">
        <w:rPr>
          <w:rFonts w:ascii="Calibri" w:hAnsi="Calibri" w:cs="Calibri"/>
        </w:rPr>
        <w:t xml:space="preserve">Cette étude présente plusieurs limites. Il s'agissait d'une étude rétrospective analysant une cohorte de patients rassemblée prospectivement, il existe donc les limites associées à une étude rétrospective. L'agence de transport médical aérien disposait de ressources supplémentaires, telles que la thérapie par composants sanguins, qui n'étaient pas disponibles pour l'agence terrestre. Le système de ces deux agences peut ne pas se traduire dans d'autres types d'agences EMS. </w:t>
      </w:r>
    </w:p>
    <w:p w14:paraId="28FB1F88" w14:textId="0E5DA1A4" w:rsidR="00417657" w:rsidRPr="003052CE" w:rsidRDefault="00C571A0" w:rsidP="00C571A0">
      <w:pPr>
        <w:rPr>
          <w:rFonts w:ascii="Calibri" w:hAnsi="Calibri" w:cs="Calibri"/>
        </w:rPr>
      </w:pPr>
      <w:r w:rsidRPr="003052CE">
        <w:rPr>
          <w:rFonts w:ascii="Calibri" w:hAnsi="Calibri" w:cs="Calibri"/>
        </w:rPr>
        <w:t xml:space="preserve">Cette étude a été la première à démontrer un résultat de volume associé au traumatisme au niveau individuel du clinicien EMS aux États-Unis. Parmi les résultats intéressants, on compte que la durée d'emploi n'était pas associée à la mortalité et que le volume de patients non traumatisés observés n'était pas associé à la mortalité des patients traumatisés. Les résultats ont également indiqué que l'expérience globale était moins importante que l'expérience récente – un prestataire EMS certifié et expérimenté de longue date qui voit un faible nombre de patients traumatisés peut ne pas être meilleur qu'un nouveau prestataire EMS qui voit un grand nombre de patients traumatisés. Les résultats de cette étude diffèrent de ceux d'autres chirurgiens de traumatologie, qui ne constatent aucune différence de mortalité pour les chirurgiens de traumatologie à haut volume comparativement à ceux de faible volume. Cette constatation chez les chirurgiens traumatologues est probablement due aux ressources </w:t>
      </w:r>
      <w:r w:rsidRPr="003052CE">
        <w:rPr>
          <w:rFonts w:ascii="Calibri" w:hAnsi="Calibri" w:cs="Calibri"/>
        </w:rPr>
        <w:lastRenderedPageBreak/>
        <w:t>étendues disponibles à l'hôpital, aux soins pluridisciplinaires dans un centre de traumatologie, et à la possibilité de faire appel à des partenaires seniors pour des cas complexes alors que ces ressources ne sont pas accessibles aux prestataires EMS. Les auteurs concluent en soulignant l'attrait d'un programme d'amélioration de la qualité préhospitalière pour les services médicaux d'urgence, calqué d'après le programme d'amélioration de la qualité des traumatismes (TQIP) utilisé au niveau national par les centres de traumatologie.</w:t>
      </w:r>
    </w:p>
    <w:p w14:paraId="069B1DBA" w14:textId="77777777" w:rsidR="00C571A0" w:rsidRPr="003052CE" w:rsidRDefault="00C571A0" w:rsidP="00C571A0">
      <w:pPr>
        <w:rPr>
          <w:rFonts w:ascii="Calibri" w:hAnsi="Calibri" w:cs="Calibri"/>
        </w:rPr>
      </w:pPr>
    </w:p>
    <w:p w14:paraId="5ED87F8B" w14:textId="1EB5CF17" w:rsidR="00030CC4" w:rsidRPr="003052CE" w:rsidRDefault="00030CC4">
      <w:pPr>
        <w:pStyle w:val="Paragraphedeliste"/>
        <w:numPr>
          <w:ilvl w:val="0"/>
          <w:numId w:val="2"/>
        </w:numPr>
        <w:rPr>
          <w:rFonts w:eastAsia="Times New Roman" w:cstheme="minorHAnsi"/>
        </w:rPr>
      </w:pPr>
      <w:r w:rsidRPr="003052CE">
        <w:rPr>
          <w:rFonts w:eastAsia="Times New Roman" w:cstheme="minorHAnsi"/>
          <w:b/>
          <w:bCs/>
        </w:rPr>
        <w:t xml:space="preserve">Reconnaissance préhospitalière de la septicémie et administration d'antibiotiques : une analyse rétrospective. </w:t>
      </w:r>
      <w:proofErr w:type="spellStart"/>
      <w:r w:rsidRPr="003052CE">
        <w:rPr>
          <w:rFonts w:eastAsia="Times New Roman" w:cstheme="minorHAnsi"/>
        </w:rPr>
        <w:t>Antevy</w:t>
      </w:r>
      <w:proofErr w:type="spellEnd"/>
      <w:r w:rsidRPr="003052CE">
        <w:rPr>
          <w:rFonts w:eastAsia="Times New Roman" w:cstheme="minorHAnsi"/>
        </w:rPr>
        <w:t xml:space="preserve"> P, Scheppke K, Coyle C, et al.  </w:t>
      </w:r>
      <w:r w:rsidRPr="003052CE">
        <w:rPr>
          <w:rFonts w:eastAsia="Times New Roman" w:cstheme="minorHAnsi"/>
          <w:i/>
          <w:iCs/>
        </w:rPr>
        <w:t xml:space="preserve">Soins d'urgence préhospitaliers </w:t>
      </w:r>
      <w:r w:rsidRPr="003052CE">
        <w:rPr>
          <w:rFonts w:eastAsia="Times New Roman" w:cstheme="minorHAnsi"/>
        </w:rPr>
        <w:t>2026 ; 30:284–289.</w:t>
      </w:r>
    </w:p>
    <w:p w14:paraId="65EA8B40" w14:textId="32A1EF15" w:rsidR="00CE5A35" w:rsidRPr="003052CE" w:rsidRDefault="00CE5A35" w:rsidP="00030CC4">
      <w:pPr>
        <w:pStyle w:val="Paragraphedeliste"/>
        <w:ind w:left="360" w:firstLine="0"/>
        <w:rPr>
          <w:rFonts w:eastAsia="Times New Roman" w:cstheme="minorHAnsi"/>
          <w:b/>
          <w:bCs/>
        </w:rPr>
      </w:pPr>
    </w:p>
    <w:p w14:paraId="68D08FE6" w14:textId="77777777" w:rsidR="00030CC4" w:rsidRPr="003052CE" w:rsidRDefault="00030CC4" w:rsidP="00030CC4">
      <w:pPr>
        <w:rPr>
          <w:rFonts w:ascii="Calibri" w:hAnsi="Calibri" w:cs="Calibri"/>
        </w:rPr>
      </w:pPr>
      <w:r w:rsidRPr="003052CE">
        <w:rPr>
          <w:rFonts w:ascii="Calibri" w:hAnsi="Calibri" w:cs="Calibri"/>
        </w:rPr>
        <w:t>L'administration d'antibiotiques joue un rôle essentiel dans le traitement de la septicémie.  Il est largement admis que plus les patients reçoivent tôt des antibiotiques pour une septicémie sévère, plus leur taux de mortalité est faible.  Même avec un préavis aux hôpitaux via des « alertes sepsis », les patients arrivant aux urgences avec une septicémie sévère peuvent avoir un taux de mortalité allant jusqu'à 20 %.  Les auteurs de cette étude ont cherché à répondre à la question de savoir s'il est possible pour les prestataires préhospitaliers d'identifier précisément la septicémie sur le terrain et de commencer l'administration d'antibiotiques à large spectre avant leur arrivée aux urgences</w:t>
      </w:r>
    </w:p>
    <w:p w14:paraId="7BE4377A" w14:textId="77777777" w:rsidR="00030CC4" w:rsidRPr="003052CE" w:rsidRDefault="00030CC4" w:rsidP="00030CC4">
      <w:pPr>
        <w:rPr>
          <w:rFonts w:ascii="Calibri" w:hAnsi="Calibri" w:cs="Calibri"/>
        </w:rPr>
      </w:pPr>
      <w:r w:rsidRPr="003052CE">
        <w:rPr>
          <w:rFonts w:ascii="Calibri" w:hAnsi="Calibri" w:cs="Calibri"/>
        </w:rPr>
        <w:t xml:space="preserve">En utilisant les critères d'alerte sepsis d'un grand système EMS, ils ont examiné si, et quand, ces patients ayant reçu une thérapie antibiotique préhospitalière.  Cela a été réalisé via un examen rétrospectif du Pearl </w:t>
      </w:r>
      <w:proofErr w:type="spellStart"/>
      <w:r w:rsidRPr="003052CE">
        <w:rPr>
          <w:rFonts w:ascii="Calibri" w:hAnsi="Calibri" w:cs="Calibri"/>
        </w:rPr>
        <w:t>Institutional</w:t>
      </w:r>
      <w:proofErr w:type="spellEnd"/>
      <w:r w:rsidRPr="003052CE">
        <w:rPr>
          <w:rFonts w:ascii="Calibri" w:hAnsi="Calibri" w:cs="Calibri"/>
        </w:rPr>
        <w:t xml:space="preserve"> </w:t>
      </w:r>
      <w:proofErr w:type="spellStart"/>
      <w:r w:rsidRPr="003052CE">
        <w:rPr>
          <w:rFonts w:ascii="Calibri" w:hAnsi="Calibri" w:cs="Calibri"/>
        </w:rPr>
        <w:t>Review</w:t>
      </w:r>
      <w:proofErr w:type="spellEnd"/>
      <w:r w:rsidRPr="003052CE">
        <w:rPr>
          <w:rFonts w:ascii="Calibri" w:hAnsi="Calibri" w:cs="Calibri"/>
        </w:rPr>
        <w:t xml:space="preserve"> Board par consentement informé et rétrospectif des patients préhospitaliers « alerte sepsis » traités dans le comté de Palm Beach, en Floride.  Les auteurs s'intéressaient au temps allant de l'appel au 9-1-1 jusqu'à la première dose de l'antibiotique protocolaire, ainsi que du temps entre la première administration de l'antibiotique et l'arrivée aux urgences.  Le système EMS de ce comté dessert environ 976 900 habitants avec 55 ambulances et deux hélicoptères dotés de 1 500 ambulanciers.  Depuis 2019, ce système administre des fluides préhospitaliers (2L de solution physiologique IV normale) et des antibiotiques (ceftriaxone 2g IV et gentamicine 80 mg IM) aux patients adultes atteints de septicémie et alertent les patients présentant deux des trois symptômes suivants ; hypotension (pression artérielle systolique (SBP) &lt; 100 </w:t>
      </w:r>
      <w:proofErr w:type="spellStart"/>
      <w:r w:rsidRPr="003052CE">
        <w:rPr>
          <w:rFonts w:ascii="Calibri" w:hAnsi="Calibri" w:cs="Calibri"/>
        </w:rPr>
        <w:t>mmHg</w:t>
      </w:r>
      <w:proofErr w:type="spellEnd"/>
      <w:r w:rsidRPr="003052CE">
        <w:rPr>
          <w:rFonts w:ascii="Calibri" w:hAnsi="Calibri" w:cs="Calibri"/>
        </w:rPr>
        <w:t xml:space="preserve">), altération de l'état mental et tachypnée (fréquence respiratoire &gt; 22 ou dioxyde de carbone en fin de marée (EtCO2) &lt; 25 </w:t>
      </w:r>
      <w:proofErr w:type="spellStart"/>
      <w:r w:rsidRPr="003052CE">
        <w:rPr>
          <w:rFonts w:ascii="Calibri" w:hAnsi="Calibri" w:cs="Calibri"/>
        </w:rPr>
        <w:t>mmHg</w:t>
      </w:r>
      <w:proofErr w:type="spellEnd"/>
      <w:r w:rsidRPr="003052CE">
        <w:rPr>
          <w:rFonts w:ascii="Calibri" w:hAnsi="Calibri" w:cs="Calibri"/>
        </w:rPr>
        <w:t>).  En 2023, le protocole d'alerte septicémique a été mis à jour pour inclure les patients pédiatriques et les dosages basés sur le poids pour les fluides et les antibiotiques.</w:t>
      </w:r>
    </w:p>
    <w:p w14:paraId="7D312BD8" w14:textId="77777777" w:rsidR="00030CC4" w:rsidRPr="003052CE" w:rsidRDefault="00030CC4" w:rsidP="00030CC4">
      <w:pPr>
        <w:rPr>
          <w:rFonts w:ascii="Calibri" w:hAnsi="Calibri" w:cs="Calibri"/>
        </w:rPr>
      </w:pPr>
      <w:r w:rsidRPr="003052CE">
        <w:rPr>
          <w:rFonts w:ascii="Calibri" w:hAnsi="Calibri" w:cs="Calibri"/>
        </w:rPr>
        <w:t xml:space="preserve">L'équipe d'investigation a examiné 1 308 dossiers d'alerte de sepsis pour les patients traités entre le 1er juin 2023 et le 30 juin 2024.  Les âges des patients variaient de 11 à 104 ans.  L'âge médian des patients était de 80 ans.  Cinquante-cinq pour cent des patients étaient des hommes, 76,2 % s'identifiant comme blancs non hispaniques.  Un total de 1 147 patients (87,7 %) ont reçu ceftriaxone et gentamicine. Il y avait 44 (3,4 %) patients qui n'ont reçu aucun antibiotique.  La </w:t>
      </w:r>
      <w:proofErr w:type="spellStart"/>
      <w:r w:rsidRPr="003052CE">
        <w:rPr>
          <w:rFonts w:ascii="Calibri" w:hAnsi="Calibri" w:cs="Calibri"/>
        </w:rPr>
        <w:t>céftriaxone</w:t>
      </w:r>
      <w:proofErr w:type="spellEnd"/>
      <w:r w:rsidRPr="003052CE">
        <w:rPr>
          <w:rFonts w:ascii="Calibri" w:hAnsi="Calibri" w:cs="Calibri"/>
        </w:rPr>
        <w:t xml:space="preserve"> seule a été administrée à 41 (3,1 %) patients et 76 (5,8 %) n'ont reçu que de la gentamicine.  Les justifications pour s'écarter du protocole d'alerte septicémique incluaient l'absence d'accès intraveineux, des allergies réelles ou perçues à un ou l'autre des antibiotiques, des délais d'arrivée courts aux urgences et des refus des patients de recevoir un antibiotique.  Le volume médian de solution physiologique normale infusée avant l'arrivée aux urgences était de 700 ml.</w:t>
      </w:r>
    </w:p>
    <w:p w14:paraId="626BE64B" w14:textId="77777777" w:rsidR="00030CC4" w:rsidRPr="003052CE" w:rsidRDefault="00030CC4" w:rsidP="00030CC4">
      <w:pPr>
        <w:rPr>
          <w:rFonts w:ascii="Calibri" w:hAnsi="Calibri" w:cs="Calibri"/>
        </w:rPr>
      </w:pPr>
      <w:r w:rsidRPr="003052CE">
        <w:rPr>
          <w:rFonts w:ascii="Calibri" w:hAnsi="Calibri" w:cs="Calibri"/>
        </w:rPr>
        <w:t>Le temps médian d'administration des antibiotiques avant l'arrivée à l'hôpital était de 11 minutes 22 secondes.  Une documentation inexacte serait censée prendre en compte 26 patients ayant reçu des antibiotiques EMS après leur arrivée aux urgences.  Le temps médian entre l'appel au 9-1-1 et l'administration des antibiotiques était de 26 minutes.</w:t>
      </w:r>
    </w:p>
    <w:p w14:paraId="606EA994" w14:textId="77777777" w:rsidR="00030CC4" w:rsidRPr="003052CE" w:rsidRDefault="00030CC4" w:rsidP="00030CC4">
      <w:pPr>
        <w:rPr>
          <w:rFonts w:ascii="Calibri" w:hAnsi="Calibri" w:cs="Calibri"/>
        </w:rPr>
      </w:pPr>
      <w:r w:rsidRPr="003052CE">
        <w:rPr>
          <w:rFonts w:ascii="Calibri" w:hAnsi="Calibri" w:cs="Calibri"/>
        </w:rPr>
        <w:t xml:space="preserve">Les limites identifiées de cette étude incluent le système EMS unique et la conception rétrospective de la revue des dossiers du projet.  Toutes les données ont été auto-déclarées par les prestataires EMS. </w:t>
      </w:r>
      <w:r w:rsidRPr="003052CE">
        <w:rPr>
          <w:rFonts w:ascii="Calibri" w:hAnsi="Calibri" w:cs="Calibri"/>
        </w:rPr>
        <w:lastRenderedPageBreak/>
        <w:t>L'étude n'a examiné que les appels d'alerte de septicémie identifiés.  Il n'y avait aucune explication pour les patients qui n'étaient pas correctement identifiés sur le terrain comme étant septiques.  La gentamycine a manqué pendant une courte période d'études.  Bien qu'il ne s'agisse pas d'une limitation de l'étude, le protocole d'alerte septicémique utilisé par le comté de Palm Beach n'inclut pas la prise de cultures sanguines avant l'administration d'antibiotiques, ce qui pourrait compromettre une évaluation hospitalière ultérieure.  Enfin, aucune information sur le résultat du patient n'a été fournie.</w:t>
      </w:r>
    </w:p>
    <w:p w14:paraId="4DC1902E" w14:textId="0CA20092" w:rsidR="00417657" w:rsidRPr="003052CE" w:rsidRDefault="00030CC4" w:rsidP="00030CC4">
      <w:pPr>
        <w:rPr>
          <w:rFonts w:ascii="Calibri" w:hAnsi="Calibri" w:cs="Calibri"/>
        </w:rPr>
      </w:pPr>
      <w:r w:rsidRPr="003052CE">
        <w:rPr>
          <w:rFonts w:ascii="Calibri" w:hAnsi="Calibri" w:cs="Calibri"/>
        </w:rPr>
        <w:t>Cette étude a montré que 97 % des patients en alerte septicémique dans ce système EMS ont reçu des antibiotiques avant leur arrivée à l'hôpital.  Les professionnels de terrain apprennent à se souvenir de la « HAT » (hypotension, état mental altéré, tachypnée) comme un outil mnémotechnique pour identifier les patients atteints de septicémie.  Les antibiotiques préhospitaliers pour la septicémie peuvent réduire le temps avant l'administration de la première dose et, en théorie, diminuer la mortalité par choc septique. Cet article documente la faisabilité de la reconnaissance préhospitalière de la septicémie et du traitement antibiotique, mais ne montre pas s'il existe un bénéfice en termes de survie du patient lorsqu'on économise, dans ce cas, 11 minutes de temps de traitement.</w:t>
      </w:r>
    </w:p>
    <w:p w14:paraId="08547133" w14:textId="77777777" w:rsidR="00030CC4" w:rsidRPr="003052CE" w:rsidRDefault="00030CC4" w:rsidP="00030CC4">
      <w:pPr>
        <w:rPr>
          <w:rFonts w:ascii="Calibri" w:hAnsi="Calibri" w:cs="Calibri"/>
        </w:rPr>
      </w:pPr>
    </w:p>
    <w:p w14:paraId="2F5CFCEA" w14:textId="3775CDD3" w:rsidR="00030CC4" w:rsidRPr="003052CE" w:rsidRDefault="00030CC4">
      <w:pPr>
        <w:pStyle w:val="Paragraphedeliste"/>
        <w:numPr>
          <w:ilvl w:val="0"/>
          <w:numId w:val="2"/>
        </w:numPr>
        <w:rPr>
          <w:rFonts w:ascii="Calibri" w:hAnsi="Calibri" w:cs="Calibri"/>
        </w:rPr>
      </w:pPr>
      <w:r w:rsidRPr="003052CE">
        <w:rPr>
          <w:rFonts w:ascii="Calibri" w:hAnsi="Calibri" w:cs="Calibri"/>
          <w:b/>
          <w:bCs/>
        </w:rPr>
        <w:t xml:space="preserve">Association entre défibrillation immédiate et résultats lors d'un arrêt cardiaque hors hôpital susceptible de choquer : une analyse du score de propension. </w:t>
      </w:r>
      <w:r w:rsidRPr="003052CE">
        <w:rPr>
          <w:rFonts w:ascii="Calibri" w:hAnsi="Calibri" w:cs="Calibri"/>
        </w:rPr>
        <w:t xml:space="preserve">Kimura R, Nakagawa K, </w:t>
      </w:r>
      <w:proofErr w:type="spellStart"/>
      <w:r w:rsidRPr="003052CE">
        <w:rPr>
          <w:rFonts w:ascii="Calibri" w:hAnsi="Calibri" w:cs="Calibri"/>
        </w:rPr>
        <w:t>Kinoshi</w:t>
      </w:r>
      <w:proofErr w:type="spellEnd"/>
      <w:r w:rsidRPr="003052CE">
        <w:rPr>
          <w:rFonts w:ascii="Calibri" w:hAnsi="Calibri" w:cs="Calibri"/>
        </w:rPr>
        <w:t xml:space="preserve"> T, Tanaka H.</w:t>
      </w:r>
    </w:p>
    <w:p w14:paraId="456229E5" w14:textId="2CDFE8C2" w:rsidR="004F1CF2" w:rsidRPr="003052CE" w:rsidRDefault="00030CC4" w:rsidP="00030CC4">
      <w:pPr>
        <w:pStyle w:val="Paragraphedeliste"/>
        <w:ind w:left="360" w:firstLine="0"/>
        <w:rPr>
          <w:rFonts w:ascii="Calibri" w:hAnsi="Calibri" w:cs="Calibri"/>
        </w:rPr>
      </w:pPr>
      <w:r w:rsidRPr="003052CE">
        <w:rPr>
          <w:rFonts w:ascii="Calibri" w:hAnsi="Calibri" w:cs="Calibri"/>
          <w:i/>
          <w:iCs/>
        </w:rPr>
        <w:t xml:space="preserve">Soins d'urgence préhospitaliers </w:t>
      </w:r>
      <w:r w:rsidRPr="003052CE">
        <w:rPr>
          <w:rFonts w:ascii="Calibri" w:hAnsi="Calibri" w:cs="Calibri"/>
        </w:rPr>
        <w:t>2026 ; 30:393–400</w:t>
      </w:r>
    </w:p>
    <w:p w14:paraId="30008AC7" w14:textId="77777777" w:rsidR="004F1CF2" w:rsidRPr="003052CE" w:rsidRDefault="004F1CF2" w:rsidP="00592EF2">
      <w:pPr>
        <w:rPr>
          <w:rFonts w:ascii="Calibri" w:hAnsi="Calibri" w:cs="Calibri"/>
        </w:rPr>
      </w:pPr>
    </w:p>
    <w:p w14:paraId="3533D81B" w14:textId="77777777" w:rsidR="00030CC4" w:rsidRPr="003052CE" w:rsidRDefault="00030CC4" w:rsidP="00030CC4">
      <w:pPr>
        <w:autoSpaceDE w:val="0"/>
        <w:autoSpaceDN w:val="0"/>
        <w:adjustRightInd w:val="0"/>
        <w:rPr>
          <w:rFonts w:ascii="Calibri" w:hAnsi="Calibri" w:cs="Calibri"/>
        </w:rPr>
      </w:pPr>
      <w:r w:rsidRPr="003052CE">
        <w:rPr>
          <w:rFonts w:ascii="Calibri" w:hAnsi="Calibri" w:cs="Calibri"/>
        </w:rPr>
        <w:t xml:space="preserve">La survie à un arrêt cardiaque hors hôpital est depuis longtemps un sujet de recherche dans le milieu préhospitalier.  De petites variations de performance, de procédures ou de calendrier ont par le passé entraîné une augmentation des taux de survie.  Les auteurs de cette étude rétrospective examinent le moment de la défibrillation et les résultats chez les patients entre la défibrillation immédiate et la défibrillation retardée. </w:t>
      </w:r>
    </w:p>
    <w:p w14:paraId="7E27FAA5" w14:textId="77777777" w:rsidR="00030CC4" w:rsidRPr="003052CE" w:rsidRDefault="00030CC4" w:rsidP="00030CC4">
      <w:pPr>
        <w:autoSpaceDE w:val="0"/>
        <w:autoSpaceDN w:val="0"/>
        <w:adjustRightInd w:val="0"/>
        <w:rPr>
          <w:rFonts w:ascii="Calibri" w:hAnsi="Calibri" w:cs="Calibri"/>
        </w:rPr>
      </w:pPr>
      <w:r w:rsidRPr="003052CE">
        <w:rPr>
          <w:rFonts w:ascii="Calibri" w:hAnsi="Calibri" w:cs="Calibri"/>
        </w:rPr>
        <w:t xml:space="preserve">Les auteurs ont comparé la défibrillation « immédiate » administrée dans les 2 minutes suivant le début de la RCP à celles défibrillées entre 2 et 4 minutes après le début de la RCP (défibrillation retardée).  Les points de fin de l'étude étaient la survie à 30 jours et la performance cérébrale de catégorie 1 ou 2.   Au Japon, le système EMS est fourni par les unités des pompiers.  Ces unités se composent de deux ambulanciers de base et d'un praticien avancé sous le contrôle direct d'un médecin à distance.  </w:t>
      </w:r>
    </w:p>
    <w:p w14:paraId="7971840E" w14:textId="77777777" w:rsidR="00030CC4" w:rsidRPr="003052CE" w:rsidRDefault="00030CC4" w:rsidP="00030CC4">
      <w:pPr>
        <w:autoSpaceDE w:val="0"/>
        <w:autoSpaceDN w:val="0"/>
        <w:adjustRightInd w:val="0"/>
        <w:rPr>
          <w:rFonts w:ascii="Calibri" w:hAnsi="Calibri" w:cs="Calibri"/>
        </w:rPr>
      </w:pPr>
      <w:r w:rsidRPr="003052CE">
        <w:rPr>
          <w:rFonts w:ascii="Calibri" w:hAnsi="Calibri" w:cs="Calibri"/>
        </w:rPr>
        <w:t xml:space="preserve">Entre le 1er janvier 2010 et le 31 décembre 2019, un total de 1 257 127 arrêts cardiaques hors hôpital ont été enregistrés dans la base de données nationale japonaise.  Parmi eux, 60 662 se sont présentés dans un rythme choc et remplissaient d'autres critères de l'étude.   Parmi ceux-ci, 30 851 (50,9 %) appartenaient au groupe défibrillation immédiate, et 29 811 (49,1 %) dans le groupe différé.  </w:t>
      </w:r>
    </w:p>
    <w:p w14:paraId="257DD6B9" w14:textId="77777777" w:rsidR="00030CC4" w:rsidRPr="003052CE" w:rsidRDefault="00030CC4" w:rsidP="00030CC4">
      <w:pPr>
        <w:autoSpaceDE w:val="0"/>
        <w:autoSpaceDN w:val="0"/>
        <w:adjustRightInd w:val="0"/>
        <w:rPr>
          <w:rFonts w:ascii="Calibri" w:hAnsi="Calibri" w:cs="Calibri"/>
        </w:rPr>
      </w:pPr>
      <w:r w:rsidRPr="003052CE">
        <w:rPr>
          <w:rFonts w:ascii="Calibri" w:hAnsi="Calibri" w:cs="Calibri"/>
        </w:rPr>
        <w:t>Les taux de survie à un mois étaient de 32,5 % pour la défibrillation immédiate et de 29,1 % pour la défibrillation différée. La défibrillation immédiate a été constatée pour améliorer les chances de survie pendant un mois par rapport à l'attente. Défibriller dans les 2 minutes suivant le début de la RCP augmente statistiquement le taux de ROSC, la catégorie de performance cérébrale, et les chances de survie après un mois.</w:t>
      </w:r>
    </w:p>
    <w:p w14:paraId="14403674" w14:textId="77777777" w:rsidR="00030CC4" w:rsidRPr="003052CE" w:rsidRDefault="00030CC4" w:rsidP="00030CC4">
      <w:pPr>
        <w:autoSpaceDE w:val="0"/>
        <w:autoSpaceDN w:val="0"/>
        <w:adjustRightInd w:val="0"/>
        <w:rPr>
          <w:rFonts w:ascii="Calibri" w:hAnsi="Calibri" w:cs="Calibri"/>
        </w:rPr>
      </w:pPr>
      <w:r w:rsidRPr="003052CE">
        <w:rPr>
          <w:rFonts w:ascii="Calibri" w:hAnsi="Calibri" w:cs="Calibri"/>
        </w:rPr>
        <w:t>Cette étude présente plusieurs limites, principalement son caractère observationnel et rétrospectif, qui empêchent de tirer des conclusions définitives sur la causalité. Des facteurs de confusion non mesurés, tels que la qualité de la RCP et la prise de décision EMS, ont pu influencer les résultats. De plus, le manque de données hospitalières aurait pu influencer la publication des résultats.  Enfin, les résultats peuvent ne pas s'appliquer aux systèmes EMS d'autres pays car les données proviennent uniquement du Japon.</w:t>
      </w:r>
    </w:p>
    <w:p w14:paraId="10A31740" w14:textId="270720E8" w:rsidR="0008350C" w:rsidRPr="003052CE" w:rsidRDefault="00030CC4" w:rsidP="00030CC4">
      <w:pPr>
        <w:autoSpaceDE w:val="0"/>
        <w:autoSpaceDN w:val="0"/>
        <w:adjustRightInd w:val="0"/>
        <w:rPr>
          <w:rFonts w:cstheme="minorHAnsi"/>
          <w:lang w:val="fr-CA"/>
        </w:rPr>
      </w:pPr>
      <w:r w:rsidRPr="003052CE">
        <w:rPr>
          <w:rFonts w:ascii="Calibri" w:hAnsi="Calibri" w:cs="Calibri"/>
        </w:rPr>
        <w:t xml:space="preserve">La survie à un arrêt cardiaque hors hôpital est l'une des mesures fondamentales des services médicaux modernes.  Cette étude renforce le concept selon lequel la défibrillation précoce est un outil </w:t>
      </w:r>
      <w:r w:rsidRPr="003052CE">
        <w:rPr>
          <w:rFonts w:ascii="Calibri" w:hAnsi="Calibri" w:cs="Calibri"/>
        </w:rPr>
        <w:lastRenderedPageBreak/>
        <w:t xml:space="preserve">clé pour maximiser la survie face à l'OOHCA. La recherche doit être continue, prospective et se concentrer sur des facteurs facilement changeables lors de la réanimation afin d'optimiser les résultats de l'OOHCA.  </w:t>
      </w:r>
    </w:p>
    <w:sectPr w:rsidR="0008350C" w:rsidRPr="003052CE" w:rsidSect="002B2E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907D" w14:textId="77777777" w:rsidR="006F2DB0" w:rsidRPr="003052CE" w:rsidRDefault="006F2DB0" w:rsidP="00CC1ECE">
      <w:r w:rsidRPr="003052CE">
        <w:separator/>
      </w:r>
    </w:p>
  </w:endnote>
  <w:endnote w:type="continuationSeparator" w:id="0">
    <w:p w14:paraId="643624F9" w14:textId="77777777" w:rsidR="006F2DB0" w:rsidRPr="003052CE" w:rsidRDefault="006F2DB0" w:rsidP="00CC1ECE">
      <w:r w:rsidRPr="003052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9FD" w14:textId="77777777" w:rsidR="00EC556A" w:rsidRPr="003052CE" w:rsidRDefault="00EC556A" w:rsidP="00EC556A">
    <w:pPr>
      <w:pStyle w:val="Pieddepage"/>
      <w:jc w:val="center"/>
      <w:rPr>
        <w:b/>
      </w:rPr>
    </w:pPr>
    <w:r w:rsidRPr="003052CE">
      <w:rPr>
        <w:b/>
      </w:rPr>
      <w:t>www.IPHMI.com</w:t>
    </w:r>
  </w:p>
  <w:p w14:paraId="3911A5C2" w14:textId="77777777" w:rsidR="00EC556A" w:rsidRPr="003052CE" w:rsidRDefault="00EC55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DC84" w14:textId="77777777" w:rsidR="006F2DB0" w:rsidRPr="003052CE" w:rsidRDefault="006F2DB0" w:rsidP="00CC1ECE">
      <w:r w:rsidRPr="003052CE">
        <w:separator/>
      </w:r>
    </w:p>
  </w:footnote>
  <w:footnote w:type="continuationSeparator" w:id="0">
    <w:p w14:paraId="3368A729" w14:textId="77777777" w:rsidR="006F2DB0" w:rsidRPr="003052CE" w:rsidRDefault="006F2DB0" w:rsidP="00CC1ECE">
      <w:r w:rsidRPr="003052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FA8A" w14:textId="77777777" w:rsidR="00EC556A" w:rsidRPr="003052CE" w:rsidRDefault="00EC556A" w:rsidP="00EC556A">
    <w:pPr>
      <w:pStyle w:val="En-tte"/>
      <w:jc w:val="center"/>
      <w:rPr>
        <w:b/>
        <w:i/>
        <w:sz w:val="36"/>
        <w:u w:val="single"/>
      </w:rPr>
    </w:pPr>
    <w:r w:rsidRPr="003052CE">
      <w:rPr>
        <w:b/>
        <w:i/>
        <w:sz w:val="36"/>
        <w:u w:val="single"/>
      </w:rPr>
      <w:t>Institut international de médecine préhospitalière</w:t>
    </w:r>
  </w:p>
  <w:p w14:paraId="0A9D369C" w14:textId="77777777" w:rsidR="00EC556A" w:rsidRPr="003052CE" w:rsidRDefault="00EC55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A8B"/>
    <w:multiLevelType w:val="hybridMultilevel"/>
    <w:tmpl w:val="7B54E3EC"/>
    <w:lvl w:ilvl="0" w:tplc="FC54C594">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750796"/>
    <w:multiLevelType w:val="hybridMultilevel"/>
    <w:tmpl w:val="9304886A"/>
    <w:lvl w:ilvl="0" w:tplc="843C566A">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30ABD"/>
    <w:multiLevelType w:val="hybridMultilevel"/>
    <w:tmpl w:val="664E3526"/>
    <w:lvl w:ilvl="0" w:tplc="EB84C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3964790">
    <w:abstractNumId w:val="2"/>
  </w:num>
  <w:num w:numId="2" w16cid:durableId="1051880445">
    <w:abstractNumId w:val="1"/>
  </w:num>
  <w:num w:numId="3" w16cid:durableId="12602624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7"/>
    <w:rsid w:val="0000060E"/>
    <w:rsid w:val="00000D8B"/>
    <w:rsid w:val="00000FEC"/>
    <w:rsid w:val="00007BA6"/>
    <w:rsid w:val="00012F95"/>
    <w:rsid w:val="0001698B"/>
    <w:rsid w:val="00020D8A"/>
    <w:rsid w:val="0002464E"/>
    <w:rsid w:val="000251EC"/>
    <w:rsid w:val="00030CC4"/>
    <w:rsid w:val="00033677"/>
    <w:rsid w:val="00033B77"/>
    <w:rsid w:val="00037773"/>
    <w:rsid w:val="000403B1"/>
    <w:rsid w:val="00041C70"/>
    <w:rsid w:val="00046471"/>
    <w:rsid w:val="00053DC7"/>
    <w:rsid w:val="000548D0"/>
    <w:rsid w:val="00054BFF"/>
    <w:rsid w:val="000577EB"/>
    <w:rsid w:val="000607DE"/>
    <w:rsid w:val="0008350C"/>
    <w:rsid w:val="00086FB0"/>
    <w:rsid w:val="000942CA"/>
    <w:rsid w:val="00096298"/>
    <w:rsid w:val="000A39D8"/>
    <w:rsid w:val="000A500D"/>
    <w:rsid w:val="000A7673"/>
    <w:rsid w:val="000B2DC9"/>
    <w:rsid w:val="000B3977"/>
    <w:rsid w:val="000B5810"/>
    <w:rsid w:val="000C1C93"/>
    <w:rsid w:val="000C1ED3"/>
    <w:rsid w:val="000D737E"/>
    <w:rsid w:val="000E1EEE"/>
    <w:rsid w:val="000E61AC"/>
    <w:rsid w:val="000E7FF5"/>
    <w:rsid w:val="000F0391"/>
    <w:rsid w:val="000F44FE"/>
    <w:rsid w:val="000F6E4A"/>
    <w:rsid w:val="001053F1"/>
    <w:rsid w:val="00107449"/>
    <w:rsid w:val="00112343"/>
    <w:rsid w:val="0011511A"/>
    <w:rsid w:val="0012112A"/>
    <w:rsid w:val="00125483"/>
    <w:rsid w:val="00125AF1"/>
    <w:rsid w:val="00126D9C"/>
    <w:rsid w:val="001272F3"/>
    <w:rsid w:val="001327B9"/>
    <w:rsid w:val="00137FB9"/>
    <w:rsid w:val="00140F42"/>
    <w:rsid w:val="001459A9"/>
    <w:rsid w:val="001465D4"/>
    <w:rsid w:val="001505DB"/>
    <w:rsid w:val="00155484"/>
    <w:rsid w:val="00161774"/>
    <w:rsid w:val="00176FE6"/>
    <w:rsid w:val="001810C4"/>
    <w:rsid w:val="00181E88"/>
    <w:rsid w:val="00184890"/>
    <w:rsid w:val="00184D1F"/>
    <w:rsid w:val="00193364"/>
    <w:rsid w:val="00193BAE"/>
    <w:rsid w:val="001A2AF5"/>
    <w:rsid w:val="001A2CA7"/>
    <w:rsid w:val="001B2C0E"/>
    <w:rsid w:val="001B69AC"/>
    <w:rsid w:val="001C0348"/>
    <w:rsid w:val="001C16EF"/>
    <w:rsid w:val="001C3615"/>
    <w:rsid w:val="001C5280"/>
    <w:rsid w:val="001D0851"/>
    <w:rsid w:val="001D229F"/>
    <w:rsid w:val="001D57F6"/>
    <w:rsid w:val="001E10D6"/>
    <w:rsid w:val="001E4361"/>
    <w:rsid w:val="001F470D"/>
    <w:rsid w:val="001F6CFD"/>
    <w:rsid w:val="001F7C77"/>
    <w:rsid w:val="00200E21"/>
    <w:rsid w:val="00203A36"/>
    <w:rsid w:val="00204A3E"/>
    <w:rsid w:val="00204D61"/>
    <w:rsid w:val="00206296"/>
    <w:rsid w:val="00216EFE"/>
    <w:rsid w:val="00221F53"/>
    <w:rsid w:val="00234651"/>
    <w:rsid w:val="00234BAF"/>
    <w:rsid w:val="00235410"/>
    <w:rsid w:val="00235D40"/>
    <w:rsid w:val="0023757E"/>
    <w:rsid w:val="0024264F"/>
    <w:rsid w:val="00253C5C"/>
    <w:rsid w:val="002576B3"/>
    <w:rsid w:val="002627DC"/>
    <w:rsid w:val="00264DF6"/>
    <w:rsid w:val="00265734"/>
    <w:rsid w:val="00265A59"/>
    <w:rsid w:val="00267862"/>
    <w:rsid w:val="00270EB5"/>
    <w:rsid w:val="0027336D"/>
    <w:rsid w:val="002736F8"/>
    <w:rsid w:val="002750A3"/>
    <w:rsid w:val="00275AE9"/>
    <w:rsid w:val="002816EF"/>
    <w:rsid w:val="00281AA8"/>
    <w:rsid w:val="00283B4B"/>
    <w:rsid w:val="002910C5"/>
    <w:rsid w:val="002943AA"/>
    <w:rsid w:val="0029612D"/>
    <w:rsid w:val="002A448D"/>
    <w:rsid w:val="002A612A"/>
    <w:rsid w:val="002B1C13"/>
    <w:rsid w:val="002B2E15"/>
    <w:rsid w:val="002C00B1"/>
    <w:rsid w:val="002C1439"/>
    <w:rsid w:val="002C41E8"/>
    <w:rsid w:val="002D18D0"/>
    <w:rsid w:val="002D385C"/>
    <w:rsid w:val="002E0AB2"/>
    <w:rsid w:val="002E6A42"/>
    <w:rsid w:val="002F1B9E"/>
    <w:rsid w:val="002F2158"/>
    <w:rsid w:val="00301C76"/>
    <w:rsid w:val="00303DEC"/>
    <w:rsid w:val="00304FCB"/>
    <w:rsid w:val="003052CE"/>
    <w:rsid w:val="003058A2"/>
    <w:rsid w:val="003078BD"/>
    <w:rsid w:val="003111DD"/>
    <w:rsid w:val="003122CE"/>
    <w:rsid w:val="00316585"/>
    <w:rsid w:val="00317365"/>
    <w:rsid w:val="0032129A"/>
    <w:rsid w:val="00321528"/>
    <w:rsid w:val="00326AF1"/>
    <w:rsid w:val="00332A7D"/>
    <w:rsid w:val="003331AA"/>
    <w:rsid w:val="00346AB0"/>
    <w:rsid w:val="00347087"/>
    <w:rsid w:val="00356335"/>
    <w:rsid w:val="00361398"/>
    <w:rsid w:val="00362F86"/>
    <w:rsid w:val="00363F26"/>
    <w:rsid w:val="00367A88"/>
    <w:rsid w:val="003800B3"/>
    <w:rsid w:val="00381BDD"/>
    <w:rsid w:val="0038633C"/>
    <w:rsid w:val="0038790A"/>
    <w:rsid w:val="00390AEA"/>
    <w:rsid w:val="00392C1F"/>
    <w:rsid w:val="00395433"/>
    <w:rsid w:val="003962A4"/>
    <w:rsid w:val="003B3023"/>
    <w:rsid w:val="003B39E9"/>
    <w:rsid w:val="003B3A90"/>
    <w:rsid w:val="003B6592"/>
    <w:rsid w:val="003B7857"/>
    <w:rsid w:val="003D2244"/>
    <w:rsid w:val="003D44D9"/>
    <w:rsid w:val="003E0710"/>
    <w:rsid w:val="003E07DA"/>
    <w:rsid w:val="003E1465"/>
    <w:rsid w:val="003E51F2"/>
    <w:rsid w:val="003F1AAF"/>
    <w:rsid w:val="003F4BB7"/>
    <w:rsid w:val="0040407D"/>
    <w:rsid w:val="00404F6F"/>
    <w:rsid w:val="004068DD"/>
    <w:rsid w:val="00406B3D"/>
    <w:rsid w:val="0041124D"/>
    <w:rsid w:val="00413939"/>
    <w:rsid w:val="00415CB4"/>
    <w:rsid w:val="00417657"/>
    <w:rsid w:val="00424045"/>
    <w:rsid w:val="00424314"/>
    <w:rsid w:val="00425215"/>
    <w:rsid w:val="004269E1"/>
    <w:rsid w:val="00431361"/>
    <w:rsid w:val="004654DB"/>
    <w:rsid w:val="00472F9A"/>
    <w:rsid w:val="004749F7"/>
    <w:rsid w:val="00483D2C"/>
    <w:rsid w:val="00485330"/>
    <w:rsid w:val="00490A07"/>
    <w:rsid w:val="00491411"/>
    <w:rsid w:val="0049245A"/>
    <w:rsid w:val="00493BCD"/>
    <w:rsid w:val="004A1C81"/>
    <w:rsid w:val="004A2499"/>
    <w:rsid w:val="004A5FB7"/>
    <w:rsid w:val="004B5626"/>
    <w:rsid w:val="004B6C92"/>
    <w:rsid w:val="004B7EE3"/>
    <w:rsid w:val="004D3C0D"/>
    <w:rsid w:val="004D5F8C"/>
    <w:rsid w:val="004E0756"/>
    <w:rsid w:val="004E27B8"/>
    <w:rsid w:val="004E3BCF"/>
    <w:rsid w:val="004E7694"/>
    <w:rsid w:val="004F050C"/>
    <w:rsid w:val="004F1CF2"/>
    <w:rsid w:val="005053A7"/>
    <w:rsid w:val="00506F03"/>
    <w:rsid w:val="00510B67"/>
    <w:rsid w:val="00520E73"/>
    <w:rsid w:val="005217D8"/>
    <w:rsid w:val="00523D0F"/>
    <w:rsid w:val="00526673"/>
    <w:rsid w:val="00527BE6"/>
    <w:rsid w:val="00530542"/>
    <w:rsid w:val="00536681"/>
    <w:rsid w:val="00540AB0"/>
    <w:rsid w:val="00542970"/>
    <w:rsid w:val="00550A12"/>
    <w:rsid w:val="0057657B"/>
    <w:rsid w:val="005769AE"/>
    <w:rsid w:val="005830F5"/>
    <w:rsid w:val="00592D6B"/>
    <w:rsid w:val="00592EF2"/>
    <w:rsid w:val="00593D20"/>
    <w:rsid w:val="00597139"/>
    <w:rsid w:val="005A338C"/>
    <w:rsid w:val="005A340E"/>
    <w:rsid w:val="005A685A"/>
    <w:rsid w:val="005B1B93"/>
    <w:rsid w:val="005B3228"/>
    <w:rsid w:val="005B4D2F"/>
    <w:rsid w:val="005C209E"/>
    <w:rsid w:val="005D21B6"/>
    <w:rsid w:val="005D3C3C"/>
    <w:rsid w:val="005E1684"/>
    <w:rsid w:val="005E4774"/>
    <w:rsid w:val="005F2C3D"/>
    <w:rsid w:val="0060639D"/>
    <w:rsid w:val="00612DB7"/>
    <w:rsid w:val="0062363F"/>
    <w:rsid w:val="00632D45"/>
    <w:rsid w:val="00640BE7"/>
    <w:rsid w:val="00643503"/>
    <w:rsid w:val="0064535D"/>
    <w:rsid w:val="00653565"/>
    <w:rsid w:val="00656510"/>
    <w:rsid w:val="00657100"/>
    <w:rsid w:val="0066164D"/>
    <w:rsid w:val="00666AD9"/>
    <w:rsid w:val="0067234F"/>
    <w:rsid w:val="006758ED"/>
    <w:rsid w:val="006808BC"/>
    <w:rsid w:val="00692403"/>
    <w:rsid w:val="00692F42"/>
    <w:rsid w:val="00695417"/>
    <w:rsid w:val="00696332"/>
    <w:rsid w:val="006A73E8"/>
    <w:rsid w:val="006B01B5"/>
    <w:rsid w:val="006B4BCB"/>
    <w:rsid w:val="006B4C49"/>
    <w:rsid w:val="006B787B"/>
    <w:rsid w:val="006C1D46"/>
    <w:rsid w:val="006C28B6"/>
    <w:rsid w:val="006C78B2"/>
    <w:rsid w:val="006D0CA1"/>
    <w:rsid w:val="006D2989"/>
    <w:rsid w:val="006E1A31"/>
    <w:rsid w:val="006E632D"/>
    <w:rsid w:val="006E6E47"/>
    <w:rsid w:val="006F0274"/>
    <w:rsid w:val="006F2DB0"/>
    <w:rsid w:val="006F5CBF"/>
    <w:rsid w:val="006F5DC6"/>
    <w:rsid w:val="006F7C8E"/>
    <w:rsid w:val="00701C52"/>
    <w:rsid w:val="007044CC"/>
    <w:rsid w:val="00717345"/>
    <w:rsid w:val="00733101"/>
    <w:rsid w:val="0073764B"/>
    <w:rsid w:val="007419D9"/>
    <w:rsid w:val="00742AC7"/>
    <w:rsid w:val="00745AC5"/>
    <w:rsid w:val="007537AD"/>
    <w:rsid w:val="00753E26"/>
    <w:rsid w:val="00757AE3"/>
    <w:rsid w:val="0077245B"/>
    <w:rsid w:val="007832E3"/>
    <w:rsid w:val="00783856"/>
    <w:rsid w:val="00783BAC"/>
    <w:rsid w:val="0078434F"/>
    <w:rsid w:val="007866D0"/>
    <w:rsid w:val="007953ED"/>
    <w:rsid w:val="007A125C"/>
    <w:rsid w:val="007A1647"/>
    <w:rsid w:val="007A3A49"/>
    <w:rsid w:val="007B4CDB"/>
    <w:rsid w:val="007B66CA"/>
    <w:rsid w:val="007B735B"/>
    <w:rsid w:val="007C09BD"/>
    <w:rsid w:val="007C1ECF"/>
    <w:rsid w:val="007C7235"/>
    <w:rsid w:val="007D0305"/>
    <w:rsid w:val="007D3F72"/>
    <w:rsid w:val="007D5076"/>
    <w:rsid w:val="007D58BA"/>
    <w:rsid w:val="007D6F97"/>
    <w:rsid w:val="007E0612"/>
    <w:rsid w:val="007F3B34"/>
    <w:rsid w:val="007F7274"/>
    <w:rsid w:val="00803A9A"/>
    <w:rsid w:val="008141BF"/>
    <w:rsid w:val="008154BD"/>
    <w:rsid w:val="00822E86"/>
    <w:rsid w:val="00825722"/>
    <w:rsid w:val="008363AF"/>
    <w:rsid w:val="00837F82"/>
    <w:rsid w:val="00846182"/>
    <w:rsid w:val="00852B9A"/>
    <w:rsid w:val="00852D41"/>
    <w:rsid w:val="008548AF"/>
    <w:rsid w:val="008710B9"/>
    <w:rsid w:val="00873AD0"/>
    <w:rsid w:val="00880689"/>
    <w:rsid w:val="008A0008"/>
    <w:rsid w:val="008A0F53"/>
    <w:rsid w:val="008B00CB"/>
    <w:rsid w:val="008B038E"/>
    <w:rsid w:val="008B4ABE"/>
    <w:rsid w:val="008B6898"/>
    <w:rsid w:val="008C2DA9"/>
    <w:rsid w:val="008D4278"/>
    <w:rsid w:val="008D6D9A"/>
    <w:rsid w:val="008E160E"/>
    <w:rsid w:val="008E2104"/>
    <w:rsid w:val="008E424C"/>
    <w:rsid w:val="008E502B"/>
    <w:rsid w:val="008E68F7"/>
    <w:rsid w:val="008E7368"/>
    <w:rsid w:val="008F3248"/>
    <w:rsid w:val="008F601D"/>
    <w:rsid w:val="00901F19"/>
    <w:rsid w:val="00903E7E"/>
    <w:rsid w:val="00904E9C"/>
    <w:rsid w:val="009073F7"/>
    <w:rsid w:val="009106F1"/>
    <w:rsid w:val="00912F3D"/>
    <w:rsid w:val="00914150"/>
    <w:rsid w:val="00922E3E"/>
    <w:rsid w:val="009260F6"/>
    <w:rsid w:val="009277B9"/>
    <w:rsid w:val="009308A2"/>
    <w:rsid w:val="009328CC"/>
    <w:rsid w:val="00940115"/>
    <w:rsid w:val="00943813"/>
    <w:rsid w:val="00945B96"/>
    <w:rsid w:val="009505B0"/>
    <w:rsid w:val="00950C94"/>
    <w:rsid w:val="00951957"/>
    <w:rsid w:val="00960913"/>
    <w:rsid w:val="009634BA"/>
    <w:rsid w:val="0097137D"/>
    <w:rsid w:val="00975B8C"/>
    <w:rsid w:val="009809EC"/>
    <w:rsid w:val="00985114"/>
    <w:rsid w:val="00987ADA"/>
    <w:rsid w:val="00996C8E"/>
    <w:rsid w:val="009979A0"/>
    <w:rsid w:val="009A5621"/>
    <w:rsid w:val="009A72C1"/>
    <w:rsid w:val="009B3196"/>
    <w:rsid w:val="009B5E3E"/>
    <w:rsid w:val="009D2B40"/>
    <w:rsid w:val="009D3589"/>
    <w:rsid w:val="009D57E7"/>
    <w:rsid w:val="009E2627"/>
    <w:rsid w:val="009E7393"/>
    <w:rsid w:val="009F25AA"/>
    <w:rsid w:val="009F53F7"/>
    <w:rsid w:val="00A03A18"/>
    <w:rsid w:val="00A11702"/>
    <w:rsid w:val="00A12D76"/>
    <w:rsid w:val="00A16ED6"/>
    <w:rsid w:val="00A322D2"/>
    <w:rsid w:val="00A33F37"/>
    <w:rsid w:val="00A34DB2"/>
    <w:rsid w:val="00A36579"/>
    <w:rsid w:val="00A406B3"/>
    <w:rsid w:val="00A45647"/>
    <w:rsid w:val="00A55EE6"/>
    <w:rsid w:val="00A569A0"/>
    <w:rsid w:val="00A57792"/>
    <w:rsid w:val="00A62253"/>
    <w:rsid w:val="00A65EF4"/>
    <w:rsid w:val="00A66C04"/>
    <w:rsid w:val="00A704B4"/>
    <w:rsid w:val="00A71B69"/>
    <w:rsid w:val="00A73410"/>
    <w:rsid w:val="00A779CC"/>
    <w:rsid w:val="00A834E7"/>
    <w:rsid w:val="00A83C04"/>
    <w:rsid w:val="00A84C1B"/>
    <w:rsid w:val="00A933AB"/>
    <w:rsid w:val="00A93E30"/>
    <w:rsid w:val="00AA5387"/>
    <w:rsid w:val="00AA7EC1"/>
    <w:rsid w:val="00AB1930"/>
    <w:rsid w:val="00AB5858"/>
    <w:rsid w:val="00AD2237"/>
    <w:rsid w:val="00AD7ED9"/>
    <w:rsid w:val="00AF221D"/>
    <w:rsid w:val="00AF5699"/>
    <w:rsid w:val="00B07EA7"/>
    <w:rsid w:val="00B13E10"/>
    <w:rsid w:val="00B1711F"/>
    <w:rsid w:val="00B31B87"/>
    <w:rsid w:val="00B31C7F"/>
    <w:rsid w:val="00B32740"/>
    <w:rsid w:val="00B33670"/>
    <w:rsid w:val="00B4144E"/>
    <w:rsid w:val="00B432F8"/>
    <w:rsid w:val="00B44CA8"/>
    <w:rsid w:val="00B50275"/>
    <w:rsid w:val="00B5115C"/>
    <w:rsid w:val="00B5424E"/>
    <w:rsid w:val="00B65219"/>
    <w:rsid w:val="00B662B4"/>
    <w:rsid w:val="00B67CE0"/>
    <w:rsid w:val="00B702EE"/>
    <w:rsid w:val="00B76069"/>
    <w:rsid w:val="00B817D8"/>
    <w:rsid w:val="00B903C9"/>
    <w:rsid w:val="00B916EB"/>
    <w:rsid w:val="00BA3A92"/>
    <w:rsid w:val="00BB10EC"/>
    <w:rsid w:val="00BB1C4D"/>
    <w:rsid w:val="00BB3360"/>
    <w:rsid w:val="00BC3FB1"/>
    <w:rsid w:val="00BC4278"/>
    <w:rsid w:val="00BD0399"/>
    <w:rsid w:val="00BD171A"/>
    <w:rsid w:val="00BD242E"/>
    <w:rsid w:val="00BE1F02"/>
    <w:rsid w:val="00BE6989"/>
    <w:rsid w:val="00BE7361"/>
    <w:rsid w:val="00BF6A4B"/>
    <w:rsid w:val="00C076B5"/>
    <w:rsid w:val="00C07D4B"/>
    <w:rsid w:val="00C101AC"/>
    <w:rsid w:val="00C106D8"/>
    <w:rsid w:val="00C11D96"/>
    <w:rsid w:val="00C22F59"/>
    <w:rsid w:val="00C23304"/>
    <w:rsid w:val="00C26485"/>
    <w:rsid w:val="00C33139"/>
    <w:rsid w:val="00C4127F"/>
    <w:rsid w:val="00C4140F"/>
    <w:rsid w:val="00C42D45"/>
    <w:rsid w:val="00C44324"/>
    <w:rsid w:val="00C459ED"/>
    <w:rsid w:val="00C571A0"/>
    <w:rsid w:val="00C627AA"/>
    <w:rsid w:val="00C644DC"/>
    <w:rsid w:val="00C704D2"/>
    <w:rsid w:val="00C70676"/>
    <w:rsid w:val="00C70A1D"/>
    <w:rsid w:val="00C7369A"/>
    <w:rsid w:val="00C7577A"/>
    <w:rsid w:val="00C8273A"/>
    <w:rsid w:val="00C83E13"/>
    <w:rsid w:val="00C90D69"/>
    <w:rsid w:val="00C94CBA"/>
    <w:rsid w:val="00C97C08"/>
    <w:rsid w:val="00CA15CD"/>
    <w:rsid w:val="00CB208E"/>
    <w:rsid w:val="00CB6B28"/>
    <w:rsid w:val="00CB7B80"/>
    <w:rsid w:val="00CC1ECE"/>
    <w:rsid w:val="00CC28FA"/>
    <w:rsid w:val="00CC3B9C"/>
    <w:rsid w:val="00CC60E0"/>
    <w:rsid w:val="00CD11FC"/>
    <w:rsid w:val="00CD47BF"/>
    <w:rsid w:val="00CD6CCC"/>
    <w:rsid w:val="00CE5A35"/>
    <w:rsid w:val="00CF26A5"/>
    <w:rsid w:val="00D03F51"/>
    <w:rsid w:val="00D07B9D"/>
    <w:rsid w:val="00D12076"/>
    <w:rsid w:val="00D20569"/>
    <w:rsid w:val="00D21EC7"/>
    <w:rsid w:val="00D24707"/>
    <w:rsid w:val="00D24E8B"/>
    <w:rsid w:val="00D27263"/>
    <w:rsid w:val="00D50450"/>
    <w:rsid w:val="00D551AD"/>
    <w:rsid w:val="00D60821"/>
    <w:rsid w:val="00D6189B"/>
    <w:rsid w:val="00D63344"/>
    <w:rsid w:val="00D635BE"/>
    <w:rsid w:val="00D706A9"/>
    <w:rsid w:val="00D72B85"/>
    <w:rsid w:val="00D72E64"/>
    <w:rsid w:val="00D7366F"/>
    <w:rsid w:val="00D73D4F"/>
    <w:rsid w:val="00D746F3"/>
    <w:rsid w:val="00D75F7A"/>
    <w:rsid w:val="00D764C8"/>
    <w:rsid w:val="00D80B58"/>
    <w:rsid w:val="00DA1520"/>
    <w:rsid w:val="00DA3D18"/>
    <w:rsid w:val="00DA7547"/>
    <w:rsid w:val="00DC0273"/>
    <w:rsid w:val="00DC08A7"/>
    <w:rsid w:val="00DC1BDF"/>
    <w:rsid w:val="00DC67D9"/>
    <w:rsid w:val="00DC7963"/>
    <w:rsid w:val="00DD3366"/>
    <w:rsid w:val="00DE6841"/>
    <w:rsid w:val="00DF0E6D"/>
    <w:rsid w:val="00DF1BB5"/>
    <w:rsid w:val="00DF551A"/>
    <w:rsid w:val="00E0109A"/>
    <w:rsid w:val="00E03092"/>
    <w:rsid w:val="00E06170"/>
    <w:rsid w:val="00E067C2"/>
    <w:rsid w:val="00E122A1"/>
    <w:rsid w:val="00E21606"/>
    <w:rsid w:val="00E32EFE"/>
    <w:rsid w:val="00E35014"/>
    <w:rsid w:val="00E36885"/>
    <w:rsid w:val="00E36F82"/>
    <w:rsid w:val="00E44B5A"/>
    <w:rsid w:val="00E52C61"/>
    <w:rsid w:val="00E653CA"/>
    <w:rsid w:val="00E7020E"/>
    <w:rsid w:val="00E71FDA"/>
    <w:rsid w:val="00E7332A"/>
    <w:rsid w:val="00E77606"/>
    <w:rsid w:val="00E8179F"/>
    <w:rsid w:val="00E86572"/>
    <w:rsid w:val="00E918D6"/>
    <w:rsid w:val="00EA5606"/>
    <w:rsid w:val="00EC3111"/>
    <w:rsid w:val="00EC32F1"/>
    <w:rsid w:val="00EC4980"/>
    <w:rsid w:val="00EC556A"/>
    <w:rsid w:val="00ED5F07"/>
    <w:rsid w:val="00EF3522"/>
    <w:rsid w:val="00EF3E44"/>
    <w:rsid w:val="00EF6AF8"/>
    <w:rsid w:val="00F04C34"/>
    <w:rsid w:val="00F04F34"/>
    <w:rsid w:val="00F114EE"/>
    <w:rsid w:val="00F127E2"/>
    <w:rsid w:val="00F128FD"/>
    <w:rsid w:val="00F13C7C"/>
    <w:rsid w:val="00F15F8D"/>
    <w:rsid w:val="00F246AC"/>
    <w:rsid w:val="00F30BD1"/>
    <w:rsid w:val="00F36A03"/>
    <w:rsid w:val="00F36AD9"/>
    <w:rsid w:val="00F46E88"/>
    <w:rsid w:val="00F47D00"/>
    <w:rsid w:val="00F5437E"/>
    <w:rsid w:val="00F54978"/>
    <w:rsid w:val="00F63757"/>
    <w:rsid w:val="00F67571"/>
    <w:rsid w:val="00F67C65"/>
    <w:rsid w:val="00F74DEA"/>
    <w:rsid w:val="00F80497"/>
    <w:rsid w:val="00F83E59"/>
    <w:rsid w:val="00F921FA"/>
    <w:rsid w:val="00FA207B"/>
    <w:rsid w:val="00FA3295"/>
    <w:rsid w:val="00FA3E27"/>
    <w:rsid w:val="00FA51B5"/>
    <w:rsid w:val="00FC4013"/>
    <w:rsid w:val="00FC4639"/>
    <w:rsid w:val="00FC467B"/>
    <w:rsid w:val="00FD1A6B"/>
    <w:rsid w:val="00FD5B32"/>
    <w:rsid w:val="00FE48DE"/>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6E6D"/>
  <w15:docId w15:val="{66A55C3E-23C0-4F59-A726-56252D2B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B1"/>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19D9"/>
    <w:pPr>
      <w:ind w:left="720"/>
      <w:contextualSpacing/>
    </w:pPr>
  </w:style>
  <w:style w:type="character" w:customStyle="1" w:styleId="journaltitlesp1">
    <w:name w:val="journaltitlesp1"/>
    <w:basedOn w:val="Policepardfaut"/>
    <w:rsid w:val="00523D0F"/>
    <w:rPr>
      <w:i/>
      <w:iCs/>
    </w:rPr>
  </w:style>
  <w:style w:type="character" w:customStyle="1" w:styleId="issuevolsp">
    <w:name w:val="issuevolsp"/>
    <w:basedOn w:val="Policepardfaut"/>
    <w:rsid w:val="00523D0F"/>
  </w:style>
  <w:style w:type="character" w:customStyle="1" w:styleId="pagerange">
    <w:name w:val="pagerange"/>
    <w:basedOn w:val="Policepardfaut"/>
    <w:rsid w:val="00523D0F"/>
  </w:style>
  <w:style w:type="paragraph" w:styleId="Textedebulles">
    <w:name w:val="Balloon Text"/>
    <w:basedOn w:val="Normal"/>
    <w:link w:val="TextedebullesCar"/>
    <w:uiPriority w:val="99"/>
    <w:semiHidden/>
    <w:unhideWhenUsed/>
    <w:rsid w:val="007C7235"/>
    <w:rPr>
      <w:rFonts w:ascii="Tahoma" w:hAnsi="Tahoma" w:cs="Tahoma"/>
      <w:sz w:val="16"/>
      <w:szCs w:val="16"/>
    </w:rPr>
  </w:style>
  <w:style w:type="character" w:customStyle="1" w:styleId="TextedebullesCar">
    <w:name w:val="Texte de bulles Car"/>
    <w:basedOn w:val="Policepardfaut"/>
    <w:link w:val="Textedebulles"/>
    <w:uiPriority w:val="99"/>
    <w:semiHidden/>
    <w:rsid w:val="007C7235"/>
    <w:rPr>
      <w:rFonts w:ascii="Tahoma" w:hAnsi="Tahoma" w:cs="Tahoma"/>
      <w:sz w:val="16"/>
      <w:szCs w:val="16"/>
    </w:rPr>
  </w:style>
  <w:style w:type="paragraph" w:styleId="Sansinterligne">
    <w:name w:val="No Spacing"/>
    <w:uiPriority w:val="1"/>
    <w:qFormat/>
    <w:rsid w:val="00B5424E"/>
  </w:style>
  <w:style w:type="paragraph" w:styleId="En-tte">
    <w:name w:val="header"/>
    <w:basedOn w:val="Normal"/>
    <w:link w:val="En-tteCar"/>
    <w:uiPriority w:val="99"/>
    <w:unhideWhenUsed/>
    <w:rsid w:val="00CC1ECE"/>
    <w:pPr>
      <w:tabs>
        <w:tab w:val="center" w:pos="4680"/>
        <w:tab w:val="right" w:pos="9360"/>
      </w:tabs>
    </w:pPr>
  </w:style>
  <w:style w:type="character" w:customStyle="1" w:styleId="En-tteCar">
    <w:name w:val="En-tête Car"/>
    <w:basedOn w:val="Policepardfaut"/>
    <w:link w:val="En-tte"/>
    <w:uiPriority w:val="99"/>
    <w:rsid w:val="00CC1ECE"/>
  </w:style>
  <w:style w:type="paragraph" w:styleId="Pieddepage">
    <w:name w:val="footer"/>
    <w:basedOn w:val="Normal"/>
    <w:link w:val="PieddepageCar"/>
    <w:uiPriority w:val="99"/>
    <w:unhideWhenUsed/>
    <w:rsid w:val="00CC1ECE"/>
    <w:pPr>
      <w:tabs>
        <w:tab w:val="center" w:pos="4680"/>
        <w:tab w:val="right" w:pos="9360"/>
      </w:tabs>
    </w:pPr>
  </w:style>
  <w:style w:type="character" w:customStyle="1" w:styleId="PieddepageCar">
    <w:name w:val="Pied de page Car"/>
    <w:basedOn w:val="Policepardfaut"/>
    <w:link w:val="Pieddepage"/>
    <w:uiPriority w:val="99"/>
    <w:rsid w:val="00CC1ECE"/>
  </w:style>
  <w:style w:type="character" w:styleId="Lienhypertexte">
    <w:name w:val="Hyperlink"/>
    <w:basedOn w:val="Policepardfaut"/>
    <w:uiPriority w:val="99"/>
    <w:unhideWhenUsed/>
    <w:rsid w:val="00943813"/>
    <w:rPr>
      <w:color w:val="0000FF" w:themeColor="hyperlink"/>
      <w:u w:val="single"/>
    </w:rPr>
  </w:style>
  <w:style w:type="character" w:styleId="Lienhypertextesuivivisit">
    <w:name w:val="FollowedHyperlink"/>
    <w:basedOn w:val="Policepardfaut"/>
    <w:uiPriority w:val="99"/>
    <w:semiHidden/>
    <w:unhideWhenUsed/>
    <w:rsid w:val="00F67571"/>
    <w:rPr>
      <w:color w:val="800080" w:themeColor="followedHyperlink"/>
      <w:u w:val="single"/>
    </w:rPr>
  </w:style>
  <w:style w:type="table" w:styleId="Grilledutableau">
    <w:name w:val="Table Grid"/>
    <w:basedOn w:val="TableauNormal"/>
    <w:uiPriority w:val="59"/>
    <w:rsid w:val="004B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2A1"/>
    <w:rPr>
      <w:rFonts w:ascii="Times New Roman" w:hAnsi="Times New Roman" w:cs="Times New Roman"/>
      <w:sz w:val="24"/>
      <w:szCs w:val="24"/>
    </w:rPr>
  </w:style>
  <w:style w:type="character" w:customStyle="1" w:styleId="A6">
    <w:name w:val="A6"/>
    <w:uiPriority w:val="99"/>
    <w:rsid w:val="00321528"/>
    <w:rPr>
      <w:color w:val="000000"/>
      <w:sz w:val="21"/>
      <w:szCs w:val="21"/>
    </w:rPr>
  </w:style>
  <w:style w:type="character" w:customStyle="1" w:styleId="UnresolvedMention1">
    <w:name w:val="Unresolved Mention1"/>
    <w:basedOn w:val="Policepardfaut"/>
    <w:uiPriority w:val="99"/>
    <w:semiHidden/>
    <w:unhideWhenUsed/>
    <w:rsid w:val="00DA1520"/>
    <w:rPr>
      <w:color w:val="605E5C"/>
      <w:shd w:val="clear" w:color="auto" w:fill="E1DFDD"/>
    </w:rPr>
  </w:style>
  <w:style w:type="paragraph" w:customStyle="1" w:styleId="Default">
    <w:name w:val="Default"/>
    <w:rsid w:val="00692F42"/>
    <w:pPr>
      <w:autoSpaceDE w:val="0"/>
      <w:autoSpaceDN w:val="0"/>
      <w:adjustRightInd w:val="0"/>
      <w:ind w:firstLine="0"/>
    </w:pPr>
    <w:rPr>
      <w:rFonts w:ascii="Avenir" w:hAnsi="Avenir" w:cs="Avenir"/>
      <w:color w:val="000000"/>
      <w:sz w:val="24"/>
      <w:szCs w:val="24"/>
      <w14:ligatures w14:val="standardContextual"/>
    </w:rPr>
  </w:style>
  <w:style w:type="character" w:styleId="Mentionnonrsolue">
    <w:name w:val="Unresolved Mention"/>
    <w:basedOn w:val="Policepardfaut"/>
    <w:uiPriority w:val="99"/>
    <w:semiHidden/>
    <w:unhideWhenUsed/>
    <w:rsid w:val="000403B1"/>
    <w:rPr>
      <w:color w:val="605E5C"/>
      <w:shd w:val="clear" w:color="auto" w:fill="E1DFDD"/>
    </w:rPr>
  </w:style>
  <w:style w:type="character" w:styleId="Textedelespacerserv">
    <w:name w:val="Placeholder Text"/>
    <w:basedOn w:val="Policepardfaut"/>
    <w:uiPriority w:val="99"/>
    <w:semiHidden/>
    <w:rsid w:val="003052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B99C-3094-44CE-BAF1-E4DE088B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3118</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PTP</dc:creator>
  <cp:lastModifiedBy>Arnaud Mathieu</cp:lastModifiedBy>
  <cp:revision>1</cp:revision>
  <cp:lastPrinted>2026-05-24T20:42:00Z</cp:lastPrinted>
  <dcterms:created xsi:type="dcterms:W3CDTF">2026-05-24T20:40:00Z</dcterms:created>
  <dcterms:modified xsi:type="dcterms:W3CDTF">2026-06-01T22:48:00Z</dcterms:modified>
</cp:coreProperties>
</file>