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E7074" w14:textId="050CF6C1" w:rsidR="00D27263" w:rsidRDefault="00C627AA" w:rsidP="00D27263">
      <w:pPr>
        <w:rPr>
          <w:sz w:val="48"/>
        </w:rPr>
      </w:pPr>
      <w:r>
        <w:rPr>
          <w:b/>
          <w:noProof/>
        </w:rPr>
        <w:drawing>
          <wp:inline distT="0" distB="0" distL="0" distR="0" wp14:anchorId="7DAEC0B0" wp14:editId="3423138E">
            <wp:extent cx="956945" cy="9569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6945" cy="956945"/>
                    </a:xfrm>
                    <a:prstGeom prst="rect">
                      <a:avLst/>
                    </a:prstGeom>
                    <a:noFill/>
                  </pic:spPr>
                </pic:pic>
              </a:graphicData>
            </a:graphic>
          </wp:inline>
        </w:drawing>
      </w:r>
      <w:r w:rsidR="00D27263">
        <w:rPr>
          <w:b/>
        </w:rPr>
        <w:t xml:space="preserve">        </w:t>
      </w:r>
      <w:r w:rsidR="00D27263" w:rsidRPr="00922F50">
        <w:rPr>
          <w:sz w:val="36"/>
          <w:szCs w:val="36"/>
        </w:rPr>
        <w:t>Revisión de la Literatura IPHMI</w:t>
      </w:r>
      <w:r w:rsidR="00D27263">
        <w:rPr>
          <w:sz w:val="40"/>
        </w:rPr>
        <w:t xml:space="preserve">   </w:t>
      </w:r>
      <w:r w:rsidR="00D27263">
        <w:rPr>
          <w:b/>
          <w:noProof/>
        </w:rPr>
        <w:drawing>
          <wp:inline distT="0" distB="0" distL="0" distR="0" wp14:anchorId="40B1EC8D" wp14:editId="04CCBF62">
            <wp:extent cx="1402080" cy="881243"/>
            <wp:effectExtent l="19050" t="19050" r="26670" b="146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rnlCoversSm.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33989" cy="901298"/>
                    </a:xfrm>
                    <a:prstGeom prst="rect">
                      <a:avLst/>
                    </a:prstGeom>
                    <a:ln w="25400">
                      <a:solidFill>
                        <a:schemeClr val="tx1"/>
                      </a:solidFill>
                    </a:ln>
                  </pic:spPr>
                </pic:pic>
              </a:graphicData>
            </a:graphic>
          </wp:inline>
        </w:drawing>
      </w:r>
    </w:p>
    <w:p w14:paraId="58BCD5BA" w14:textId="2AF7040E" w:rsidR="00D27263" w:rsidRPr="00323738" w:rsidRDefault="00D27263" w:rsidP="00D27263">
      <w:pPr>
        <w:jc w:val="center"/>
        <w:rPr>
          <w:sz w:val="28"/>
          <w:szCs w:val="28"/>
        </w:rPr>
      </w:pPr>
      <w:r>
        <w:rPr>
          <w:sz w:val="28"/>
          <w:szCs w:val="28"/>
        </w:rPr>
        <w:t>Manteniéndote al día con la literatura y los estudios actuales sobre EMS</w:t>
      </w:r>
    </w:p>
    <w:p w14:paraId="5F601443" w14:textId="412F619E" w:rsidR="00D27263" w:rsidRDefault="00332A7D" w:rsidP="00332A7D">
      <w:pPr>
        <w:ind w:left="2160" w:firstLine="720"/>
        <w:rPr>
          <w:sz w:val="40"/>
          <w:szCs w:val="40"/>
        </w:rPr>
      </w:pPr>
      <w:r>
        <w:rPr>
          <w:sz w:val="40"/>
          <w:szCs w:val="40"/>
        </w:rPr>
        <w:t xml:space="preserve">    Vol. 8.12</w:t>
      </w:r>
    </w:p>
    <w:p w14:paraId="0DE2D581" w14:textId="77777777" w:rsidR="00692F42" w:rsidRPr="00CD6CCC" w:rsidRDefault="00692F42" w:rsidP="00CD6CCC">
      <w:pPr>
        <w:ind w:firstLine="0"/>
        <w:rPr>
          <w:rFonts w:cstheme="minorHAnsi"/>
        </w:rPr>
      </w:pPr>
      <w:bookmarkStart w:id="0" w:name="_Hlk94267765"/>
      <w:bookmarkStart w:id="1" w:name="_Hlk99358131"/>
      <w:bookmarkStart w:id="2" w:name="_Hlk91327920"/>
    </w:p>
    <w:p w14:paraId="342CE0BC" w14:textId="2DD2F3DD" w:rsidR="007D1A55" w:rsidRPr="00925FEC" w:rsidRDefault="0043460D" w:rsidP="007D1A55">
      <w:pPr>
        <w:pStyle w:val="Prrafodelista"/>
        <w:numPr>
          <w:ilvl w:val="0"/>
          <w:numId w:val="1"/>
        </w:numPr>
        <w:autoSpaceDE w:val="0"/>
        <w:autoSpaceDN w:val="0"/>
        <w:adjustRightInd w:val="0"/>
        <w:spacing w:before="100" w:beforeAutospacing="1" w:after="100" w:afterAutospacing="1"/>
        <w:rPr>
          <w:rFonts w:cstheme="minorHAnsi"/>
          <w:lang w:val="es-ES"/>
        </w:rPr>
      </w:pPr>
      <w:bookmarkStart w:id="3" w:name="_Hlk104805474"/>
      <w:bookmarkStart w:id="4" w:name="_Hlk109814945"/>
      <w:bookmarkStart w:id="5" w:name="_Hlk91665549"/>
      <w:bookmarkStart w:id="6" w:name="_Hlk101786252"/>
      <w:bookmarkStart w:id="7" w:name="_Hlk188787144"/>
      <w:bookmarkStart w:id="8" w:name="_Hlk203820641"/>
      <w:bookmarkStart w:id="9" w:name="_Hlk209350553"/>
      <w:bookmarkStart w:id="10" w:name="_Hlk220156538"/>
      <w:bookmarkStart w:id="11" w:name="_Hlk217123478"/>
      <w:bookmarkEnd w:id="0"/>
      <w:bookmarkEnd w:id="1"/>
      <w:bookmarkEnd w:id="2"/>
      <w:r w:rsidRPr="00925FEC">
        <w:rPr>
          <w:rFonts w:cstheme="minorHAnsi"/>
          <w:b/>
          <w:bCs/>
        </w:rPr>
        <w:t>Resultados avanzados vs. básicos de soporte vital en el tratamiento de paro cardíaco fuera del hospital: un estudio de cohorte basado en registros.</w:t>
      </w:r>
      <w:bookmarkEnd w:id="3"/>
      <w:bookmarkEnd w:id="4"/>
      <w:bookmarkEnd w:id="5"/>
      <w:bookmarkEnd w:id="6"/>
      <w:bookmarkEnd w:id="7"/>
      <w:bookmarkEnd w:id="8"/>
      <w:bookmarkEnd w:id="9"/>
      <w:bookmarkEnd w:id="10"/>
      <w:bookmarkEnd w:id="11"/>
      <w:r w:rsidRPr="00925FEC">
        <w:rPr>
          <w:rFonts w:cstheme="minorHAnsi"/>
        </w:rPr>
        <w:t xml:space="preserve"> </w:t>
      </w:r>
      <w:proofErr w:type="spellStart"/>
      <w:r w:rsidRPr="00925FEC">
        <w:rPr>
          <w:rFonts w:cstheme="minorHAnsi"/>
        </w:rPr>
        <w:t>Silvagi</w:t>
      </w:r>
      <w:proofErr w:type="spellEnd"/>
      <w:r w:rsidRPr="00925FEC">
        <w:rPr>
          <w:rFonts w:cstheme="minorHAnsi"/>
        </w:rPr>
        <w:t xml:space="preserve"> R, </w:t>
      </w:r>
      <w:proofErr w:type="spellStart"/>
      <w:r w:rsidRPr="00925FEC">
        <w:rPr>
          <w:rFonts w:cstheme="minorHAnsi"/>
        </w:rPr>
        <w:t>Rodriguez-Fohn</w:t>
      </w:r>
      <w:proofErr w:type="spellEnd"/>
      <w:r w:rsidRPr="00925FEC">
        <w:rPr>
          <w:rFonts w:cstheme="minorHAnsi"/>
        </w:rPr>
        <w:t xml:space="preserve"> E, Reece RJ, et al. </w:t>
      </w:r>
      <w:proofErr w:type="spellStart"/>
      <w:r w:rsidRPr="00925FEC">
        <w:rPr>
          <w:rFonts w:cstheme="minorHAnsi"/>
          <w:i/>
          <w:iCs/>
        </w:rPr>
        <w:t>Amer</w:t>
      </w:r>
      <w:proofErr w:type="spellEnd"/>
      <w:r w:rsidRPr="00925FEC">
        <w:rPr>
          <w:rFonts w:cstheme="minorHAnsi"/>
          <w:i/>
          <w:iCs/>
        </w:rPr>
        <w:t xml:space="preserve"> J </w:t>
      </w:r>
      <w:proofErr w:type="spellStart"/>
      <w:r w:rsidRPr="00925FEC">
        <w:rPr>
          <w:rFonts w:cstheme="minorHAnsi"/>
          <w:i/>
          <w:iCs/>
        </w:rPr>
        <w:t>Emerg</w:t>
      </w:r>
      <w:proofErr w:type="spellEnd"/>
      <w:r w:rsidRPr="00925FEC">
        <w:rPr>
          <w:rFonts w:cstheme="minorHAnsi"/>
          <w:i/>
          <w:iCs/>
        </w:rPr>
        <w:t xml:space="preserve"> </w:t>
      </w:r>
      <w:proofErr w:type="spellStart"/>
      <w:r w:rsidRPr="00925FEC">
        <w:rPr>
          <w:rFonts w:cstheme="minorHAnsi"/>
          <w:i/>
          <w:iCs/>
        </w:rPr>
        <w:t>Med</w:t>
      </w:r>
      <w:proofErr w:type="spellEnd"/>
      <w:r w:rsidRPr="00925FEC">
        <w:rPr>
          <w:rFonts w:cstheme="minorHAnsi"/>
          <w:i/>
          <w:iCs/>
        </w:rPr>
        <w:t xml:space="preserve"> </w:t>
      </w:r>
      <w:r w:rsidRPr="00925FEC">
        <w:rPr>
          <w:rFonts w:cstheme="minorHAnsi"/>
        </w:rPr>
        <w:t>2026; 109:263-267.</w:t>
      </w:r>
    </w:p>
    <w:p w14:paraId="1592183E" w14:textId="2508BB14" w:rsidR="00212F3C" w:rsidRPr="00925FEC" w:rsidRDefault="0043460D" w:rsidP="00212F3C">
      <w:pPr>
        <w:pStyle w:val="Prrafodelista"/>
        <w:numPr>
          <w:ilvl w:val="0"/>
          <w:numId w:val="1"/>
        </w:numPr>
        <w:autoSpaceDE w:val="0"/>
        <w:autoSpaceDN w:val="0"/>
        <w:adjustRightInd w:val="0"/>
        <w:spacing w:before="100" w:beforeAutospacing="1" w:after="100" w:afterAutospacing="1"/>
        <w:rPr>
          <w:rFonts w:cstheme="minorHAnsi"/>
        </w:rPr>
      </w:pPr>
      <w:r w:rsidRPr="00925FEC">
        <w:rPr>
          <w:rFonts w:cstheme="minorHAnsi"/>
          <w:b/>
          <w:bCs/>
        </w:rPr>
        <w:t>Eficacia y seguridad de la reanimación prehospitalaria con sangre entera en shock hemorrágico traumático: una revisión sistemática y metaanálisis.</w:t>
      </w:r>
      <w:r w:rsidRPr="00925FEC">
        <w:rPr>
          <w:rFonts w:cstheme="minorHAnsi"/>
        </w:rPr>
        <w:t xml:space="preserve"> </w:t>
      </w:r>
      <w:proofErr w:type="spellStart"/>
      <w:r w:rsidRPr="00925FEC">
        <w:rPr>
          <w:rFonts w:cstheme="minorHAnsi"/>
        </w:rPr>
        <w:t>Khana</w:t>
      </w:r>
      <w:proofErr w:type="spellEnd"/>
      <w:r w:rsidRPr="00925FEC">
        <w:rPr>
          <w:rFonts w:cstheme="minorHAnsi"/>
        </w:rPr>
        <w:t xml:space="preserve"> YY, </w:t>
      </w:r>
      <w:proofErr w:type="spellStart"/>
      <w:r w:rsidRPr="00925FEC">
        <w:rPr>
          <w:rFonts w:cstheme="minorHAnsi"/>
        </w:rPr>
        <w:t>Alzahrani</w:t>
      </w:r>
      <w:proofErr w:type="spellEnd"/>
      <w:r w:rsidRPr="00925FEC">
        <w:rPr>
          <w:rFonts w:cstheme="minorHAnsi"/>
        </w:rPr>
        <w:t xml:space="preserve"> AA, </w:t>
      </w:r>
      <w:proofErr w:type="spellStart"/>
      <w:r w:rsidRPr="00925FEC">
        <w:rPr>
          <w:rFonts w:cstheme="minorHAnsi"/>
        </w:rPr>
        <w:t>Alghamdi</w:t>
      </w:r>
      <w:proofErr w:type="spellEnd"/>
      <w:r w:rsidRPr="00925FEC">
        <w:rPr>
          <w:rFonts w:cstheme="minorHAnsi"/>
        </w:rPr>
        <w:t xml:space="preserve"> RS, et al </w:t>
      </w:r>
      <w:proofErr w:type="spellStart"/>
      <w:r w:rsidRPr="00925FEC">
        <w:rPr>
          <w:rFonts w:cstheme="minorHAnsi"/>
          <w:i/>
          <w:iCs/>
        </w:rPr>
        <w:t>Amer</w:t>
      </w:r>
      <w:proofErr w:type="spellEnd"/>
      <w:r w:rsidRPr="00925FEC">
        <w:rPr>
          <w:rFonts w:cstheme="minorHAnsi"/>
          <w:i/>
          <w:iCs/>
        </w:rPr>
        <w:t xml:space="preserve"> J </w:t>
      </w:r>
      <w:proofErr w:type="spellStart"/>
      <w:r w:rsidRPr="00925FEC">
        <w:rPr>
          <w:rFonts w:cstheme="minorHAnsi"/>
          <w:i/>
          <w:iCs/>
        </w:rPr>
        <w:t>Emerg</w:t>
      </w:r>
      <w:proofErr w:type="spellEnd"/>
      <w:r w:rsidRPr="00925FEC">
        <w:rPr>
          <w:rFonts w:cstheme="minorHAnsi"/>
        </w:rPr>
        <w:t xml:space="preserve"> </w:t>
      </w:r>
      <w:proofErr w:type="spellStart"/>
      <w:r w:rsidRPr="00925FEC">
        <w:rPr>
          <w:rFonts w:cstheme="minorHAnsi"/>
        </w:rPr>
        <w:t>Med</w:t>
      </w:r>
      <w:proofErr w:type="spellEnd"/>
      <w:r w:rsidRPr="00925FEC">
        <w:rPr>
          <w:rFonts w:cstheme="minorHAnsi"/>
        </w:rPr>
        <w:t xml:space="preserve"> 2026; 109:229-237</w:t>
      </w:r>
    </w:p>
    <w:p w14:paraId="44329F6A" w14:textId="60F77D4D" w:rsidR="006D36FB" w:rsidRPr="00925FEC" w:rsidRDefault="00925FEC" w:rsidP="006D36FB">
      <w:pPr>
        <w:pStyle w:val="Prrafodelista"/>
        <w:numPr>
          <w:ilvl w:val="0"/>
          <w:numId w:val="1"/>
        </w:numPr>
        <w:autoSpaceDE w:val="0"/>
        <w:autoSpaceDN w:val="0"/>
        <w:adjustRightInd w:val="0"/>
        <w:spacing w:before="100" w:beforeAutospacing="1" w:after="100" w:afterAutospacing="1"/>
        <w:rPr>
          <w:rFonts w:cstheme="minorHAnsi"/>
        </w:rPr>
      </w:pPr>
      <w:r w:rsidRPr="00925FEC">
        <w:rPr>
          <w:rFonts w:cstheme="minorHAnsi"/>
          <w:b/>
          <w:bCs/>
        </w:rPr>
        <w:t>Aumento de la administración de productos sanguíneos prehospitalarios a totales asociada con mejores resultados hospitalarios: un análisis secundario de ensayos de choque hemorrágico.</w:t>
      </w:r>
      <w:r w:rsidRPr="00925FEC">
        <w:rPr>
          <w:rFonts w:cstheme="minorHAnsi"/>
        </w:rPr>
        <w:t xml:space="preserve"> Furman L, </w:t>
      </w:r>
      <w:proofErr w:type="spellStart"/>
      <w:r w:rsidRPr="00925FEC">
        <w:rPr>
          <w:rFonts w:cstheme="minorHAnsi"/>
        </w:rPr>
        <w:t>Feeney</w:t>
      </w:r>
      <w:proofErr w:type="spellEnd"/>
      <w:r w:rsidRPr="00925FEC">
        <w:rPr>
          <w:rFonts w:cstheme="minorHAnsi"/>
        </w:rPr>
        <w:t xml:space="preserve"> EV, </w:t>
      </w:r>
      <w:proofErr w:type="spellStart"/>
      <w:r w:rsidRPr="00925FEC">
        <w:rPr>
          <w:rFonts w:cstheme="minorHAnsi"/>
        </w:rPr>
        <w:t>Bizri</w:t>
      </w:r>
      <w:proofErr w:type="spellEnd"/>
      <w:r w:rsidRPr="00925FEC">
        <w:rPr>
          <w:rFonts w:cstheme="minorHAnsi"/>
        </w:rPr>
        <w:t xml:space="preserve"> N, et al.</w:t>
      </w:r>
      <w:r w:rsidRPr="00925FEC">
        <w:rPr>
          <w:rFonts w:cstheme="minorHAnsi"/>
          <w:i/>
          <w:iCs/>
        </w:rPr>
        <w:t xml:space="preserve"> J Trauma Acute Care </w:t>
      </w:r>
      <w:proofErr w:type="spellStart"/>
      <w:r w:rsidRPr="00925FEC">
        <w:rPr>
          <w:rFonts w:cstheme="minorHAnsi"/>
        </w:rPr>
        <w:t>Surg</w:t>
      </w:r>
      <w:proofErr w:type="spellEnd"/>
      <w:r w:rsidRPr="00925FEC">
        <w:rPr>
          <w:rFonts w:cstheme="minorHAnsi"/>
        </w:rPr>
        <w:t>. 2026; 101:39–47.</w:t>
      </w:r>
    </w:p>
    <w:p w14:paraId="5E16C18C" w14:textId="1A08F379" w:rsidR="006D36FB" w:rsidRPr="00925FEC" w:rsidRDefault="00925FEC" w:rsidP="00925FEC">
      <w:pPr>
        <w:pStyle w:val="Prrafodelista"/>
        <w:numPr>
          <w:ilvl w:val="0"/>
          <w:numId w:val="1"/>
        </w:numPr>
        <w:autoSpaceDE w:val="0"/>
        <w:autoSpaceDN w:val="0"/>
        <w:adjustRightInd w:val="0"/>
        <w:spacing w:before="100" w:beforeAutospacing="1" w:after="100" w:afterAutospacing="1"/>
        <w:rPr>
          <w:rFonts w:cstheme="minorHAnsi"/>
        </w:rPr>
      </w:pPr>
      <w:r w:rsidRPr="00925FEC">
        <w:rPr>
          <w:rFonts w:cstheme="minorHAnsi"/>
          <w:b/>
          <w:bCs/>
        </w:rPr>
        <w:t>La aplicación del torniquete por parte de los espectadores no mejora la agudeza.</w:t>
      </w:r>
      <w:r w:rsidRPr="00925FEC">
        <w:rPr>
          <w:rFonts w:cstheme="minorHAnsi"/>
        </w:rPr>
        <w:t xml:space="preserve"> </w:t>
      </w:r>
      <w:proofErr w:type="spellStart"/>
      <w:r w:rsidRPr="00925FEC">
        <w:rPr>
          <w:rFonts w:cstheme="minorHAnsi"/>
        </w:rPr>
        <w:t>Flyer</w:t>
      </w:r>
      <w:proofErr w:type="spellEnd"/>
      <w:r w:rsidRPr="00925FEC">
        <w:rPr>
          <w:rFonts w:cstheme="minorHAnsi"/>
        </w:rPr>
        <w:t xml:space="preserve"> Z, </w:t>
      </w:r>
      <w:proofErr w:type="spellStart"/>
      <w:r w:rsidRPr="00925FEC">
        <w:rPr>
          <w:rFonts w:cstheme="minorHAnsi"/>
        </w:rPr>
        <w:t>Giron</w:t>
      </w:r>
      <w:proofErr w:type="spellEnd"/>
      <w:r w:rsidRPr="00925FEC">
        <w:rPr>
          <w:rFonts w:cstheme="minorHAnsi"/>
        </w:rPr>
        <w:t xml:space="preserve"> A, </w:t>
      </w:r>
      <w:proofErr w:type="spellStart"/>
      <w:r w:rsidRPr="00925FEC">
        <w:rPr>
          <w:rFonts w:cstheme="minorHAnsi"/>
        </w:rPr>
        <w:t>Painter</w:t>
      </w:r>
      <w:proofErr w:type="spellEnd"/>
      <w:r w:rsidRPr="00925FEC">
        <w:rPr>
          <w:rFonts w:cstheme="minorHAnsi"/>
        </w:rPr>
        <w:t xml:space="preserve"> R, et al. </w:t>
      </w:r>
      <w:r w:rsidRPr="00925FEC">
        <w:rPr>
          <w:rFonts w:cstheme="minorHAnsi"/>
          <w:i/>
          <w:iCs/>
        </w:rPr>
        <w:t xml:space="preserve">J </w:t>
      </w:r>
      <w:proofErr w:type="spellStart"/>
      <w:r w:rsidRPr="00925FEC">
        <w:rPr>
          <w:rFonts w:cstheme="minorHAnsi"/>
          <w:i/>
          <w:iCs/>
        </w:rPr>
        <w:t>Emerg</w:t>
      </w:r>
      <w:proofErr w:type="spellEnd"/>
      <w:r w:rsidRPr="00925FEC">
        <w:rPr>
          <w:rFonts w:cstheme="minorHAnsi"/>
          <w:i/>
          <w:iCs/>
        </w:rPr>
        <w:t xml:space="preserve"> </w:t>
      </w:r>
      <w:proofErr w:type="spellStart"/>
      <w:r w:rsidRPr="00925FEC">
        <w:rPr>
          <w:rFonts w:cstheme="minorHAnsi"/>
        </w:rPr>
        <w:t>Med</w:t>
      </w:r>
      <w:proofErr w:type="spellEnd"/>
      <w:r w:rsidRPr="00925FEC">
        <w:rPr>
          <w:rFonts w:cstheme="minorHAnsi"/>
        </w:rPr>
        <w:t xml:space="preserve"> 2026; 88:144–151.</w:t>
      </w:r>
    </w:p>
    <w:p w14:paraId="7CE29FB7" w14:textId="77777777" w:rsidR="00925FEC" w:rsidRPr="00925FEC" w:rsidRDefault="00925FEC" w:rsidP="00925FEC">
      <w:pPr>
        <w:pStyle w:val="Prrafodelista"/>
        <w:autoSpaceDE w:val="0"/>
        <w:autoSpaceDN w:val="0"/>
        <w:adjustRightInd w:val="0"/>
        <w:spacing w:before="100" w:beforeAutospacing="1" w:after="100" w:afterAutospacing="1"/>
        <w:ind w:left="360" w:firstLine="0"/>
        <w:rPr>
          <w:rFonts w:cstheme="minorHAnsi"/>
        </w:rPr>
      </w:pPr>
    </w:p>
    <w:p w14:paraId="6377F348" w14:textId="77777777" w:rsidR="0043460D" w:rsidRPr="00925FEC" w:rsidRDefault="0043460D" w:rsidP="0043460D">
      <w:pPr>
        <w:pStyle w:val="Prrafodelista"/>
        <w:numPr>
          <w:ilvl w:val="0"/>
          <w:numId w:val="12"/>
        </w:numPr>
        <w:autoSpaceDE w:val="0"/>
        <w:autoSpaceDN w:val="0"/>
        <w:adjustRightInd w:val="0"/>
        <w:spacing w:before="100" w:beforeAutospacing="1" w:after="100" w:afterAutospacing="1"/>
        <w:rPr>
          <w:rFonts w:cstheme="minorHAnsi"/>
          <w:lang w:val="es-ES"/>
        </w:rPr>
      </w:pPr>
      <w:r w:rsidRPr="00925FEC">
        <w:rPr>
          <w:rFonts w:cstheme="minorHAnsi"/>
          <w:b/>
          <w:bCs/>
        </w:rPr>
        <w:t>Resultados avanzados vs. básicos de soporte vital en el tratamiento de paro cardíaco fuera del hospital: un estudio de cohorte basado en registros.</w:t>
      </w:r>
      <w:r w:rsidRPr="00925FEC">
        <w:rPr>
          <w:rFonts w:cstheme="minorHAnsi"/>
        </w:rPr>
        <w:t xml:space="preserve"> </w:t>
      </w:r>
      <w:proofErr w:type="spellStart"/>
      <w:r w:rsidRPr="00925FEC">
        <w:rPr>
          <w:rFonts w:cstheme="minorHAnsi"/>
        </w:rPr>
        <w:t>Silvagi</w:t>
      </w:r>
      <w:proofErr w:type="spellEnd"/>
      <w:r w:rsidRPr="00925FEC">
        <w:rPr>
          <w:rFonts w:cstheme="minorHAnsi"/>
        </w:rPr>
        <w:t xml:space="preserve"> R, </w:t>
      </w:r>
      <w:proofErr w:type="spellStart"/>
      <w:r w:rsidRPr="00925FEC">
        <w:rPr>
          <w:rFonts w:cstheme="minorHAnsi"/>
        </w:rPr>
        <w:t>Rodriguez-Fohn</w:t>
      </w:r>
      <w:proofErr w:type="spellEnd"/>
      <w:r w:rsidRPr="00925FEC">
        <w:rPr>
          <w:rFonts w:cstheme="minorHAnsi"/>
        </w:rPr>
        <w:t xml:space="preserve"> E, Reece RJ, et al. </w:t>
      </w:r>
      <w:proofErr w:type="spellStart"/>
      <w:r w:rsidRPr="00925FEC">
        <w:rPr>
          <w:rFonts w:cstheme="minorHAnsi"/>
          <w:i/>
          <w:iCs/>
        </w:rPr>
        <w:t>Amer</w:t>
      </w:r>
      <w:proofErr w:type="spellEnd"/>
      <w:r w:rsidRPr="00925FEC">
        <w:rPr>
          <w:rFonts w:cstheme="minorHAnsi"/>
          <w:i/>
          <w:iCs/>
        </w:rPr>
        <w:t xml:space="preserve"> J </w:t>
      </w:r>
      <w:proofErr w:type="spellStart"/>
      <w:r w:rsidRPr="00925FEC">
        <w:rPr>
          <w:rFonts w:cstheme="minorHAnsi"/>
          <w:i/>
          <w:iCs/>
        </w:rPr>
        <w:t>Emerg</w:t>
      </w:r>
      <w:proofErr w:type="spellEnd"/>
      <w:r w:rsidRPr="00925FEC">
        <w:rPr>
          <w:rFonts w:cstheme="minorHAnsi"/>
          <w:i/>
          <w:iCs/>
        </w:rPr>
        <w:t xml:space="preserve"> </w:t>
      </w:r>
      <w:proofErr w:type="spellStart"/>
      <w:r w:rsidRPr="00925FEC">
        <w:rPr>
          <w:rFonts w:cstheme="minorHAnsi"/>
          <w:i/>
          <w:iCs/>
        </w:rPr>
        <w:t>Med</w:t>
      </w:r>
      <w:proofErr w:type="spellEnd"/>
      <w:r w:rsidRPr="00925FEC">
        <w:rPr>
          <w:rFonts w:cstheme="minorHAnsi"/>
          <w:i/>
          <w:iCs/>
        </w:rPr>
        <w:t xml:space="preserve"> </w:t>
      </w:r>
      <w:r w:rsidRPr="00925FEC">
        <w:rPr>
          <w:rFonts w:cstheme="minorHAnsi"/>
        </w:rPr>
        <w:t>2026; 109:263-267.</w:t>
      </w:r>
    </w:p>
    <w:p w14:paraId="3D8CE902" w14:textId="77777777" w:rsidR="007D3AB0" w:rsidRPr="00212F3C" w:rsidRDefault="007D3AB0" w:rsidP="007D3AB0">
      <w:pPr>
        <w:pStyle w:val="Prrafodelista"/>
        <w:ind w:left="360" w:firstLine="0"/>
        <w:rPr>
          <w:rFonts w:cstheme="minorHAnsi"/>
          <w:lang w:val="es-ES"/>
        </w:rPr>
      </w:pPr>
    </w:p>
    <w:p w14:paraId="0093B21C" w14:textId="77777777" w:rsidR="0043460D" w:rsidRPr="00925FEC" w:rsidRDefault="0043460D" w:rsidP="0043460D">
      <w:pPr>
        <w:widowControl w:val="0"/>
        <w:autoSpaceDE w:val="0"/>
        <w:autoSpaceDN w:val="0"/>
        <w:adjustRightInd w:val="0"/>
        <w:rPr>
          <w:rFonts w:cstheme="minorHAnsi"/>
        </w:rPr>
      </w:pPr>
      <w:r w:rsidRPr="00925FEC">
        <w:rPr>
          <w:rFonts w:cstheme="minorHAnsi"/>
        </w:rPr>
        <w:t>Tras casi cincuenta años de ELA en el campo, la supervivencia de OHCA sigue siendo inferior al 10% en Estados Unidos. Existen muchas variables que pueden contribuir a una reanimación exitosa de OHCA. Estas variables incluyen el tiempo hasta la primera compresión torácica (vista o no presenciada), el ritmo de presentación del paciente (descargable o no descargable), el nivel de atención proporcionada en el campo (BLS: RCP manual, interpretación y desfibrilación automática del ritmo, vía aérea sin intubación endotraqueal y sin acceso vascular y medicamentos asociados. ELA: interpretación y desfibrilación manual del ritmo, intubación endotraqueal y acceso vascular con administración de medicamentos) y, por último, la atención del hospital receptor también contribuye al resultado final del paciente.</w:t>
      </w:r>
    </w:p>
    <w:p w14:paraId="3D24842F" w14:textId="77777777" w:rsidR="0043460D" w:rsidRPr="00925FEC" w:rsidRDefault="0043460D" w:rsidP="0043460D">
      <w:pPr>
        <w:widowControl w:val="0"/>
        <w:autoSpaceDE w:val="0"/>
        <w:autoSpaceDN w:val="0"/>
        <w:adjustRightInd w:val="0"/>
        <w:rPr>
          <w:rFonts w:cstheme="minorHAnsi"/>
        </w:rPr>
      </w:pPr>
      <w:r w:rsidRPr="00925FEC">
        <w:rPr>
          <w:rFonts w:cstheme="minorHAnsi"/>
        </w:rPr>
        <w:t>La pregunta sigue siendo: ¿mejora el nivel de atención avanzada de soporte vital prehospitalario en el retorno de la circulación espontánea (ROSC) de paro cardíaco hospitalario (OHCA) y, en última instancia, las tasas de supervivencia hasta el alta hospitalaria? Los autores de este artículo intentaron determinar hasta qué punto la atención EMS frente a BLS, junto con otras variables documentadas, resulta en ROSC y supervivencia hasta el alta hospitalaria neurológicamente intacta. Este estudio retrospectivo utilizó datos de la base de datos CARES (</w:t>
      </w:r>
      <w:proofErr w:type="spellStart"/>
      <w:r w:rsidRPr="00925FEC">
        <w:rPr>
          <w:rFonts w:cstheme="minorHAnsi"/>
        </w:rPr>
        <w:t>Cardiac</w:t>
      </w:r>
      <w:proofErr w:type="spellEnd"/>
      <w:r w:rsidRPr="00925FEC">
        <w:rPr>
          <w:rFonts w:cstheme="minorHAnsi"/>
        </w:rPr>
        <w:t xml:space="preserve"> </w:t>
      </w:r>
      <w:proofErr w:type="spellStart"/>
      <w:r w:rsidRPr="00925FEC">
        <w:rPr>
          <w:rFonts w:cstheme="minorHAnsi"/>
        </w:rPr>
        <w:t>Arrest</w:t>
      </w:r>
      <w:proofErr w:type="spellEnd"/>
      <w:r w:rsidRPr="00925FEC">
        <w:rPr>
          <w:rFonts w:cstheme="minorHAnsi"/>
        </w:rPr>
        <w:t xml:space="preserve"> </w:t>
      </w:r>
      <w:proofErr w:type="spellStart"/>
      <w:r w:rsidRPr="00925FEC">
        <w:rPr>
          <w:rFonts w:cstheme="minorHAnsi"/>
        </w:rPr>
        <w:t>Registry</w:t>
      </w:r>
      <w:proofErr w:type="spellEnd"/>
      <w:r w:rsidRPr="00925FEC">
        <w:rPr>
          <w:rFonts w:cstheme="minorHAnsi"/>
        </w:rPr>
        <w:t xml:space="preserve"> </w:t>
      </w:r>
      <w:proofErr w:type="spellStart"/>
      <w:r w:rsidRPr="00925FEC">
        <w:rPr>
          <w:rFonts w:cstheme="minorHAnsi"/>
        </w:rPr>
        <w:t>to</w:t>
      </w:r>
      <w:proofErr w:type="spellEnd"/>
      <w:r w:rsidRPr="00925FEC">
        <w:rPr>
          <w:rFonts w:cstheme="minorHAnsi"/>
        </w:rPr>
        <w:t xml:space="preserve"> </w:t>
      </w:r>
      <w:proofErr w:type="spellStart"/>
      <w:r w:rsidRPr="00925FEC">
        <w:rPr>
          <w:rFonts w:cstheme="minorHAnsi"/>
        </w:rPr>
        <w:t>Enhance</w:t>
      </w:r>
      <w:proofErr w:type="spellEnd"/>
      <w:r w:rsidRPr="00925FEC">
        <w:rPr>
          <w:rFonts w:cstheme="minorHAnsi"/>
        </w:rPr>
        <w:t xml:space="preserve"> </w:t>
      </w:r>
      <w:proofErr w:type="spellStart"/>
      <w:r w:rsidRPr="00925FEC">
        <w:rPr>
          <w:rFonts w:cstheme="minorHAnsi"/>
        </w:rPr>
        <w:t>Survival</w:t>
      </w:r>
      <w:proofErr w:type="spellEnd"/>
      <w:r w:rsidRPr="00925FEC">
        <w:rPr>
          <w:rFonts w:cstheme="minorHAnsi"/>
        </w:rPr>
        <w:t>). Todos los datos del estudio procedían del EMS de Detroit, Michigan, y se introdujeron en CARES entre enero de 2016 y diciembre de 2021. Durante este periodo, Detroit no utilizaba un sistema de determinación de llamada para el despacho. Las ambulancias, ya fueran ELA o BLS, se enviaban en función de su proximidad a una llamada. En este periodo, menos del 1% de los paros cardíacos por BLS recibieron ELA de nuevo.</w:t>
      </w:r>
    </w:p>
    <w:p w14:paraId="3CEFD8C4" w14:textId="77777777" w:rsidR="0043460D" w:rsidRPr="00925FEC" w:rsidRDefault="0043460D" w:rsidP="0043460D">
      <w:pPr>
        <w:widowControl w:val="0"/>
        <w:autoSpaceDE w:val="0"/>
        <w:autoSpaceDN w:val="0"/>
        <w:adjustRightInd w:val="0"/>
        <w:rPr>
          <w:rFonts w:cstheme="minorHAnsi"/>
        </w:rPr>
      </w:pPr>
      <w:r w:rsidRPr="00925FEC">
        <w:rPr>
          <w:rFonts w:cstheme="minorHAnsi"/>
        </w:rPr>
        <w:t xml:space="preserve">Además de la demografía estándar de los pacientes, los autores recopilaron datos sobre el ritmo de </w:t>
      </w:r>
      <w:r w:rsidRPr="00925FEC">
        <w:rPr>
          <w:rFonts w:cstheme="minorHAnsi"/>
        </w:rPr>
        <w:lastRenderedPageBreak/>
        <w:t xml:space="preserve">presentación del paciente y si ese ritmo inicial era descargable o no </w:t>
      </w:r>
      <w:proofErr w:type="spellStart"/>
      <w:r w:rsidRPr="00925FEC">
        <w:rPr>
          <w:rFonts w:cstheme="minorHAnsi"/>
        </w:rPr>
        <w:t>electrocutable</w:t>
      </w:r>
      <w:proofErr w:type="spellEnd"/>
      <w:r w:rsidRPr="00925FEC">
        <w:rPr>
          <w:rFonts w:cstheme="minorHAnsi"/>
        </w:rPr>
        <w:t xml:space="preserve">. La edad media de todos los pacientes era de 62,6 años. La gran mayoría de los pacientes eran negros (84,6%) y había más hombres que mujeres (56,3% hombres). Los ritmos con choque representaron el 4,9% (330) de los pacientes tratados con ELA frente al 6,9% (466) de los tratados con BLS. Los ritmos no </w:t>
      </w:r>
      <w:proofErr w:type="spellStart"/>
      <w:r w:rsidRPr="00925FEC">
        <w:rPr>
          <w:rFonts w:cstheme="minorHAnsi"/>
        </w:rPr>
        <w:t>electrocutables</w:t>
      </w:r>
      <w:proofErr w:type="spellEnd"/>
      <w:r w:rsidRPr="00925FEC">
        <w:rPr>
          <w:rFonts w:cstheme="minorHAnsi"/>
        </w:rPr>
        <w:t xml:space="preserve"> de ELA se asociaron con el 41,4% (2.793) de los pacientes y el 46,8% restante (3.157) cohorte de pacientes tenían ritmos no </w:t>
      </w:r>
      <w:proofErr w:type="spellStart"/>
      <w:r w:rsidRPr="00925FEC">
        <w:rPr>
          <w:rFonts w:cstheme="minorHAnsi"/>
        </w:rPr>
        <w:t>electrocutables</w:t>
      </w:r>
      <w:proofErr w:type="spellEnd"/>
      <w:r w:rsidRPr="00925FEC">
        <w:rPr>
          <w:rFonts w:cstheme="minorHAnsi"/>
        </w:rPr>
        <w:t xml:space="preserve"> con BLS.</w:t>
      </w:r>
    </w:p>
    <w:p w14:paraId="585BA667" w14:textId="77777777" w:rsidR="0043460D" w:rsidRPr="00925FEC" w:rsidRDefault="0043460D" w:rsidP="0043460D">
      <w:pPr>
        <w:widowControl w:val="0"/>
        <w:autoSpaceDE w:val="0"/>
        <w:autoSpaceDN w:val="0"/>
        <w:adjustRightInd w:val="0"/>
        <w:rPr>
          <w:rFonts w:cstheme="minorHAnsi"/>
        </w:rPr>
      </w:pPr>
      <w:r w:rsidRPr="00925FEC">
        <w:rPr>
          <w:rFonts w:cstheme="minorHAnsi"/>
        </w:rPr>
        <w:t xml:space="preserve">La ROSC sostenida se produjo en el 37,9% de los pacientes con ELA con choque y en el 19,5% de los pacientes con ELA con ELA con descarga. En los pacientes con ritmos no </w:t>
      </w:r>
      <w:proofErr w:type="spellStart"/>
      <w:r w:rsidRPr="00925FEC">
        <w:rPr>
          <w:rFonts w:cstheme="minorHAnsi"/>
        </w:rPr>
        <w:t>choquables</w:t>
      </w:r>
      <w:proofErr w:type="spellEnd"/>
      <w:r w:rsidRPr="00925FEC">
        <w:rPr>
          <w:rFonts w:cstheme="minorHAnsi"/>
        </w:rPr>
        <w:t xml:space="preserve">, el 18,6% de los pacientes con ELA frente al 9,3% de los pacientes con BLS lograron una ROSC sostenida. Las tasas de alta hospitalaria fueron 17,9% ELA </w:t>
      </w:r>
      <w:proofErr w:type="spellStart"/>
      <w:r w:rsidRPr="00925FEC">
        <w:rPr>
          <w:rFonts w:cstheme="minorHAnsi"/>
        </w:rPr>
        <w:t>chocable</w:t>
      </w:r>
      <w:proofErr w:type="spellEnd"/>
      <w:r w:rsidRPr="00925FEC">
        <w:rPr>
          <w:rFonts w:cstheme="minorHAnsi"/>
        </w:rPr>
        <w:t xml:space="preserve"> y 11,8% ELA </w:t>
      </w:r>
      <w:proofErr w:type="spellStart"/>
      <w:r w:rsidRPr="00925FEC">
        <w:rPr>
          <w:rFonts w:cstheme="minorHAnsi"/>
        </w:rPr>
        <w:t>chocable</w:t>
      </w:r>
      <w:proofErr w:type="spellEnd"/>
      <w:r w:rsidRPr="00925FEC">
        <w:rPr>
          <w:rFonts w:cstheme="minorHAnsi"/>
        </w:rPr>
        <w:t xml:space="preserve">. Para los ritmos no </w:t>
      </w:r>
      <w:proofErr w:type="spellStart"/>
      <w:r w:rsidRPr="00925FEC">
        <w:rPr>
          <w:rFonts w:cstheme="minorHAnsi"/>
        </w:rPr>
        <w:t>choquables</w:t>
      </w:r>
      <w:proofErr w:type="spellEnd"/>
      <w:r w:rsidRPr="00925FEC">
        <w:rPr>
          <w:rFonts w:cstheme="minorHAnsi"/>
        </w:rPr>
        <w:t xml:space="preserve">, el 4,0% de los pacientes con BLS sobrevivieron hasta el alta frente al 3,7% de los pacientes con ELA. La cohorte de pacientes dados de alta del hospital neurológicamente intactos incluyó el 13,3% del grupo con ELA con choque y el 6,9% de los pacientes con ELA con shock. El alta neurológicamente intacta para los pacientes no </w:t>
      </w:r>
      <w:proofErr w:type="spellStart"/>
      <w:r w:rsidRPr="00925FEC">
        <w:rPr>
          <w:rFonts w:cstheme="minorHAnsi"/>
        </w:rPr>
        <w:t>chocables</w:t>
      </w:r>
      <w:proofErr w:type="spellEnd"/>
      <w:r w:rsidRPr="00925FEC">
        <w:rPr>
          <w:rFonts w:cstheme="minorHAnsi"/>
        </w:rPr>
        <w:t xml:space="preserve"> fue del 1,6% para BLS y del 1,4% para la ELA. El resultado neurológico favorable disminuyó un 5% por cada aumento de 1 minuto en el tiempo de respuesta. Finalmente, en comparación con los datos de CARES en 2021, los datos de la OHCA de EMS de Detroit frente a las medias nacionales fueron ROSC 15,2% frente al 27,1%, alta simple del hospital 5,1% frente al 9,1% y alta hospitalaria neurológicamente intacta del 2,5% frente al 7,2%.  </w:t>
      </w:r>
    </w:p>
    <w:p w14:paraId="4F0B9708" w14:textId="77777777" w:rsidR="0043460D" w:rsidRPr="00925FEC" w:rsidRDefault="0043460D" w:rsidP="0043460D">
      <w:pPr>
        <w:widowControl w:val="0"/>
        <w:autoSpaceDE w:val="0"/>
        <w:autoSpaceDN w:val="0"/>
        <w:adjustRightInd w:val="0"/>
        <w:rPr>
          <w:rFonts w:cstheme="minorHAnsi"/>
        </w:rPr>
      </w:pPr>
      <w:r w:rsidRPr="00925FEC">
        <w:rPr>
          <w:rFonts w:cstheme="minorHAnsi"/>
        </w:rPr>
        <w:t>Los autores concluyeron que la atención de la ELA se asoció con una mejora de la ROSC en todos los ritmos iniciales de paro cardíaco, una mayor tasa de alta hospitalaria y alta hospitalaria con buena función neurológica tras OHCA con ritmos iniciales de choque frente al cuidado de BLS.</w:t>
      </w:r>
    </w:p>
    <w:p w14:paraId="0AADF10A" w14:textId="77777777" w:rsidR="0043460D" w:rsidRPr="00925FEC" w:rsidRDefault="0043460D" w:rsidP="0043460D">
      <w:pPr>
        <w:widowControl w:val="0"/>
        <w:autoSpaceDE w:val="0"/>
        <w:autoSpaceDN w:val="0"/>
        <w:adjustRightInd w:val="0"/>
        <w:rPr>
          <w:rFonts w:cstheme="minorHAnsi"/>
        </w:rPr>
      </w:pPr>
      <w:r w:rsidRPr="00925FEC">
        <w:rPr>
          <w:rFonts w:cstheme="minorHAnsi"/>
        </w:rPr>
        <w:t xml:space="preserve">Los autores reconocen múltiples limitaciones de su trabajo, siendo la primera el conjunto de datos retrospectivo y de una sola agencia de su trabajo. Junto con las variables mencionadas anteriormente, hay muchos más factores que contribuyen a la reanimación cardíaca no abordados en este trabajo; el uso ciudadano de RCP y DEA, la calidad y consistencia de las compresiones torácicas, la duración de la reanimación fuera y dentro del hospital, por nombrar algunos. No se tuvieron en cuenta intervenciones únicas de BLS y ELA ni si influyeron en los resultados para los pacientes y en la ROSC.  </w:t>
      </w:r>
    </w:p>
    <w:p w14:paraId="4E04CC06" w14:textId="77777777" w:rsidR="0043460D" w:rsidRPr="00925FEC" w:rsidRDefault="0043460D" w:rsidP="0043460D">
      <w:pPr>
        <w:widowControl w:val="0"/>
        <w:autoSpaceDE w:val="0"/>
        <w:autoSpaceDN w:val="0"/>
        <w:adjustRightInd w:val="0"/>
        <w:rPr>
          <w:rFonts w:cstheme="minorHAnsi"/>
        </w:rPr>
      </w:pPr>
      <w:r w:rsidRPr="00925FEC">
        <w:rPr>
          <w:rFonts w:cstheme="minorHAnsi"/>
        </w:rPr>
        <w:t>La atención OHCA comienza en el momento en que se responde la llamada en el despacho. Los principios de la asignación médica de emergencia y la priorización de las llamadas representan el primer contacto con el paciente de un sistema EMS. Independientemente de la configuración de ELA frente a BLS de las tripulaciones EMS, los proveedores prehospitalarios deben hacer todo lo posible para optimizar la atención a los pacientes que padecen OHCA. Esto incluye centrarse en el reconocimiento temprano y la desfibrilación de ritmos que pueden ser descargados, manteniendo al mismo tiempo compresiones torácicas de calidad y constantes. Las intervenciones significativas de ELA deben realizarse en conjunto con buenos procedimientos de BLS y no retrasar ni interrumpir los ciclos de compresión torácica durante el tratamiento prehospitalario de paro cardíaco fuera del hospital.</w:t>
      </w:r>
    </w:p>
    <w:p w14:paraId="145C61D5" w14:textId="77777777" w:rsidR="0043460D" w:rsidRPr="00212F3C" w:rsidRDefault="0043460D" w:rsidP="0043460D">
      <w:pPr>
        <w:pStyle w:val="Prrafodelista"/>
        <w:numPr>
          <w:ilvl w:val="0"/>
          <w:numId w:val="12"/>
        </w:numPr>
        <w:autoSpaceDE w:val="0"/>
        <w:autoSpaceDN w:val="0"/>
        <w:adjustRightInd w:val="0"/>
        <w:spacing w:before="100" w:beforeAutospacing="1" w:after="100" w:afterAutospacing="1"/>
        <w:rPr>
          <w:rFonts w:ascii="Calibri" w:hAnsi="Calibri" w:cs="Calibri"/>
        </w:rPr>
      </w:pPr>
      <w:r w:rsidRPr="0043460D">
        <w:rPr>
          <w:rFonts w:ascii="Calibri" w:hAnsi="Calibri" w:cs="Calibri"/>
          <w:b/>
          <w:bCs/>
        </w:rPr>
        <w:t>Eficacia y seguridad de la reanimación prehospitalaria con sangre entera en shock hemorrágico traumático: una revisión sistemática y metaanálisis.</w:t>
      </w:r>
      <w:r w:rsidRPr="0043460D">
        <w:rPr>
          <w:rFonts w:ascii="Calibri" w:hAnsi="Calibri" w:cs="Calibri"/>
        </w:rPr>
        <w:t xml:space="preserve"> </w:t>
      </w:r>
      <w:proofErr w:type="spellStart"/>
      <w:r w:rsidRPr="0043460D">
        <w:rPr>
          <w:rFonts w:ascii="Calibri" w:hAnsi="Calibri" w:cs="Calibri"/>
        </w:rPr>
        <w:t>Khana</w:t>
      </w:r>
      <w:proofErr w:type="spellEnd"/>
      <w:r w:rsidRPr="0043460D">
        <w:rPr>
          <w:rFonts w:ascii="Calibri" w:hAnsi="Calibri" w:cs="Calibri"/>
        </w:rPr>
        <w:t xml:space="preserve"> YY, </w:t>
      </w:r>
      <w:proofErr w:type="spellStart"/>
      <w:r w:rsidRPr="0043460D">
        <w:rPr>
          <w:rFonts w:ascii="Calibri" w:hAnsi="Calibri" w:cs="Calibri"/>
        </w:rPr>
        <w:t>Alzahrani</w:t>
      </w:r>
      <w:proofErr w:type="spellEnd"/>
      <w:r w:rsidRPr="0043460D">
        <w:rPr>
          <w:rFonts w:ascii="Calibri" w:hAnsi="Calibri" w:cs="Calibri"/>
        </w:rPr>
        <w:t xml:space="preserve"> AA, </w:t>
      </w:r>
      <w:proofErr w:type="spellStart"/>
      <w:r w:rsidRPr="0043460D">
        <w:rPr>
          <w:rFonts w:ascii="Calibri" w:hAnsi="Calibri" w:cs="Calibri"/>
        </w:rPr>
        <w:t>Alghamdi</w:t>
      </w:r>
      <w:proofErr w:type="spellEnd"/>
      <w:r w:rsidRPr="0043460D">
        <w:rPr>
          <w:rFonts w:ascii="Calibri" w:hAnsi="Calibri" w:cs="Calibri"/>
        </w:rPr>
        <w:t xml:space="preserve"> RS, et al </w:t>
      </w:r>
      <w:proofErr w:type="spellStart"/>
      <w:r w:rsidRPr="0043460D">
        <w:rPr>
          <w:rFonts w:ascii="Calibri" w:hAnsi="Calibri" w:cs="Calibri"/>
          <w:i/>
          <w:iCs/>
        </w:rPr>
        <w:t>Amer</w:t>
      </w:r>
      <w:proofErr w:type="spellEnd"/>
      <w:r w:rsidRPr="0043460D">
        <w:rPr>
          <w:rFonts w:ascii="Calibri" w:hAnsi="Calibri" w:cs="Calibri"/>
          <w:i/>
          <w:iCs/>
        </w:rPr>
        <w:t xml:space="preserve"> J </w:t>
      </w:r>
      <w:proofErr w:type="spellStart"/>
      <w:r w:rsidRPr="0043460D">
        <w:rPr>
          <w:rFonts w:ascii="Calibri" w:hAnsi="Calibri" w:cs="Calibri"/>
          <w:i/>
          <w:iCs/>
        </w:rPr>
        <w:t>Emerg</w:t>
      </w:r>
      <w:proofErr w:type="spellEnd"/>
      <w:r w:rsidRPr="0043460D">
        <w:rPr>
          <w:rFonts w:ascii="Calibri" w:hAnsi="Calibri" w:cs="Calibri"/>
        </w:rPr>
        <w:t xml:space="preserve"> </w:t>
      </w:r>
      <w:proofErr w:type="spellStart"/>
      <w:r w:rsidRPr="0043460D">
        <w:rPr>
          <w:rFonts w:ascii="Calibri" w:hAnsi="Calibri" w:cs="Calibri"/>
        </w:rPr>
        <w:t>Med</w:t>
      </w:r>
      <w:proofErr w:type="spellEnd"/>
      <w:r w:rsidRPr="0043460D">
        <w:rPr>
          <w:rFonts w:ascii="Calibri" w:hAnsi="Calibri" w:cs="Calibri"/>
        </w:rPr>
        <w:t xml:space="preserve"> 2026; 109:229-237</w:t>
      </w:r>
    </w:p>
    <w:p w14:paraId="5457B17D" w14:textId="77777777" w:rsidR="000403B1" w:rsidRPr="009B3196" w:rsidRDefault="000403B1" w:rsidP="000403B1">
      <w:pPr>
        <w:pStyle w:val="Prrafodelista"/>
        <w:ind w:left="360" w:firstLine="0"/>
        <w:rPr>
          <w:rFonts w:cstheme="minorHAnsi"/>
          <w:b/>
        </w:rPr>
      </w:pPr>
    </w:p>
    <w:p w14:paraId="111BD602" w14:textId="77777777" w:rsidR="00925FEC" w:rsidRPr="00D17C8A" w:rsidRDefault="00925FEC" w:rsidP="00925FEC">
      <w:pPr>
        <w:rPr>
          <w:rFonts w:ascii="Calibri" w:hAnsi="Calibri" w:cs="Calibri"/>
        </w:rPr>
      </w:pPr>
      <w:r w:rsidRPr="00D17C8A">
        <w:rPr>
          <w:rFonts w:ascii="Calibri" w:hAnsi="Calibri" w:cs="Calibri"/>
        </w:rPr>
        <w:t>La hemorragia es la principal causa de muerte traumática prevenible. Se estima que entre el 30 y el 56 % de estas muertes ocurren durante la fase prehospitalaria o hospitalaria aguda debido a hemorragias incontroladas, coagulopatía o reanimación incompleta.</w:t>
      </w:r>
    </w:p>
    <w:p w14:paraId="012853C4" w14:textId="687771AC" w:rsidR="00925FEC" w:rsidRPr="00D17C8A" w:rsidRDefault="00925FEC" w:rsidP="00925FEC">
      <w:pPr>
        <w:rPr>
          <w:rFonts w:ascii="Calibri" w:hAnsi="Calibri" w:cs="Calibri"/>
        </w:rPr>
      </w:pPr>
      <w:r>
        <w:rPr>
          <w:rFonts w:ascii="Calibri" w:hAnsi="Calibri" w:cs="Calibri"/>
        </w:rPr>
        <w:t xml:space="preserve">Gran parte de la experiencia militar temprana con sangre total utilizaba sangre entera específica de tipo ABO, distinta de la sangre de bajo título O almacenada en frío. La sangre entera tipo O ha "resurgido como un atractivo producto prehospitalario, entregando glóbulos rojos, plasma y plaquetas en una única unidad cruzada". Sin embargo, estas ventajas se ven compensadas por el coste, la oferta limitada e </w:t>
      </w:r>
      <w:r>
        <w:rPr>
          <w:rFonts w:ascii="Calibri" w:hAnsi="Calibri" w:cs="Calibri"/>
        </w:rPr>
        <w:lastRenderedPageBreak/>
        <w:t xml:space="preserve">inconsistente de donantes, y la logística de cadena de frío y de cribado de títulos necesaria para limitar el desperdicio y garantizar la seguridad." </w:t>
      </w:r>
    </w:p>
    <w:p w14:paraId="54A3C785" w14:textId="4950C2FA" w:rsidR="00925FEC" w:rsidRPr="00D17C8A" w:rsidRDefault="00925FEC" w:rsidP="00925FEC">
      <w:pPr>
        <w:rPr>
          <w:rFonts w:ascii="Calibri" w:hAnsi="Calibri" w:cs="Calibri"/>
        </w:rPr>
      </w:pPr>
      <w:r w:rsidRPr="00D17C8A">
        <w:rPr>
          <w:rFonts w:ascii="Calibri" w:hAnsi="Calibri" w:cs="Calibri"/>
        </w:rPr>
        <w:t>El objetivo de este estudio fue determinar la eficacia y seguridad de la transfusión de sangre prehospitalaria en comparación con la terapia estándar de componentes sanguíneos en pacientes con shock hemorrágico traumático y si la inversión se traduce en una ventaja de supervivencia. Para lograrlo, realizaron una revisión y un metaanálisis de los estudios publicados. Se identificaron e incluyeron tres ensayos controlados aleatorizados (ECA) con pacientes en EE. UU. y Reino Unido. Su población de estudio era paciente civil adulto de 16 años o más, con shock hemorrágico traumático que requería sangre prehospitalaria. También buscaron en bases de datos historiales de pacientes que cumplieran con sus criterios de búsqueda. Los pacientes con shock hemorrágico no traumático fueron excluidos de su estudio. También excluyeron al personal militar herido en entornos de combate. Su enfoque fue la administración prehospitalaria de sangre total administrada por equipos de transporte terrestre o aéreo y continuaron en el hospital.</w:t>
      </w:r>
    </w:p>
    <w:p w14:paraId="2B5FEDFA" w14:textId="77777777" w:rsidR="00925FEC" w:rsidRPr="00D17C8A" w:rsidRDefault="00925FEC" w:rsidP="00925FEC">
      <w:pPr>
        <w:rPr>
          <w:rFonts w:ascii="Calibri" w:hAnsi="Calibri" w:cs="Calibri"/>
        </w:rPr>
      </w:pPr>
      <w:r w:rsidRPr="00D17C8A">
        <w:rPr>
          <w:rFonts w:ascii="Calibri" w:hAnsi="Calibri" w:cs="Calibri"/>
        </w:rPr>
        <w:t>La medida de resultado principal fue mortalidad por todas las causas a las 24 horas después de la aleatorización. Eligieron este periodo porque los tres estudios informaron resultados en este periodo y este periodo se encuentra dentro del periodo de gran riesgo de muerte para los pacientes y mayor beneficio potencial de la administración de sangre prehospitalaria. Los resultados secundarios fueron mortalidad por cualquier causa a largo plazo (28-30 días), administración total de productos sanguíneos en 24 horas, incidencia de transfusión masiva y complicaciones tromboembólicas.</w:t>
      </w:r>
    </w:p>
    <w:p w14:paraId="24588F72" w14:textId="1930E6CF" w:rsidR="00925FEC" w:rsidRPr="00D17C8A" w:rsidRDefault="00925FEC" w:rsidP="00925FEC">
      <w:pPr>
        <w:rPr>
          <w:rFonts w:ascii="Calibri" w:hAnsi="Calibri" w:cs="Calibri"/>
        </w:rPr>
      </w:pPr>
      <w:r>
        <w:rPr>
          <w:rFonts w:ascii="Calibri" w:hAnsi="Calibri" w:cs="Calibri"/>
        </w:rPr>
        <w:t xml:space="preserve">Tras la revisión de los tres ECA, 2.048 pacientes aleatorizados cumplieron sus criterios de búsqueda, 1.681 contribuyeron al análisis primario de mortalidad a 24 horas y 1.658 al análisis de mortalidad a 28–30 días. No hubo diferencias significativas en la mortalidad por todas las causas de 24 horas ni en la mortalidad de 28–30 días entre los pacientes de sangre total y componentes sanguíneos. Tampoco hubo diferencias significativas en la necesidad de transfusión masiva en las 24 horas ni en complicaciones tromboembólicas. </w:t>
      </w:r>
    </w:p>
    <w:p w14:paraId="7CFCC94C" w14:textId="775FC330" w:rsidR="00925FEC" w:rsidRDefault="00925FEC" w:rsidP="00925FEC">
      <w:pPr>
        <w:rPr>
          <w:rFonts w:ascii="Calibri" w:hAnsi="Calibri" w:cs="Calibri"/>
        </w:rPr>
      </w:pPr>
      <w:r>
        <w:rPr>
          <w:rFonts w:ascii="Calibri" w:hAnsi="Calibri" w:cs="Calibri"/>
        </w:rPr>
        <w:t xml:space="preserve">Este estudio es limitado porque seleccionaron únicamente estudios publicados en inglés, lo que resultó en que solo se analizaran tres artículos. Como resultado, los tres estudios fueron de tamaño y calidad limitados. </w:t>
      </w:r>
    </w:p>
    <w:p w14:paraId="4C8A3A72" w14:textId="77777777" w:rsidR="00925FEC" w:rsidRPr="00D17C8A" w:rsidRDefault="00925FEC" w:rsidP="00925FEC">
      <w:pPr>
        <w:rPr>
          <w:rFonts w:ascii="Calibri" w:hAnsi="Calibri" w:cs="Calibri"/>
        </w:rPr>
      </w:pPr>
      <w:r w:rsidRPr="00D17C8A">
        <w:rPr>
          <w:rFonts w:ascii="Calibri" w:hAnsi="Calibri" w:cs="Calibri"/>
        </w:rPr>
        <w:t>Los autores concluyeron que "entre adultos con shock hemorrágico traumático, la evidencia aleatorizada agrupada no mostró un beneficio significativo en la mortalidad de la sangre entera prehospitalaria frente a la terapia estándar con componentes sanguíneos." Además, afirmaron que, dado que gran parte de la evidencia observacional comparaba sangre total con cristaloides o sin transfusiones en lugar de terapia con componentes sanguíneos, sus resultados servían para refinar esos resultados en lugar de revertirlos.</w:t>
      </w:r>
    </w:p>
    <w:p w14:paraId="07DAAFA1" w14:textId="77777777" w:rsidR="00925FEC" w:rsidRPr="006D36FB" w:rsidRDefault="00925FEC" w:rsidP="00925FEC">
      <w:pPr>
        <w:pStyle w:val="Prrafodelista"/>
        <w:numPr>
          <w:ilvl w:val="0"/>
          <w:numId w:val="14"/>
        </w:numPr>
        <w:autoSpaceDE w:val="0"/>
        <w:autoSpaceDN w:val="0"/>
        <w:adjustRightInd w:val="0"/>
        <w:spacing w:before="100" w:beforeAutospacing="1" w:after="100" w:afterAutospacing="1"/>
        <w:rPr>
          <w:rFonts w:ascii="Calibri" w:hAnsi="Calibri" w:cs="Calibri"/>
        </w:rPr>
      </w:pPr>
      <w:r w:rsidRPr="00925FEC">
        <w:rPr>
          <w:rFonts w:ascii="Calibri" w:hAnsi="Calibri" w:cs="Calibri"/>
          <w:b/>
          <w:bCs/>
        </w:rPr>
        <w:t>Aumento de la administración de productos sanguíneos prehospitalarios a totales asociada con mejores resultados hospitalarios: un análisis secundario de ensayos de choque hemorrágico.</w:t>
      </w:r>
      <w:r w:rsidRPr="00925FEC">
        <w:rPr>
          <w:rFonts w:ascii="Calibri" w:hAnsi="Calibri" w:cs="Calibri"/>
        </w:rPr>
        <w:t xml:space="preserve"> Furman L, </w:t>
      </w:r>
      <w:proofErr w:type="spellStart"/>
      <w:r w:rsidRPr="00925FEC">
        <w:rPr>
          <w:rFonts w:ascii="Calibri" w:hAnsi="Calibri" w:cs="Calibri"/>
        </w:rPr>
        <w:t>Feeney</w:t>
      </w:r>
      <w:proofErr w:type="spellEnd"/>
      <w:r w:rsidRPr="00925FEC">
        <w:rPr>
          <w:rFonts w:ascii="Calibri" w:hAnsi="Calibri" w:cs="Calibri"/>
        </w:rPr>
        <w:t xml:space="preserve"> EV, </w:t>
      </w:r>
      <w:proofErr w:type="spellStart"/>
      <w:r w:rsidRPr="00925FEC">
        <w:rPr>
          <w:rFonts w:ascii="Calibri" w:hAnsi="Calibri" w:cs="Calibri"/>
        </w:rPr>
        <w:t>Bizri</w:t>
      </w:r>
      <w:proofErr w:type="spellEnd"/>
      <w:r w:rsidRPr="00925FEC">
        <w:rPr>
          <w:rFonts w:ascii="Calibri" w:hAnsi="Calibri" w:cs="Calibri"/>
        </w:rPr>
        <w:t xml:space="preserve"> N, et al.</w:t>
      </w:r>
      <w:r w:rsidRPr="00925FEC">
        <w:rPr>
          <w:rFonts w:ascii="Calibri" w:hAnsi="Calibri" w:cs="Calibri"/>
          <w:i/>
          <w:iCs/>
        </w:rPr>
        <w:t xml:space="preserve"> J Trauma Acute Care </w:t>
      </w:r>
      <w:proofErr w:type="spellStart"/>
      <w:r w:rsidRPr="00925FEC">
        <w:rPr>
          <w:rFonts w:ascii="Calibri" w:hAnsi="Calibri" w:cs="Calibri"/>
        </w:rPr>
        <w:t>Surg</w:t>
      </w:r>
      <w:proofErr w:type="spellEnd"/>
      <w:r w:rsidRPr="00925FEC">
        <w:rPr>
          <w:rFonts w:ascii="Calibri" w:hAnsi="Calibri" w:cs="Calibri"/>
        </w:rPr>
        <w:t>. 2026; 101:39–47.</w:t>
      </w:r>
    </w:p>
    <w:p w14:paraId="65EA8B40" w14:textId="32A1EF15" w:rsidR="00CE5A35" w:rsidRPr="00030CC4" w:rsidRDefault="00CE5A35" w:rsidP="00030CC4">
      <w:pPr>
        <w:pStyle w:val="Prrafodelista"/>
        <w:ind w:left="360" w:firstLine="0"/>
        <w:rPr>
          <w:rFonts w:eastAsia="Times New Roman" w:cstheme="minorHAnsi"/>
          <w:b/>
          <w:bCs/>
        </w:rPr>
      </w:pPr>
    </w:p>
    <w:p w14:paraId="2F734326" w14:textId="77777777" w:rsidR="00925FEC" w:rsidRPr="00F0556E" w:rsidRDefault="00925FEC" w:rsidP="00925FEC">
      <w:pPr>
        <w:rPr>
          <w:rFonts w:ascii="Calibri" w:hAnsi="Calibri" w:cs="Calibri"/>
        </w:rPr>
      </w:pPr>
      <w:r w:rsidRPr="00F0556E">
        <w:rPr>
          <w:rFonts w:ascii="Calibri" w:hAnsi="Calibri" w:cs="Calibri"/>
        </w:rPr>
        <w:t>La administración temprana de productos sanguíneos es un componente importante de la reanimación en pacientes con hemorragia traumática grave. Este estudio examinó si recibir una mayor proporción de productos sanguíneos durante la fase prehospitalaria se asociaba con mejores resultados tras el ingreso hospitalario. Los autores plantearon la hipótesis de que la administración de glóbulos rojos (glóbulos rojos) o sangre entera más cerca del momento de la lesión mejoraría la supervivencia y otros resultados clínicos. El estudio utilizó una base de datos armonizada de seis ensayos previos de choque hemorrágico realizados entre 2012 y 2023. Los investigadores se centraron en la proporción de administración de glóbulos rojos prehospitalarios o sangre total respecto a la cantidad total de glóbulos rojos y sangre total recibida durante las primeras 24 horas.</w:t>
      </w:r>
    </w:p>
    <w:p w14:paraId="73E3C8CA" w14:textId="77777777" w:rsidR="00925FEC" w:rsidRPr="00F0556E" w:rsidRDefault="00925FEC" w:rsidP="00925FEC">
      <w:pPr>
        <w:rPr>
          <w:rFonts w:ascii="Calibri" w:hAnsi="Calibri" w:cs="Calibri"/>
        </w:rPr>
      </w:pPr>
      <w:r w:rsidRPr="00F0556E">
        <w:rPr>
          <w:rFonts w:ascii="Calibri" w:hAnsi="Calibri" w:cs="Calibri"/>
        </w:rPr>
        <w:lastRenderedPageBreak/>
        <w:t>El resultado principal fue mortalidad a las 24 horas, mientras que los resultados secundarios incluyeron mortalidad a 28 días, días sin UCI, días sin ventilador y lesión pulmonar aguda (ALI). Los investigadores utilizaron modelos estadísticos multivariables que ajustaron factores importantes como edad, sexo, mecanismo de lesión, Puntuación de Gravedad de la Lesión, transferencia entre instalaciones, modo de transporte, presión arterial sistólica de llegada, escala de coma de Glasgow, grupo de tratamiento, ensayo y volumen total de transfusión. También realizaron varios análisis de sensibilidad, incluyendo análisis limitados a pacientes que recibieron sangre prehospitalaria, pacientes transportados directamente desde la escena y pacientes sin lesión cerebral traumática grave.</w:t>
      </w:r>
    </w:p>
    <w:p w14:paraId="049AF23C" w14:textId="77777777" w:rsidR="00925FEC" w:rsidRPr="00F0556E" w:rsidRDefault="00925FEC" w:rsidP="00925FEC">
      <w:pPr>
        <w:rPr>
          <w:rFonts w:ascii="Calibri" w:hAnsi="Calibri" w:cs="Calibri"/>
        </w:rPr>
      </w:pPr>
      <w:r w:rsidRPr="00F0556E">
        <w:rPr>
          <w:rFonts w:ascii="Calibri" w:hAnsi="Calibri" w:cs="Calibri"/>
        </w:rPr>
        <w:t>Este análisis secundario retrospectivo incluyó a 2.340 pacientes, tras excluir a los pacientes que fallecieron en menos de 4 horas y a aquellos que no recibieron productos sanguíneos. De estos pacientes, 1.024 (43,8%) recibieron al menos una unidad de glóbulos rojos o sangre entera antes de la llegada al hospital. El estudio encontró que aumentar la proporción de productos sanguíneos administrados antes de la llegada al hospital se asoció con una menor incidencia de lesión pulmonar aguda. Por cada aumento del 10% en la proporción prehospitalaria respecto al total de la sanguínea, la probabilidad de IA disminuyó un 8,8%. Sin embargo, no hubo asociación significativa entre la proporción prehospitalaria y la mortalidad a 24 horas o 28 días en el análisis primario. Tampoco hubo asociación significativa con días sin ventilación ni días sin UCI en el análisis principal. En el análisis categórico, los pacientes que recibieron proporciones moderadas o altas de sus productos sanguíneos en el entorno prehospitalario tenían menores probabilidades de ALI, y el grupo de proporción moderada tuvo más días libres de UCI. Entre los pacientes que recibieron sangre prehospitalaria, cada aumento del 10% en la proporción prehospitalaria respecto al total se asoció con una disminución del 16,7% en las probabilidades de ALI y un aumento medio de 0,21 días sin UCI.</w:t>
      </w:r>
    </w:p>
    <w:p w14:paraId="474B9D38" w14:textId="77777777" w:rsidR="00925FEC" w:rsidRPr="00F0556E" w:rsidRDefault="00925FEC" w:rsidP="00925FEC">
      <w:pPr>
        <w:rPr>
          <w:rFonts w:ascii="Calibri" w:hAnsi="Calibri" w:cs="Calibri"/>
        </w:rPr>
      </w:pPr>
      <w:r w:rsidRPr="00F0556E">
        <w:rPr>
          <w:rFonts w:ascii="Calibri" w:hAnsi="Calibri" w:cs="Calibri"/>
        </w:rPr>
        <w:t>Existen varias limitaciones importantes en este estudio. Lo más importante es que se trató de un análisis secundario retrospectivo, por lo que los hallazgos demuestran una asociación en lugar de demostrar que una administración sanguínea más temprana causó directamente los resultados mejorados. Los autores también identificaron la posibilidad de sesgo de supervivencia porque los pacientes que recibieron productos sanguíneos adicionales en el hospital tuvieron que sobrevivir el tiempo suficiente para llegar al hospital. Los seis ensayos incluidos para combinar los datos también tenían criterios de inclusión, metodologías y datos de resultados disponibles diferentes. Además, la base de datos no contenía de forma consistente información sobre el tiempo desde la lesión hasta la llegada al hospital o el traslado prehospitalario, ambos factores que podrían influir en el beneficio de la transfusión temprana. Los investigadores tampoco pudieron evaluar completamente la reanimación equilibrada porque los datos disponibles se centraban principalmente en los glóbulos rojos prehospitalarios y la sangre total, en lugar de todos los componentes sanguíneos, incluyendo plasma y plaquetas.</w:t>
      </w:r>
    </w:p>
    <w:p w14:paraId="3ADB5ABD" w14:textId="77777777" w:rsidR="00925FEC" w:rsidRPr="00F0556E" w:rsidRDefault="00925FEC" w:rsidP="00925FEC">
      <w:pPr>
        <w:rPr>
          <w:rFonts w:ascii="Calibri" w:hAnsi="Calibri" w:cs="Calibri"/>
        </w:rPr>
      </w:pPr>
      <w:r w:rsidRPr="00F0556E">
        <w:rPr>
          <w:rFonts w:ascii="Calibri" w:hAnsi="Calibri" w:cs="Calibri"/>
        </w:rPr>
        <w:t xml:space="preserve">Este estudio aporta evidencia adicional que respalda la administración temprana de productos sanguíneos a pacientes con hemorragia traumática, aunque no establece una cantidad óptima específica de sangre prehospitalaria ni demuestra un beneficio de supervivencia al aumentar la proporción prehospitalaria/total de transfusiones. El hallazgo más consistente fue una reducción en la lesión pulmonar aguda, mientras que se observaron mejoras en los días sin UCI en algunos análisis. Los autores sugieren que una administración sanguínea más temprana puede ser beneficiosa porque reduce la dependencia de cristaloides y proporciona una estrategia de reanimación más fisiológica, aunque el mecanismo exacto no pudo determinarse a partir de este conjunto de datos. En general, el estudio apoya los esfuerzos para aumentar el acceso a los productos sanguíneos prehospitalarios, destacando la necesidad de investigaciones prospectivas adicionales para determinar qué pacientes se benefician más, la cantidad y composición óptimas de la transfusión prehospitalaria y si una transfusión más temprana mejora la supervivencia. Los resultados de este estudio no deben cambiar necesariamente la práctica, </w:t>
      </w:r>
      <w:r w:rsidRPr="00F0556E">
        <w:rPr>
          <w:rFonts w:ascii="Calibri" w:hAnsi="Calibri" w:cs="Calibri"/>
        </w:rPr>
        <w:lastRenderedPageBreak/>
        <w:t xml:space="preserve">pero sí subrayan la importancia de una intervención prehospitalaria temprana y agresiva con transfusión de productos sanguíneos en el paciente con trauma hemorrágico. </w:t>
      </w:r>
    </w:p>
    <w:p w14:paraId="4DC37942" w14:textId="77777777" w:rsidR="00925FEC" w:rsidRPr="00925FEC" w:rsidRDefault="00925FEC" w:rsidP="00925FEC">
      <w:pPr>
        <w:pStyle w:val="Prrafodelista"/>
        <w:numPr>
          <w:ilvl w:val="0"/>
          <w:numId w:val="15"/>
        </w:numPr>
        <w:autoSpaceDE w:val="0"/>
        <w:autoSpaceDN w:val="0"/>
        <w:adjustRightInd w:val="0"/>
        <w:spacing w:before="100" w:beforeAutospacing="1" w:after="100" w:afterAutospacing="1"/>
        <w:rPr>
          <w:rFonts w:cstheme="minorHAnsi"/>
        </w:rPr>
      </w:pPr>
      <w:r w:rsidRPr="00925FEC">
        <w:rPr>
          <w:rFonts w:ascii="Calibri" w:hAnsi="Calibri" w:cs="Calibri"/>
          <w:b/>
          <w:bCs/>
        </w:rPr>
        <w:t>La aplicación del torniquete por parte de los espectadores no mejora la agudeza.</w:t>
      </w:r>
      <w:r w:rsidRPr="00925FEC">
        <w:rPr>
          <w:rFonts w:ascii="Calibri" w:hAnsi="Calibri" w:cs="Calibri"/>
        </w:rPr>
        <w:t xml:space="preserve"> </w:t>
      </w:r>
      <w:proofErr w:type="spellStart"/>
      <w:r w:rsidRPr="00925FEC">
        <w:rPr>
          <w:rFonts w:ascii="Calibri" w:hAnsi="Calibri" w:cs="Calibri"/>
        </w:rPr>
        <w:t>Flyer</w:t>
      </w:r>
      <w:proofErr w:type="spellEnd"/>
      <w:r w:rsidRPr="00925FEC">
        <w:rPr>
          <w:rFonts w:ascii="Calibri" w:hAnsi="Calibri" w:cs="Calibri"/>
        </w:rPr>
        <w:t xml:space="preserve"> Z, </w:t>
      </w:r>
      <w:proofErr w:type="spellStart"/>
      <w:r w:rsidRPr="00925FEC">
        <w:rPr>
          <w:rFonts w:ascii="Calibri" w:hAnsi="Calibri" w:cs="Calibri"/>
        </w:rPr>
        <w:t>Giron</w:t>
      </w:r>
      <w:proofErr w:type="spellEnd"/>
      <w:r w:rsidRPr="00925FEC">
        <w:rPr>
          <w:rFonts w:ascii="Calibri" w:hAnsi="Calibri" w:cs="Calibri"/>
        </w:rPr>
        <w:t xml:space="preserve"> A, </w:t>
      </w:r>
      <w:proofErr w:type="spellStart"/>
      <w:r w:rsidRPr="00925FEC">
        <w:rPr>
          <w:rFonts w:ascii="Calibri" w:hAnsi="Calibri" w:cs="Calibri"/>
        </w:rPr>
        <w:t>Painter</w:t>
      </w:r>
      <w:proofErr w:type="spellEnd"/>
      <w:r w:rsidRPr="00925FEC">
        <w:rPr>
          <w:rFonts w:ascii="Calibri" w:hAnsi="Calibri" w:cs="Calibri"/>
        </w:rPr>
        <w:t xml:space="preserve"> R, et al. </w:t>
      </w:r>
      <w:r w:rsidRPr="00925FEC">
        <w:rPr>
          <w:rFonts w:ascii="Calibri" w:hAnsi="Calibri" w:cs="Calibri"/>
          <w:i/>
          <w:iCs/>
        </w:rPr>
        <w:t xml:space="preserve">J </w:t>
      </w:r>
      <w:proofErr w:type="spellStart"/>
      <w:r w:rsidRPr="00925FEC">
        <w:rPr>
          <w:rFonts w:ascii="Calibri" w:hAnsi="Calibri" w:cs="Calibri"/>
          <w:i/>
          <w:iCs/>
        </w:rPr>
        <w:t>Emerg</w:t>
      </w:r>
      <w:proofErr w:type="spellEnd"/>
      <w:r w:rsidRPr="00925FEC">
        <w:rPr>
          <w:rFonts w:ascii="Calibri" w:hAnsi="Calibri" w:cs="Calibri"/>
          <w:i/>
          <w:iCs/>
        </w:rPr>
        <w:t xml:space="preserve"> </w:t>
      </w:r>
      <w:proofErr w:type="spellStart"/>
      <w:r w:rsidRPr="00925FEC">
        <w:rPr>
          <w:rFonts w:ascii="Calibri" w:hAnsi="Calibri" w:cs="Calibri"/>
        </w:rPr>
        <w:t>Med</w:t>
      </w:r>
      <w:proofErr w:type="spellEnd"/>
      <w:r w:rsidRPr="00925FEC">
        <w:rPr>
          <w:rFonts w:ascii="Calibri" w:hAnsi="Calibri" w:cs="Calibri"/>
        </w:rPr>
        <w:t xml:space="preserve"> 2026; 88:144–151.</w:t>
      </w:r>
    </w:p>
    <w:p w14:paraId="27BE72F9" w14:textId="77777777" w:rsidR="00925FEC" w:rsidRDefault="00925FEC" w:rsidP="00925FEC">
      <w:pPr>
        <w:rPr>
          <w:rFonts w:ascii="Calibri" w:hAnsi="Calibri" w:cs="Calibri"/>
        </w:rPr>
      </w:pPr>
      <w:r w:rsidRPr="00961106">
        <w:rPr>
          <w:rFonts w:ascii="Calibri" w:hAnsi="Calibri" w:cs="Calibri"/>
        </w:rPr>
        <w:t xml:space="preserve">Se ha demostrado durante mucho tiempo que la aplicación de torniquetes reduce la morbilidad y mortalidad de soldados gravemente heridos en el entorno táctico militar. Tras el éxito en el entorno de combate, las agencias civiles de EMS comenzaron a investigar el uso de torniquetes por parte de los primeros intervinientes. A medida que los estudios sugerían un beneficio para la población civil, su formación y uso se convirtieron en procedimiento estándar en Estados Unidos. Posteriormente, se desarrollaron programas educativos para formar a civiles no médicos en control de hemorragias.  </w:t>
      </w:r>
    </w:p>
    <w:p w14:paraId="504D811D" w14:textId="77777777" w:rsidR="00925FEC" w:rsidRPr="00961106" w:rsidRDefault="00925FEC" w:rsidP="00925FEC">
      <w:pPr>
        <w:rPr>
          <w:rFonts w:ascii="Calibri" w:hAnsi="Calibri" w:cs="Calibri"/>
        </w:rPr>
      </w:pPr>
      <w:r w:rsidRPr="00961106">
        <w:rPr>
          <w:rFonts w:ascii="Calibri" w:hAnsi="Calibri" w:cs="Calibri"/>
        </w:rPr>
        <w:t xml:space="preserve">Los autores de esta revisión retrospectiva investigaron la aplicación de torniquetes por todo tipo de respondedores a pacientes que sufrían hemorragia prehospitalaria, con un enfoque especial en evaluar los cambios en la gravedad, comparando civiles con primeros intervinientes y personal de emergencias médicas.  </w:t>
      </w:r>
    </w:p>
    <w:p w14:paraId="485F1A63" w14:textId="77777777" w:rsidR="00925FEC" w:rsidRDefault="00925FEC" w:rsidP="00925FEC">
      <w:pPr>
        <w:rPr>
          <w:rFonts w:ascii="Calibri" w:hAnsi="Calibri" w:cs="Calibri"/>
        </w:rPr>
      </w:pPr>
      <w:r w:rsidRPr="00961106">
        <w:rPr>
          <w:rFonts w:ascii="Calibri" w:hAnsi="Calibri" w:cs="Calibri"/>
        </w:rPr>
        <w:t xml:space="preserve">Los autores accedieron a la base de datos del Sistema Nacional de Información de Servicios Médicos de Emergencias (NEMSIS) para 2017 a 2020 y consultaron las aplicaciones de torniquetes documentadas en los registros para pacientes mayores de 20 años. Los hallazgos positivos de mejoría se definieron como un cambio en la criticidad del paciente tras la aplicación del torniquete, definido como un cambio de estado crítico a estado emergente. Un resultado secundario fue la aplicación exitosa del torniquete, definido como el control de la hemorragia más allá del torniquete.  </w:t>
      </w:r>
    </w:p>
    <w:p w14:paraId="01E04D2E" w14:textId="08E385BF" w:rsidR="00925FEC" w:rsidRPr="00961106" w:rsidRDefault="00925FEC" w:rsidP="00925FEC">
      <w:pPr>
        <w:rPr>
          <w:rFonts w:ascii="Calibri" w:hAnsi="Calibri" w:cs="Calibri"/>
        </w:rPr>
      </w:pPr>
      <w:r w:rsidRPr="00961106">
        <w:rPr>
          <w:rFonts w:ascii="Calibri" w:hAnsi="Calibri" w:cs="Calibri"/>
        </w:rPr>
        <w:t xml:space="preserve">Se identificaron un total de 3003 pacientes inscritos en la cohorte. La mayoría (2551) fueron aplicados por EMS, 216 por primeros intervinientes y 236 por civiles transeúntes. Las tasas de éxito en la aplicación de torniquetes fueron similares entre EMS (96,9%) y primeros intervinientes (96,6%), pero menores para civiles transeúntes (89,8%, p&lt;0,001). La criticidad del paciente disminuyó a una tasa mayor entre los grupos de EMS y primeros intervinientes en comparación con los testigos. Cabe destacar que ningún paciente del grupo de testigos experimentó un empeoramiento de la criticidad entre la llegada del EMS y el parto hospitalario.  </w:t>
      </w:r>
    </w:p>
    <w:p w14:paraId="14FD9649" w14:textId="25DCDC41" w:rsidR="00925FEC" w:rsidRPr="00961106" w:rsidRDefault="00925FEC" w:rsidP="00925FEC">
      <w:pPr>
        <w:rPr>
          <w:rFonts w:ascii="Calibri" w:hAnsi="Calibri" w:cs="Calibri"/>
        </w:rPr>
      </w:pPr>
      <w:r w:rsidRPr="00961106">
        <w:rPr>
          <w:rFonts w:ascii="Calibri" w:hAnsi="Calibri" w:cs="Calibri"/>
        </w:rPr>
        <w:t>Los autores señalaron las siguientes limitaciones. La propia base de datos puede introducir sesgos, ya que los datos se basan en documentación de los proveedores de emergencias médicas. El estudio solo accedió a la atención prehospitalaria y de fase de llegada de los pacientes. El estudio no registró la morbilidad ni las complicaciones derivadas de la aplicación del torniquete. La base de datos no recoge la formación de los testigos en control de hemorragias, solo si aplicaron un torniquete. La documentación no especificó el tipo de torniquete utilizado. Aunque las comunidades de emergencias médicas y de primeros intervinientes generalmente utilizan solo torniquetes disponibles comercialmente, el estudio no determinó si el torniquete aplicado por los testigos era un torniquete improvisado de campo o un torniquete comercialmente disponible.</w:t>
      </w:r>
    </w:p>
    <w:p w14:paraId="10A31740" w14:textId="357282B4" w:rsidR="0008350C" w:rsidRPr="000577EB" w:rsidRDefault="00925FEC" w:rsidP="00925FEC">
      <w:pPr>
        <w:autoSpaceDE w:val="0"/>
        <w:autoSpaceDN w:val="0"/>
        <w:adjustRightInd w:val="0"/>
        <w:rPr>
          <w:rFonts w:cstheme="minorHAnsi"/>
        </w:rPr>
      </w:pPr>
      <w:r w:rsidRPr="00961106">
        <w:rPr>
          <w:rFonts w:ascii="Calibri" w:hAnsi="Calibri" w:cs="Calibri"/>
        </w:rPr>
        <w:t xml:space="preserve">Los torniquetes han salvado innumerables vidas en todo el mundo. Primero usados en el ejército y luego en los servicios de emergencia, los torniquetes ahora han incorporado programas de formación para el público general, como el curso Stop </w:t>
      </w:r>
      <w:proofErr w:type="spellStart"/>
      <w:r w:rsidRPr="00961106">
        <w:rPr>
          <w:rFonts w:ascii="Calibri" w:hAnsi="Calibri" w:cs="Calibri"/>
        </w:rPr>
        <w:t>the</w:t>
      </w:r>
      <w:proofErr w:type="spellEnd"/>
      <w:r w:rsidRPr="00961106">
        <w:rPr>
          <w:rFonts w:ascii="Calibri" w:hAnsi="Calibri" w:cs="Calibri"/>
        </w:rPr>
        <w:t xml:space="preserve"> </w:t>
      </w:r>
      <w:proofErr w:type="spellStart"/>
      <w:r w:rsidRPr="00961106">
        <w:rPr>
          <w:rFonts w:ascii="Calibri" w:hAnsi="Calibri" w:cs="Calibri"/>
        </w:rPr>
        <w:t>Bleed</w:t>
      </w:r>
      <w:proofErr w:type="spellEnd"/>
      <w:r w:rsidRPr="00961106">
        <w:rPr>
          <w:rFonts w:ascii="Calibri" w:hAnsi="Calibri" w:cs="Calibri"/>
        </w:rPr>
        <w:t xml:space="preserve">. Este estudio mostró que, aunque los testigos pueden aplicar con éxito un torniquete, este no documentó mejoras en la criticidad/gravedad del paciente. Sin embargo, muchos factores pueden no haberse identificado. La agudeza fue evaluada solo por los servicios de emergencia durante el periodo de contacto, no durante el tiempo desde la aplicación del torniquete hasta la llegada de los servicios médicos. Sería plausible especular que la </w:t>
      </w:r>
      <w:proofErr w:type="spellStart"/>
      <w:r w:rsidRPr="00961106">
        <w:rPr>
          <w:rFonts w:ascii="Calibri" w:hAnsi="Calibri" w:cs="Calibri"/>
        </w:rPr>
        <w:t>agujetad</w:t>
      </w:r>
      <w:proofErr w:type="spellEnd"/>
      <w:r w:rsidRPr="00961106">
        <w:rPr>
          <w:rFonts w:ascii="Calibri" w:hAnsi="Calibri" w:cs="Calibri"/>
        </w:rPr>
        <w:t xml:space="preserve"> cambió durante este periodo. Se necesita un estudio adicional sobre la eficacia de los torniquetes aplicados por testigos para comprender mejor la dirección en el desarrollo futuro de los programas de control de hemorragias de testigos</w:t>
      </w:r>
    </w:p>
    <w:sectPr w:rsidR="0008350C" w:rsidRPr="000577EB" w:rsidSect="002B2E15">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388DC8" w14:textId="77777777" w:rsidR="00D928D0" w:rsidRDefault="00D928D0" w:rsidP="00CC1ECE">
      <w:r>
        <w:separator/>
      </w:r>
    </w:p>
  </w:endnote>
  <w:endnote w:type="continuationSeparator" w:id="0">
    <w:p w14:paraId="7CF183E9" w14:textId="77777777" w:rsidR="00D928D0" w:rsidRDefault="00D928D0" w:rsidP="00CC1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w:altName w:val="Corbel"/>
    <w:charset w:val="00"/>
    <w:family w:val="auto"/>
    <w:pitch w:val="variable"/>
    <w:sig w:usb0="00000001" w:usb1="5000204A"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0C9FD" w14:textId="77777777" w:rsidR="00EC556A" w:rsidRPr="00CC0C6C" w:rsidRDefault="00EC556A" w:rsidP="00EC556A">
    <w:pPr>
      <w:pStyle w:val="Piedepgina"/>
      <w:jc w:val="center"/>
      <w:rPr>
        <w:b/>
      </w:rPr>
    </w:pPr>
    <w:r w:rsidRPr="00CC0C6C">
      <w:rPr>
        <w:b/>
      </w:rPr>
      <w:t>www.IPHMI.com</w:t>
    </w:r>
  </w:p>
  <w:p w14:paraId="3911A5C2" w14:textId="77777777" w:rsidR="00EC556A" w:rsidRDefault="00EC556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7788A" w14:textId="77777777" w:rsidR="00D928D0" w:rsidRDefault="00D928D0" w:rsidP="00CC1ECE">
      <w:r>
        <w:separator/>
      </w:r>
    </w:p>
  </w:footnote>
  <w:footnote w:type="continuationSeparator" w:id="0">
    <w:p w14:paraId="28FDF626" w14:textId="77777777" w:rsidR="00D928D0" w:rsidRDefault="00D928D0" w:rsidP="00CC1E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9FA8A" w14:textId="77777777" w:rsidR="00EC556A" w:rsidRPr="00CC0C6C" w:rsidRDefault="00EC556A" w:rsidP="00EC556A">
    <w:pPr>
      <w:pStyle w:val="Encabezado"/>
      <w:jc w:val="center"/>
      <w:rPr>
        <w:b/>
        <w:i/>
        <w:sz w:val="36"/>
        <w:u w:val="single"/>
      </w:rPr>
    </w:pPr>
    <w:r w:rsidRPr="00CC0C6C">
      <w:rPr>
        <w:b/>
        <w:i/>
        <w:sz w:val="36"/>
        <w:u w:val="single"/>
      </w:rPr>
      <w:t>Instituto Internacional de Medicina Prehospitalaria</w:t>
    </w:r>
  </w:p>
  <w:p w14:paraId="0A9D369C" w14:textId="77777777" w:rsidR="00EC556A" w:rsidRDefault="00EC556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C3536"/>
    <w:multiLevelType w:val="hybridMultilevel"/>
    <w:tmpl w:val="27706680"/>
    <w:lvl w:ilvl="0" w:tplc="34D68778">
      <w:start w:val="4"/>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0022D9"/>
    <w:multiLevelType w:val="hybridMultilevel"/>
    <w:tmpl w:val="121E7000"/>
    <w:lvl w:ilvl="0" w:tplc="DF520E9A">
      <w:start w:val="3"/>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0A1C7D"/>
    <w:multiLevelType w:val="hybridMultilevel"/>
    <w:tmpl w:val="0576BBF2"/>
    <w:lvl w:ilvl="0" w:tplc="5808C27C">
      <w:start w:val="1"/>
      <w:numFmt w:val="decimal"/>
      <w:lvlText w:val="%1."/>
      <w:lvlJc w:val="left"/>
      <w:pPr>
        <w:ind w:left="360" w:hanging="360"/>
      </w:pPr>
      <w:rPr>
        <w:rFonts w:hint="default"/>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9BD0049"/>
    <w:multiLevelType w:val="hybridMultilevel"/>
    <w:tmpl w:val="25DA9CAC"/>
    <w:lvl w:ilvl="0" w:tplc="59EC46DA">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F17F78"/>
    <w:multiLevelType w:val="hybridMultilevel"/>
    <w:tmpl w:val="C22A7D08"/>
    <w:lvl w:ilvl="0" w:tplc="E0606B28">
      <w:start w:val="2"/>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E523AB"/>
    <w:multiLevelType w:val="hybridMultilevel"/>
    <w:tmpl w:val="42144390"/>
    <w:lvl w:ilvl="0" w:tplc="9F5629CE">
      <w:start w:val="4"/>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26053A"/>
    <w:multiLevelType w:val="hybridMultilevel"/>
    <w:tmpl w:val="83166A9C"/>
    <w:lvl w:ilvl="0" w:tplc="C804C276">
      <w:start w:val="3"/>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80019B"/>
    <w:multiLevelType w:val="hybridMultilevel"/>
    <w:tmpl w:val="A7808528"/>
    <w:lvl w:ilvl="0" w:tplc="85C6882E">
      <w:start w:val="4"/>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E40858"/>
    <w:multiLevelType w:val="hybridMultilevel"/>
    <w:tmpl w:val="47224CEA"/>
    <w:lvl w:ilvl="0" w:tplc="FFFFFFFF">
      <w:start w:val="1"/>
      <w:numFmt w:val="decimal"/>
      <w:lvlText w:val="%1."/>
      <w:lvlJc w:val="left"/>
      <w:pPr>
        <w:ind w:left="360" w:hanging="36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5E7B50A9"/>
    <w:multiLevelType w:val="hybridMultilevel"/>
    <w:tmpl w:val="6032DE3E"/>
    <w:lvl w:ilvl="0" w:tplc="8DF21694">
      <w:start w:val="3"/>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EFB2051"/>
    <w:multiLevelType w:val="hybridMultilevel"/>
    <w:tmpl w:val="0FB84C4E"/>
    <w:lvl w:ilvl="0" w:tplc="B0D44066">
      <w:start w:val="2"/>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443F34"/>
    <w:multiLevelType w:val="hybridMultilevel"/>
    <w:tmpl w:val="DB38B758"/>
    <w:lvl w:ilvl="0" w:tplc="F6CC7D80">
      <w:start w:val="4"/>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E53DD4"/>
    <w:multiLevelType w:val="hybridMultilevel"/>
    <w:tmpl w:val="33B29DD6"/>
    <w:lvl w:ilvl="0" w:tplc="844A78D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9EE2831"/>
    <w:multiLevelType w:val="hybridMultilevel"/>
    <w:tmpl w:val="AA7AAEB8"/>
    <w:lvl w:ilvl="0" w:tplc="FFFFFFFF">
      <w:start w:val="1"/>
      <w:numFmt w:val="decimal"/>
      <w:lvlText w:val="%1."/>
      <w:lvlJc w:val="left"/>
      <w:pPr>
        <w:ind w:left="360" w:hanging="360"/>
      </w:pPr>
      <w:rPr>
        <w:rFonts w:hint="default"/>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74930ABD"/>
    <w:multiLevelType w:val="hybridMultilevel"/>
    <w:tmpl w:val="281AB7D0"/>
    <w:lvl w:ilvl="0" w:tplc="EB84C304">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4"/>
  </w:num>
  <w:num w:numId="2">
    <w:abstractNumId w:val="12"/>
  </w:num>
  <w:num w:numId="3">
    <w:abstractNumId w:val="5"/>
  </w:num>
  <w:num w:numId="4">
    <w:abstractNumId w:val="3"/>
  </w:num>
  <w:num w:numId="5">
    <w:abstractNumId w:val="4"/>
  </w:num>
  <w:num w:numId="6">
    <w:abstractNumId w:val="1"/>
  </w:num>
  <w:num w:numId="7">
    <w:abstractNumId w:val="7"/>
  </w:num>
  <w:num w:numId="8">
    <w:abstractNumId w:val="8"/>
  </w:num>
  <w:num w:numId="9">
    <w:abstractNumId w:val="10"/>
  </w:num>
  <w:num w:numId="10">
    <w:abstractNumId w:val="9"/>
  </w:num>
  <w:num w:numId="11">
    <w:abstractNumId w:val="11"/>
  </w:num>
  <w:num w:numId="12">
    <w:abstractNumId w:val="2"/>
  </w:num>
  <w:num w:numId="13">
    <w:abstractNumId w:val="13"/>
  </w:num>
  <w:num w:numId="14">
    <w:abstractNumId w:val="6"/>
  </w:num>
  <w:num w:numId="15">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DB7"/>
    <w:rsid w:val="0000060E"/>
    <w:rsid w:val="00000D8B"/>
    <w:rsid w:val="00000FEC"/>
    <w:rsid w:val="00007BA6"/>
    <w:rsid w:val="00012F95"/>
    <w:rsid w:val="0001698B"/>
    <w:rsid w:val="00020D8A"/>
    <w:rsid w:val="0002464E"/>
    <w:rsid w:val="000251EC"/>
    <w:rsid w:val="00030CC4"/>
    <w:rsid w:val="00033677"/>
    <w:rsid w:val="00033B77"/>
    <w:rsid w:val="00037773"/>
    <w:rsid w:val="000403B1"/>
    <w:rsid w:val="00041C70"/>
    <w:rsid w:val="00046471"/>
    <w:rsid w:val="00053DC7"/>
    <w:rsid w:val="000548D0"/>
    <w:rsid w:val="00054BFF"/>
    <w:rsid w:val="000577EB"/>
    <w:rsid w:val="000607DE"/>
    <w:rsid w:val="0008350C"/>
    <w:rsid w:val="00086FB0"/>
    <w:rsid w:val="000908CD"/>
    <w:rsid w:val="000942CA"/>
    <w:rsid w:val="00096298"/>
    <w:rsid w:val="000A39D8"/>
    <w:rsid w:val="000A500D"/>
    <w:rsid w:val="000A7673"/>
    <w:rsid w:val="000B2DC9"/>
    <w:rsid w:val="000B3977"/>
    <w:rsid w:val="000B5810"/>
    <w:rsid w:val="000C1C93"/>
    <w:rsid w:val="000C1ED3"/>
    <w:rsid w:val="000D737E"/>
    <w:rsid w:val="000E1EEE"/>
    <w:rsid w:val="000E61AC"/>
    <w:rsid w:val="000E7FF5"/>
    <w:rsid w:val="000F0391"/>
    <w:rsid w:val="000F44FE"/>
    <w:rsid w:val="000F6E4A"/>
    <w:rsid w:val="001053F1"/>
    <w:rsid w:val="00107449"/>
    <w:rsid w:val="00112343"/>
    <w:rsid w:val="0011511A"/>
    <w:rsid w:val="0012112A"/>
    <w:rsid w:val="00125483"/>
    <w:rsid w:val="00125AF1"/>
    <w:rsid w:val="00126D9C"/>
    <w:rsid w:val="001272F3"/>
    <w:rsid w:val="001327B9"/>
    <w:rsid w:val="00137FB9"/>
    <w:rsid w:val="00140F42"/>
    <w:rsid w:val="001459A9"/>
    <w:rsid w:val="001465D4"/>
    <w:rsid w:val="001505DB"/>
    <w:rsid w:val="00155484"/>
    <w:rsid w:val="00161774"/>
    <w:rsid w:val="00176FE6"/>
    <w:rsid w:val="001810C4"/>
    <w:rsid w:val="00181E88"/>
    <w:rsid w:val="00184890"/>
    <w:rsid w:val="00184D1F"/>
    <w:rsid w:val="00193364"/>
    <w:rsid w:val="00193BAE"/>
    <w:rsid w:val="001A2AF5"/>
    <w:rsid w:val="001A2CA7"/>
    <w:rsid w:val="001B2C0E"/>
    <w:rsid w:val="001B69AC"/>
    <w:rsid w:val="001C0348"/>
    <w:rsid w:val="001C16EF"/>
    <w:rsid w:val="001C3615"/>
    <w:rsid w:val="001C5280"/>
    <w:rsid w:val="001D0851"/>
    <w:rsid w:val="001D229F"/>
    <w:rsid w:val="001D346A"/>
    <w:rsid w:val="001D57F6"/>
    <w:rsid w:val="001E10D6"/>
    <w:rsid w:val="001E4361"/>
    <w:rsid w:val="001F470D"/>
    <w:rsid w:val="001F6CFD"/>
    <w:rsid w:val="001F7C77"/>
    <w:rsid w:val="00200E21"/>
    <w:rsid w:val="00203A36"/>
    <w:rsid w:val="00204A3E"/>
    <w:rsid w:val="00204D61"/>
    <w:rsid w:val="00206296"/>
    <w:rsid w:val="00212F3C"/>
    <w:rsid w:val="00216EFE"/>
    <w:rsid w:val="00221F53"/>
    <w:rsid w:val="00234651"/>
    <w:rsid w:val="00234BAF"/>
    <w:rsid w:val="00235410"/>
    <w:rsid w:val="00235D40"/>
    <w:rsid w:val="0023757E"/>
    <w:rsid w:val="0024264F"/>
    <w:rsid w:val="00253C5C"/>
    <w:rsid w:val="002576B3"/>
    <w:rsid w:val="00264DF6"/>
    <w:rsid w:val="00265734"/>
    <w:rsid w:val="00265A59"/>
    <w:rsid w:val="00267862"/>
    <w:rsid w:val="00270EB5"/>
    <w:rsid w:val="0027336D"/>
    <w:rsid w:val="002736F8"/>
    <w:rsid w:val="002750A3"/>
    <w:rsid w:val="00275AE9"/>
    <w:rsid w:val="002816EF"/>
    <w:rsid w:val="00281AA8"/>
    <w:rsid w:val="00283B4B"/>
    <w:rsid w:val="002910C5"/>
    <w:rsid w:val="002943AA"/>
    <w:rsid w:val="0029612D"/>
    <w:rsid w:val="002A448D"/>
    <w:rsid w:val="002A612A"/>
    <w:rsid w:val="002B1C13"/>
    <w:rsid w:val="002B2E15"/>
    <w:rsid w:val="002C00B1"/>
    <w:rsid w:val="002C1439"/>
    <w:rsid w:val="002C41E8"/>
    <w:rsid w:val="002D18D0"/>
    <w:rsid w:val="002D385C"/>
    <w:rsid w:val="002E0AB2"/>
    <w:rsid w:val="002E6A42"/>
    <w:rsid w:val="002F1B9E"/>
    <w:rsid w:val="002F2158"/>
    <w:rsid w:val="00301C76"/>
    <w:rsid w:val="00303DEC"/>
    <w:rsid w:val="00304FCB"/>
    <w:rsid w:val="003058A2"/>
    <w:rsid w:val="003078BD"/>
    <w:rsid w:val="003111DD"/>
    <w:rsid w:val="003122CE"/>
    <w:rsid w:val="00316585"/>
    <w:rsid w:val="00317365"/>
    <w:rsid w:val="0032129A"/>
    <w:rsid w:val="00321528"/>
    <w:rsid w:val="00326AF1"/>
    <w:rsid w:val="00332A7D"/>
    <w:rsid w:val="003331AA"/>
    <w:rsid w:val="00346AB0"/>
    <w:rsid w:val="00347087"/>
    <w:rsid w:val="00356335"/>
    <w:rsid w:val="00361398"/>
    <w:rsid w:val="00362F86"/>
    <w:rsid w:val="00363F26"/>
    <w:rsid w:val="00367A88"/>
    <w:rsid w:val="003800B3"/>
    <w:rsid w:val="00381BDD"/>
    <w:rsid w:val="0038633C"/>
    <w:rsid w:val="0038790A"/>
    <w:rsid w:val="00390AEA"/>
    <w:rsid w:val="00392C1F"/>
    <w:rsid w:val="00395433"/>
    <w:rsid w:val="003962A4"/>
    <w:rsid w:val="003B3023"/>
    <w:rsid w:val="003B39E9"/>
    <w:rsid w:val="003B3A90"/>
    <w:rsid w:val="003B6592"/>
    <w:rsid w:val="003B7857"/>
    <w:rsid w:val="003D2244"/>
    <w:rsid w:val="003D44D9"/>
    <w:rsid w:val="003E0710"/>
    <w:rsid w:val="003E07DA"/>
    <w:rsid w:val="003E1465"/>
    <w:rsid w:val="003E51F2"/>
    <w:rsid w:val="003F1AAF"/>
    <w:rsid w:val="003F4BB7"/>
    <w:rsid w:val="003F54D4"/>
    <w:rsid w:val="0040407D"/>
    <w:rsid w:val="00404F6F"/>
    <w:rsid w:val="004068DD"/>
    <w:rsid w:val="00406B3D"/>
    <w:rsid w:val="0041124D"/>
    <w:rsid w:val="00413939"/>
    <w:rsid w:val="00415CB4"/>
    <w:rsid w:val="00417657"/>
    <w:rsid w:val="00424045"/>
    <w:rsid w:val="00424314"/>
    <w:rsid w:val="00425215"/>
    <w:rsid w:val="004269E1"/>
    <w:rsid w:val="00431361"/>
    <w:rsid w:val="0043460D"/>
    <w:rsid w:val="004654DB"/>
    <w:rsid w:val="00472F9A"/>
    <w:rsid w:val="004749F7"/>
    <w:rsid w:val="00483D2C"/>
    <w:rsid w:val="00485330"/>
    <w:rsid w:val="00490A07"/>
    <w:rsid w:val="00491411"/>
    <w:rsid w:val="0049245A"/>
    <w:rsid w:val="00493BCD"/>
    <w:rsid w:val="004A1C81"/>
    <w:rsid w:val="004A2499"/>
    <w:rsid w:val="004A5FB7"/>
    <w:rsid w:val="004B5626"/>
    <w:rsid w:val="004B5707"/>
    <w:rsid w:val="004B6C92"/>
    <w:rsid w:val="004B7EE3"/>
    <w:rsid w:val="004D3C0D"/>
    <w:rsid w:val="004D5F8C"/>
    <w:rsid w:val="004E0756"/>
    <w:rsid w:val="004E27B8"/>
    <w:rsid w:val="004E3BCF"/>
    <w:rsid w:val="004E7694"/>
    <w:rsid w:val="004F050C"/>
    <w:rsid w:val="004F1CF2"/>
    <w:rsid w:val="005053A7"/>
    <w:rsid w:val="00506F03"/>
    <w:rsid w:val="00510B67"/>
    <w:rsid w:val="00520E73"/>
    <w:rsid w:val="005217D8"/>
    <w:rsid w:val="00523D0F"/>
    <w:rsid w:val="00526673"/>
    <w:rsid w:val="00527BE6"/>
    <w:rsid w:val="00530542"/>
    <w:rsid w:val="00536681"/>
    <w:rsid w:val="00540AB0"/>
    <w:rsid w:val="00542970"/>
    <w:rsid w:val="00550A12"/>
    <w:rsid w:val="005655CF"/>
    <w:rsid w:val="0057657B"/>
    <w:rsid w:val="005769AE"/>
    <w:rsid w:val="005830F5"/>
    <w:rsid w:val="00592D6B"/>
    <w:rsid w:val="00592EF2"/>
    <w:rsid w:val="00593D20"/>
    <w:rsid w:val="00597139"/>
    <w:rsid w:val="005A338C"/>
    <w:rsid w:val="005A340E"/>
    <w:rsid w:val="005A685A"/>
    <w:rsid w:val="005B1B93"/>
    <w:rsid w:val="005B3228"/>
    <w:rsid w:val="005B4D2F"/>
    <w:rsid w:val="005C209E"/>
    <w:rsid w:val="005D21B6"/>
    <w:rsid w:val="005D3C3C"/>
    <w:rsid w:val="005E1684"/>
    <w:rsid w:val="005E4774"/>
    <w:rsid w:val="005F2C3D"/>
    <w:rsid w:val="0060639D"/>
    <w:rsid w:val="00612DB7"/>
    <w:rsid w:val="0062363F"/>
    <w:rsid w:val="00632D45"/>
    <w:rsid w:val="0063409A"/>
    <w:rsid w:val="00640BE7"/>
    <w:rsid w:val="00643503"/>
    <w:rsid w:val="0064535D"/>
    <w:rsid w:val="00653565"/>
    <w:rsid w:val="00656510"/>
    <w:rsid w:val="00657100"/>
    <w:rsid w:val="0066164D"/>
    <w:rsid w:val="00666AD9"/>
    <w:rsid w:val="0067234F"/>
    <w:rsid w:val="006758ED"/>
    <w:rsid w:val="006808BC"/>
    <w:rsid w:val="00687147"/>
    <w:rsid w:val="00692403"/>
    <w:rsid w:val="00692F42"/>
    <w:rsid w:val="00695417"/>
    <w:rsid w:val="00696332"/>
    <w:rsid w:val="006A73E8"/>
    <w:rsid w:val="006B01B5"/>
    <w:rsid w:val="006B4BCB"/>
    <w:rsid w:val="006B4C49"/>
    <w:rsid w:val="006B787B"/>
    <w:rsid w:val="006C1D46"/>
    <w:rsid w:val="006C28B6"/>
    <w:rsid w:val="006C78B2"/>
    <w:rsid w:val="006D0CA1"/>
    <w:rsid w:val="006D2989"/>
    <w:rsid w:val="006D36FB"/>
    <w:rsid w:val="006E1A31"/>
    <w:rsid w:val="006E632D"/>
    <w:rsid w:val="006E6E47"/>
    <w:rsid w:val="006F0274"/>
    <w:rsid w:val="006F5CBF"/>
    <w:rsid w:val="006F5DC6"/>
    <w:rsid w:val="006F7C8E"/>
    <w:rsid w:val="00701C52"/>
    <w:rsid w:val="007044CC"/>
    <w:rsid w:val="00717345"/>
    <w:rsid w:val="00732E6A"/>
    <w:rsid w:val="00733101"/>
    <w:rsid w:val="0073764B"/>
    <w:rsid w:val="007419D9"/>
    <w:rsid w:val="00742AC7"/>
    <w:rsid w:val="00745AC5"/>
    <w:rsid w:val="007537AD"/>
    <w:rsid w:val="00753E26"/>
    <w:rsid w:val="00757AE3"/>
    <w:rsid w:val="0077245B"/>
    <w:rsid w:val="007832E3"/>
    <w:rsid w:val="007834AC"/>
    <w:rsid w:val="00783856"/>
    <w:rsid w:val="00783BAC"/>
    <w:rsid w:val="0078434F"/>
    <w:rsid w:val="007866D0"/>
    <w:rsid w:val="007953ED"/>
    <w:rsid w:val="007A125C"/>
    <w:rsid w:val="007A1647"/>
    <w:rsid w:val="007A3A49"/>
    <w:rsid w:val="007B4CDB"/>
    <w:rsid w:val="007B66CA"/>
    <w:rsid w:val="007B735B"/>
    <w:rsid w:val="007C09BD"/>
    <w:rsid w:val="007C1ECF"/>
    <w:rsid w:val="007C7235"/>
    <w:rsid w:val="007D0305"/>
    <w:rsid w:val="007D1A55"/>
    <w:rsid w:val="007D3AB0"/>
    <w:rsid w:val="007D3F72"/>
    <w:rsid w:val="007D5076"/>
    <w:rsid w:val="007D58BA"/>
    <w:rsid w:val="007D6F97"/>
    <w:rsid w:val="007E0612"/>
    <w:rsid w:val="007F3B34"/>
    <w:rsid w:val="007F7274"/>
    <w:rsid w:val="00803A9A"/>
    <w:rsid w:val="00805473"/>
    <w:rsid w:val="008141BF"/>
    <w:rsid w:val="008154BD"/>
    <w:rsid w:val="00822E86"/>
    <w:rsid w:val="00825722"/>
    <w:rsid w:val="008363AF"/>
    <w:rsid w:val="00837F82"/>
    <w:rsid w:val="00846182"/>
    <w:rsid w:val="00852D41"/>
    <w:rsid w:val="008548AF"/>
    <w:rsid w:val="008710B9"/>
    <w:rsid w:val="00873AD0"/>
    <w:rsid w:val="00880689"/>
    <w:rsid w:val="008A0008"/>
    <w:rsid w:val="008A0F53"/>
    <w:rsid w:val="008B00CB"/>
    <w:rsid w:val="008B038E"/>
    <w:rsid w:val="008B4ABE"/>
    <w:rsid w:val="008B6898"/>
    <w:rsid w:val="008C2DA9"/>
    <w:rsid w:val="008D4278"/>
    <w:rsid w:val="008E160E"/>
    <w:rsid w:val="008E2104"/>
    <w:rsid w:val="008E424C"/>
    <w:rsid w:val="008E502B"/>
    <w:rsid w:val="008E68F7"/>
    <w:rsid w:val="008E7368"/>
    <w:rsid w:val="008F3248"/>
    <w:rsid w:val="008F601D"/>
    <w:rsid w:val="00901F19"/>
    <w:rsid w:val="00903E7E"/>
    <w:rsid w:val="00904E9C"/>
    <w:rsid w:val="009073F7"/>
    <w:rsid w:val="009106F1"/>
    <w:rsid w:val="00912F3D"/>
    <w:rsid w:val="00914150"/>
    <w:rsid w:val="00922E3E"/>
    <w:rsid w:val="00922F50"/>
    <w:rsid w:val="00925FEC"/>
    <w:rsid w:val="009260F6"/>
    <w:rsid w:val="009277B9"/>
    <w:rsid w:val="009308A2"/>
    <w:rsid w:val="009328CC"/>
    <w:rsid w:val="00936505"/>
    <w:rsid w:val="00940115"/>
    <w:rsid w:val="00943813"/>
    <w:rsid w:val="00945B96"/>
    <w:rsid w:val="009505B0"/>
    <w:rsid w:val="00950C94"/>
    <w:rsid w:val="00951957"/>
    <w:rsid w:val="00960913"/>
    <w:rsid w:val="009634BA"/>
    <w:rsid w:val="0097137D"/>
    <w:rsid w:val="00975B8C"/>
    <w:rsid w:val="009764C9"/>
    <w:rsid w:val="009809EC"/>
    <w:rsid w:val="00985114"/>
    <w:rsid w:val="00987ADA"/>
    <w:rsid w:val="00996C8E"/>
    <w:rsid w:val="009979A0"/>
    <w:rsid w:val="009A5621"/>
    <w:rsid w:val="009A72C1"/>
    <w:rsid w:val="009B3196"/>
    <w:rsid w:val="009B5E3E"/>
    <w:rsid w:val="009D2B40"/>
    <w:rsid w:val="009D3589"/>
    <w:rsid w:val="009D57E7"/>
    <w:rsid w:val="009E2627"/>
    <w:rsid w:val="009E7393"/>
    <w:rsid w:val="009F25AA"/>
    <w:rsid w:val="009F53F7"/>
    <w:rsid w:val="00A03A18"/>
    <w:rsid w:val="00A11702"/>
    <w:rsid w:val="00A12D76"/>
    <w:rsid w:val="00A16ED6"/>
    <w:rsid w:val="00A322D2"/>
    <w:rsid w:val="00A33F37"/>
    <w:rsid w:val="00A34DB2"/>
    <w:rsid w:val="00A36579"/>
    <w:rsid w:val="00A406B3"/>
    <w:rsid w:val="00A45647"/>
    <w:rsid w:val="00A55EE6"/>
    <w:rsid w:val="00A569A0"/>
    <w:rsid w:val="00A57792"/>
    <w:rsid w:val="00A62253"/>
    <w:rsid w:val="00A65EF4"/>
    <w:rsid w:val="00A66C04"/>
    <w:rsid w:val="00A704B4"/>
    <w:rsid w:val="00A71B69"/>
    <w:rsid w:val="00A73410"/>
    <w:rsid w:val="00A779CC"/>
    <w:rsid w:val="00A834E7"/>
    <w:rsid w:val="00A83C04"/>
    <w:rsid w:val="00A84C1B"/>
    <w:rsid w:val="00A933AB"/>
    <w:rsid w:val="00A93E30"/>
    <w:rsid w:val="00AA5387"/>
    <w:rsid w:val="00AA7EC1"/>
    <w:rsid w:val="00AB1930"/>
    <w:rsid w:val="00AB5858"/>
    <w:rsid w:val="00AC3268"/>
    <w:rsid w:val="00AD2237"/>
    <w:rsid w:val="00AD7ED9"/>
    <w:rsid w:val="00AF221D"/>
    <w:rsid w:val="00AF5699"/>
    <w:rsid w:val="00B0092B"/>
    <w:rsid w:val="00B07EA7"/>
    <w:rsid w:val="00B13E10"/>
    <w:rsid w:val="00B1711F"/>
    <w:rsid w:val="00B31B87"/>
    <w:rsid w:val="00B31C7F"/>
    <w:rsid w:val="00B32740"/>
    <w:rsid w:val="00B33670"/>
    <w:rsid w:val="00B4144E"/>
    <w:rsid w:val="00B432F8"/>
    <w:rsid w:val="00B44CA8"/>
    <w:rsid w:val="00B50275"/>
    <w:rsid w:val="00B5115C"/>
    <w:rsid w:val="00B5424E"/>
    <w:rsid w:val="00B65219"/>
    <w:rsid w:val="00B662B4"/>
    <w:rsid w:val="00B67CE0"/>
    <w:rsid w:val="00B702EE"/>
    <w:rsid w:val="00B76069"/>
    <w:rsid w:val="00B817D8"/>
    <w:rsid w:val="00B903C9"/>
    <w:rsid w:val="00B916EB"/>
    <w:rsid w:val="00BA3A92"/>
    <w:rsid w:val="00BB10EC"/>
    <w:rsid w:val="00BB1C4D"/>
    <w:rsid w:val="00BB3360"/>
    <w:rsid w:val="00BC3FB1"/>
    <w:rsid w:val="00BC4278"/>
    <w:rsid w:val="00BD0399"/>
    <w:rsid w:val="00BD171A"/>
    <w:rsid w:val="00BD242E"/>
    <w:rsid w:val="00BD7691"/>
    <w:rsid w:val="00BE1F02"/>
    <w:rsid w:val="00BE6989"/>
    <w:rsid w:val="00BE7361"/>
    <w:rsid w:val="00BF6A4B"/>
    <w:rsid w:val="00C076B5"/>
    <w:rsid w:val="00C07D4B"/>
    <w:rsid w:val="00C101AC"/>
    <w:rsid w:val="00C106D8"/>
    <w:rsid w:val="00C11D96"/>
    <w:rsid w:val="00C22F59"/>
    <w:rsid w:val="00C23304"/>
    <w:rsid w:val="00C26485"/>
    <w:rsid w:val="00C33139"/>
    <w:rsid w:val="00C4127F"/>
    <w:rsid w:val="00C4140F"/>
    <w:rsid w:val="00C42D45"/>
    <w:rsid w:val="00C44324"/>
    <w:rsid w:val="00C459ED"/>
    <w:rsid w:val="00C571A0"/>
    <w:rsid w:val="00C627AA"/>
    <w:rsid w:val="00C644DC"/>
    <w:rsid w:val="00C704D2"/>
    <w:rsid w:val="00C70676"/>
    <w:rsid w:val="00C70A1D"/>
    <w:rsid w:val="00C7369A"/>
    <w:rsid w:val="00C7577A"/>
    <w:rsid w:val="00C8273A"/>
    <w:rsid w:val="00C83E13"/>
    <w:rsid w:val="00C90D69"/>
    <w:rsid w:val="00C94CBA"/>
    <w:rsid w:val="00C97C08"/>
    <w:rsid w:val="00CA15CD"/>
    <w:rsid w:val="00CB208E"/>
    <w:rsid w:val="00CB6B28"/>
    <w:rsid w:val="00CB7B80"/>
    <w:rsid w:val="00CC1ECE"/>
    <w:rsid w:val="00CC28FA"/>
    <w:rsid w:val="00CC3B9C"/>
    <w:rsid w:val="00CC60E0"/>
    <w:rsid w:val="00CD11FC"/>
    <w:rsid w:val="00CD47BF"/>
    <w:rsid w:val="00CD6CCC"/>
    <w:rsid w:val="00CE5A35"/>
    <w:rsid w:val="00CE7AAE"/>
    <w:rsid w:val="00CF26A5"/>
    <w:rsid w:val="00D03F51"/>
    <w:rsid w:val="00D07B9D"/>
    <w:rsid w:val="00D12076"/>
    <w:rsid w:val="00D20569"/>
    <w:rsid w:val="00D21EC7"/>
    <w:rsid w:val="00D24707"/>
    <w:rsid w:val="00D24E8B"/>
    <w:rsid w:val="00D27263"/>
    <w:rsid w:val="00D50450"/>
    <w:rsid w:val="00D551AD"/>
    <w:rsid w:val="00D60821"/>
    <w:rsid w:val="00D6189B"/>
    <w:rsid w:val="00D63344"/>
    <w:rsid w:val="00D635BE"/>
    <w:rsid w:val="00D706A9"/>
    <w:rsid w:val="00D72B85"/>
    <w:rsid w:val="00D72E64"/>
    <w:rsid w:val="00D7366F"/>
    <w:rsid w:val="00D73D4F"/>
    <w:rsid w:val="00D746F3"/>
    <w:rsid w:val="00D75F7A"/>
    <w:rsid w:val="00D764C8"/>
    <w:rsid w:val="00D80B58"/>
    <w:rsid w:val="00D928D0"/>
    <w:rsid w:val="00DA1520"/>
    <w:rsid w:val="00DA3D18"/>
    <w:rsid w:val="00DA7547"/>
    <w:rsid w:val="00DB3A4E"/>
    <w:rsid w:val="00DC0273"/>
    <w:rsid w:val="00DC08A7"/>
    <w:rsid w:val="00DC1BDF"/>
    <w:rsid w:val="00DC67D9"/>
    <w:rsid w:val="00DC6AC9"/>
    <w:rsid w:val="00DC7963"/>
    <w:rsid w:val="00DD3366"/>
    <w:rsid w:val="00DE6841"/>
    <w:rsid w:val="00DF0E6D"/>
    <w:rsid w:val="00DF1BB5"/>
    <w:rsid w:val="00DF551A"/>
    <w:rsid w:val="00E0109A"/>
    <w:rsid w:val="00E03092"/>
    <w:rsid w:val="00E06170"/>
    <w:rsid w:val="00E067C2"/>
    <w:rsid w:val="00E122A1"/>
    <w:rsid w:val="00E21606"/>
    <w:rsid w:val="00E32EFE"/>
    <w:rsid w:val="00E35014"/>
    <w:rsid w:val="00E36885"/>
    <w:rsid w:val="00E36F82"/>
    <w:rsid w:val="00E44B5A"/>
    <w:rsid w:val="00E52C61"/>
    <w:rsid w:val="00E653CA"/>
    <w:rsid w:val="00E7020E"/>
    <w:rsid w:val="00E71FDA"/>
    <w:rsid w:val="00E7332A"/>
    <w:rsid w:val="00E77606"/>
    <w:rsid w:val="00E8179F"/>
    <w:rsid w:val="00E86572"/>
    <w:rsid w:val="00E918D6"/>
    <w:rsid w:val="00EA1B39"/>
    <w:rsid w:val="00EA5606"/>
    <w:rsid w:val="00EC3111"/>
    <w:rsid w:val="00EC32F1"/>
    <w:rsid w:val="00EC4980"/>
    <w:rsid w:val="00EC556A"/>
    <w:rsid w:val="00ED5F07"/>
    <w:rsid w:val="00EF3522"/>
    <w:rsid w:val="00EF3E44"/>
    <w:rsid w:val="00EF6AF8"/>
    <w:rsid w:val="00F01F5B"/>
    <w:rsid w:val="00F04C34"/>
    <w:rsid w:val="00F04F34"/>
    <w:rsid w:val="00F114EE"/>
    <w:rsid w:val="00F127E2"/>
    <w:rsid w:val="00F128FD"/>
    <w:rsid w:val="00F13C7C"/>
    <w:rsid w:val="00F15F8D"/>
    <w:rsid w:val="00F246AC"/>
    <w:rsid w:val="00F30BD1"/>
    <w:rsid w:val="00F36A03"/>
    <w:rsid w:val="00F36AD9"/>
    <w:rsid w:val="00F46E88"/>
    <w:rsid w:val="00F47D00"/>
    <w:rsid w:val="00F5437E"/>
    <w:rsid w:val="00F54978"/>
    <w:rsid w:val="00F62E6A"/>
    <w:rsid w:val="00F63757"/>
    <w:rsid w:val="00F67571"/>
    <w:rsid w:val="00F67C65"/>
    <w:rsid w:val="00F74DEA"/>
    <w:rsid w:val="00F80497"/>
    <w:rsid w:val="00F83E59"/>
    <w:rsid w:val="00F921FA"/>
    <w:rsid w:val="00FA207B"/>
    <w:rsid w:val="00FA3295"/>
    <w:rsid w:val="00FA3E27"/>
    <w:rsid w:val="00FA51B5"/>
    <w:rsid w:val="00FC4013"/>
    <w:rsid w:val="00FC4639"/>
    <w:rsid w:val="00FC467B"/>
    <w:rsid w:val="00FD1A6B"/>
    <w:rsid w:val="00FD5B32"/>
    <w:rsid w:val="00FE48DE"/>
    <w:rsid w:val="00FF61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96E6D"/>
  <w15:docId w15:val="{66A55C3E-23C0-4F59-A726-56252D2BD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00B1"/>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419D9"/>
    <w:pPr>
      <w:ind w:left="720"/>
      <w:contextualSpacing/>
    </w:pPr>
  </w:style>
  <w:style w:type="character" w:customStyle="1" w:styleId="journaltitlesp1">
    <w:name w:val="journaltitlesp1"/>
    <w:basedOn w:val="Fuentedeprrafopredeter"/>
    <w:rsid w:val="00523D0F"/>
    <w:rPr>
      <w:i/>
      <w:iCs/>
    </w:rPr>
  </w:style>
  <w:style w:type="character" w:customStyle="1" w:styleId="issuevolsp">
    <w:name w:val="issuevolsp"/>
    <w:basedOn w:val="Fuentedeprrafopredeter"/>
    <w:rsid w:val="00523D0F"/>
  </w:style>
  <w:style w:type="character" w:customStyle="1" w:styleId="pagerange">
    <w:name w:val="pagerange"/>
    <w:basedOn w:val="Fuentedeprrafopredeter"/>
    <w:rsid w:val="00523D0F"/>
  </w:style>
  <w:style w:type="paragraph" w:styleId="Textodeglobo">
    <w:name w:val="Balloon Text"/>
    <w:basedOn w:val="Normal"/>
    <w:link w:val="TextodegloboCar"/>
    <w:uiPriority w:val="99"/>
    <w:semiHidden/>
    <w:unhideWhenUsed/>
    <w:rsid w:val="007C7235"/>
    <w:rPr>
      <w:rFonts w:ascii="Tahoma" w:hAnsi="Tahoma" w:cs="Tahoma"/>
      <w:sz w:val="16"/>
      <w:szCs w:val="16"/>
    </w:rPr>
  </w:style>
  <w:style w:type="character" w:customStyle="1" w:styleId="TextodegloboCar">
    <w:name w:val="Texto de globo Car"/>
    <w:basedOn w:val="Fuentedeprrafopredeter"/>
    <w:link w:val="Textodeglobo"/>
    <w:uiPriority w:val="99"/>
    <w:semiHidden/>
    <w:rsid w:val="007C7235"/>
    <w:rPr>
      <w:rFonts w:ascii="Tahoma" w:hAnsi="Tahoma" w:cs="Tahoma"/>
      <w:sz w:val="16"/>
      <w:szCs w:val="16"/>
    </w:rPr>
  </w:style>
  <w:style w:type="paragraph" w:styleId="Sinespaciado">
    <w:name w:val="No Spacing"/>
    <w:uiPriority w:val="1"/>
    <w:qFormat/>
    <w:rsid w:val="00B5424E"/>
  </w:style>
  <w:style w:type="paragraph" w:styleId="Encabezado">
    <w:name w:val="header"/>
    <w:basedOn w:val="Normal"/>
    <w:link w:val="EncabezadoCar"/>
    <w:uiPriority w:val="99"/>
    <w:unhideWhenUsed/>
    <w:rsid w:val="00CC1ECE"/>
    <w:pPr>
      <w:tabs>
        <w:tab w:val="center" w:pos="4680"/>
        <w:tab w:val="right" w:pos="9360"/>
      </w:tabs>
    </w:pPr>
  </w:style>
  <w:style w:type="character" w:customStyle="1" w:styleId="EncabezadoCar">
    <w:name w:val="Encabezado Car"/>
    <w:basedOn w:val="Fuentedeprrafopredeter"/>
    <w:link w:val="Encabezado"/>
    <w:uiPriority w:val="99"/>
    <w:rsid w:val="00CC1ECE"/>
  </w:style>
  <w:style w:type="paragraph" w:styleId="Piedepgina">
    <w:name w:val="footer"/>
    <w:basedOn w:val="Normal"/>
    <w:link w:val="PiedepginaCar"/>
    <w:uiPriority w:val="99"/>
    <w:unhideWhenUsed/>
    <w:rsid w:val="00CC1ECE"/>
    <w:pPr>
      <w:tabs>
        <w:tab w:val="center" w:pos="4680"/>
        <w:tab w:val="right" w:pos="9360"/>
      </w:tabs>
    </w:pPr>
  </w:style>
  <w:style w:type="character" w:customStyle="1" w:styleId="PiedepginaCar">
    <w:name w:val="Pie de página Car"/>
    <w:basedOn w:val="Fuentedeprrafopredeter"/>
    <w:link w:val="Piedepgina"/>
    <w:uiPriority w:val="99"/>
    <w:rsid w:val="00CC1ECE"/>
  </w:style>
  <w:style w:type="character" w:styleId="Hipervnculo">
    <w:name w:val="Hyperlink"/>
    <w:basedOn w:val="Fuentedeprrafopredeter"/>
    <w:uiPriority w:val="99"/>
    <w:unhideWhenUsed/>
    <w:rsid w:val="00943813"/>
    <w:rPr>
      <w:color w:val="0000FF" w:themeColor="hyperlink"/>
      <w:u w:val="single"/>
    </w:rPr>
  </w:style>
  <w:style w:type="character" w:styleId="Hipervnculovisitado">
    <w:name w:val="FollowedHyperlink"/>
    <w:basedOn w:val="Fuentedeprrafopredeter"/>
    <w:uiPriority w:val="99"/>
    <w:semiHidden/>
    <w:unhideWhenUsed/>
    <w:rsid w:val="00F67571"/>
    <w:rPr>
      <w:color w:val="800080" w:themeColor="followedHyperlink"/>
      <w:u w:val="single"/>
    </w:rPr>
  </w:style>
  <w:style w:type="table" w:styleId="Tablaconcuadrcula">
    <w:name w:val="Table Grid"/>
    <w:basedOn w:val="Tablanormal"/>
    <w:uiPriority w:val="59"/>
    <w:rsid w:val="004B56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122A1"/>
    <w:rPr>
      <w:rFonts w:ascii="Times New Roman" w:hAnsi="Times New Roman" w:cs="Times New Roman"/>
      <w:sz w:val="24"/>
      <w:szCs w:val="24"/>
    </w:rPr>
  </w:style>
  <w:style w:type="character" w:customStyle="1" w:styleId="A6">
    <w:name w:val="A6"/>
    <w:uiPriority w:val="99"/>
    <w:rsid w:val="00321528"/>
    <w:rPr>
      <w:color w:val="000000"/>
      <w:sz w:val="21"/>
      <w:szCs w:val="21"/>
    </w:rPr>
  </w:style>
  <w:style w:type="character" w:customStyle="1" w:styleId="UnresolvedMention1">
    <w:name w:val="Unresolved Mention1"/>
    <w:basedOn w:val="Fuentedeprrafopredeter"/>
    <w:uiPriority w:val="99"/>
    <w:semiHidden/>
    <w:unhideWhenUsed/>
    <w:rsid w:val="00DA1520"/>
    <w:rPr>
      <w:color w:val="605E5C"/>
      <w:shd w:val="clear" w:color="auto" w:fill="E1DFDD"/>
    </w:rPr>
  </w:style>
  <w:style w:type="paragraph" w:customStyle="1" w:styleId="Default">
    <w:name w:val="Default"/>
    <w:rsid w:val="00692F42"/>
    <w:pPr>
      <w:autoSpaceDE w:val="0"/>
      <w:autoSpaceDN w:val="0"/>
      <w:adjustRightInd w:val="0"/>
      <w:ind w:firstLine="0"/>
    </w:pPr>
    <w:rPr>
      <w:rFonts w:ascii="Avenir" w:hAnsi="Avenir" w:cs="Avenir"/>
      <w:color w:val="000000"/>
      <w:sz w:val="24"/>
      <w:szCs w:val="24"/>
      <w14:ligatures w14:val="standardContextual"/>
    </w:rPr>
  </w:style>
  <w:style w:type="character" w:styleId="Mencinsinresolver">
    <w:name w:val="Unresolved Mention"/>
    <w:basedOn w:val="Fuentedeprrafopredeter"/>
    <w:uiPriority w:val="99"/>
    <w:semiHidden/>
    <w:unhideWhenUsed/>
    <w:rsid w:val="000403B1"/>
    <w:rPr>
      <w:color w:val="605E5C"/>
      <w:shd w:val="clear" w:color="auto" w:fill="E1DFDD"/>
    </w:rPr>
  </w:style>
  <w:style w:type="character" w:styleId="Textodelmarcadordeposicin">
    <w:name w:val="Placeholder Text"/>
    <w:basedOn w:val="Fuentedeprrafopredeter"/>
    <w:uiPriority w:val="99"/>
    <w:semiHidden/>
    <w:rsid w:val="00922F5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02B99C-3094-44CE-BAF1-E4DE088BA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3144</Words>
  <Characters>17297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PTP</dc:creator>
  <cp:lastModifiedBy>JORGE</cp:lastModifiedBy>
  <cp:revision>1</cp:revision>
  <cp:lastPrinted>2026-05-24T20:42:00Z</cp:lastPrinted>
  <dcterms:created xsi:type="dcterms:W3CDTF">2026-09-25T17:47:00Z</dcterms:created>
  <dcterms:modified xsi:type="dcterms:W3CDTF">2026-10-03T03:09:00Z</dcterms:modified>
</cp:coreProperties>
</file>