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B7FB" w14:textId="53E573FF" w:rsidR="00002847" w:rsidRDefault="00C16280" w:rsidP="00E57D88">
      <w:pPr>
        <w:pStyle w:val="Ttulo1"/>
        <w:tabs>
          <w:tab w:val="left" w:pos="2257"/>
        </w:tabs>
        <w:ind w:left="360"/>
      </w:pPr>
      <w:r>
        <w:rPr>
          <w:noProof/>
        </w:rPr>
        <mc:AlternateContent>
          <mc:Choice Requires="wpg">
            <w:drawing>
              <wp:anchor distT="0" distB="0" distL="0" distR="0" simplePos="0" relativeHeight="251658240" behindDoc="0" locked="0" layoutInCell="1" allowOverlap="1" wp14:anchorId="5862C31E" wp14:editId="36751634">
                <wp:simplePos x="0" y="0"/>
                <wp:positionH relativeFrom="page">
                  <wp:posOffset>5985510</wp:posOffset>
                </wp:positionH>
                <wp:positionV relativeFrom="paragraph">
                  <wp:posOffset>76826</wp:posOffset>
                </wp:positionV>
                <wp:extent cx="1452245" cy="93154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2245" cy="931544"/>
                          <a:chOff x="0" y="0"/>
                          <a:chExt cx="1452245" cy="931544"/>
                        </a:xfrm>
                      </wpg:grpSpPr>
                      <pic:pic xmlns:pic="http://schemas.openxmlformats.org/drawingml/2006/picture">
                        <pic:nvPicPr>
                          <pic:cNvPr id="4" name="Image 4"/>
                          <pic:cNvPicPr/>
                        </pic:nvPicPr>
                        <pic:blipFill>
                          <a:blip r:embed="rId7" cstate="print"/>
                          <a:stretch>
                            <a:fillRect/>
                          </a:stretch>
                        </pic:blipFill>
                        <pic:spPr>
                          <a:xfrm>
                            <a:off x="25400" y="25400"/>
                            <a:ext cx="1401317" cy="880745"/>
                          </a:xfrm>
                          <a:prstGeom prst="rect">
                            <a:avLst/>
                          </a:prstGeom>
                        </pic:spPr>
                      </pic:pic>
                      <wps:wsp>
                        <wps:cNvPr id="5" name="Graphic 5"/>
                        <wps:cNvSpPr/>
                        <wps:spPr>
                          <a:xfrm>
                            <a:off x="12700" y="12700"/>
                            <a:ext cx="1426845" cy="906144"/>
                          </a:xfrm>
                          <a:custGeom>
                            <a:avLst/>
                            <a:gdLst/>
                            <a:ahLst/>
                            <a:cxnLst/>
                            <a:rect l="l" t="t" r="r" b="b"/>
                            <a:pathLst>
                              <a:path w="1426845" h="906144">
                                <a:moveTo>
                                  <a:pt x="0" y="906145"/>
                                </a:moveTo>
                                <a:lnTo>
                                  <a:pt x="1426717" y="906145"/>
                                </a:lnTo>
                                <a:lnTo>
                                  <a:pt x="1426717" y="0"/>
                                </a:lnTo>
                                <a:lnTo>
                                  <a:pt x="0" y="0"/>
                                </a:lnTo>
                                <a:lnTo>
                                  <a:pt x="0" y="90614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DBF598" id="Group 3" o:spid="_x0000_s1026" style="position:absolute;margin-left:471.3pt;margin-top:6.05pt;width:114.35pt;height:73.35pt;z-index:251658240;mso-wrap-distance-left:0;mso-wrap-distance-right:0;mso-position-horizontal-relative:page" coordsize="14522,9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54;top:254;width:14013;height:8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">
                  <v:imagedata r:id="rId8" o:title=""/>
                </v:shape>
                <v:shape id="Graphic 5" o:spid="_x0000_s1028" style="position:absolute;left:127;top:127;width:14268;height:9061;visibility:visible;mso-wrap-style:square;v-text-anchor:top" coordsize="1426845,90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" path="m,906145r1426717,l1426717,,,,,906145xe" filled="f" strokeweight="2pt">
                  <v:path arrowok="t"/>
                </v:shape>
                <w10:wrap anchorx="page"/>
              </v:group>
            </w:pict>
          </mc:Fallback>
        </mc:AlternateContent>
      </w:r>
      <w:r>
        <w:rPr>
          <w:noProof/>
        </w:rPr>
        <w:drawing>
          <wp:inline distT="0" distB="0" distL="0" distR="0" wp14:anchorId="50F6CC99" wp14:editId="2713E632">
            <wp:extent cx="956944" cy="9569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956944" cy="956945"/>
                    </a:xfrm>
                    <a:prstGeom prst="rect">
                      <a:avLst/>
                    </a:prstGeom>
                  </pic:spPr>
                </pic:pic>
              </a:graphicData>
            </a:graphic>
          </wp:inline>
        </w:drawing>
      </w:r>
      <w:r>
        <w:rPr>
          <w:rFonts w:ascii="Times New Roman"/>
          <w:sz w:val="20"/>
        </w:rPr>
        <w:tab/>
      </w:r>
      <w:r>
        <w:t>Revisión de la literatura del IPHMI</w:t>
      </w:r>
    </w:p>
    <w:p w14:paraId="76FAD1A7" w14:textId="77777777" w:rsidR="00002847" w:rsidRDefault="00C16280" w:rsidP="00E57D88">
      <w:pPr>
        <w:spacing w:before="4"/>
        <w:ind w:left="345"/>
        <w:jc w:val="center"/>
        <w:rPr>
          <w:sz w:val="28"/>
        </w:rPr>
      </w:pPr>
      <w:r>
        <w:rPr>
          <w:sz w:val="28"/>
        </w:rPr>
        <w:t>Manteniéndolo al día con la literatura y los estudios actuales de EMS</w:t>
      </w:r>
    </w:p>
    <w:p w14:paraId="0F49D9B9" w14:textId="77777777" w:rsidR="00002847" w:rsidRDefault="00C16280" w:rsidP="00E57D88">
      <w:pPr>
        <w:pStyle w:val="Ttulo1"/>
        <w:ind w:right="1984"/>
        <w:jc w:val="center"/>
      </w:pPr>
      <w:r>
        <w:t>Vol. 8.2</w:t>
      </w:r>
    </w:p>
    <w:p w14:paraId="1F3250F8" w14:textId="77777777" w:rsidR="00002847" w:rsidRDefault="00002847" w:rsidP="00E57D88">
      <w:pPr>
        <w:pStyle w:val="Textoindependiente"/>
        <w:spacing w:before="4"/>
        <w:ind w:firstLine="0"/>
        <w:rPr>
          <w:sz w:val="40"/>
        </w:rPr>
      </w:pPr>
    </w:p>
    <w:p w14:paraId="68590DDD" w14:textId="77777777" w:rsidR="00002847" w:rsidRDefault="00C16280" w:rsidP="00E57D88">
      <w:pPr>
        <w:pStyle w:val="Prrafodelista"/>
        <w:numPr>
          <w:ilvl w:val="0"/>
          <w:numId w:val="2"/>
        </w:numPr>
        <w:tabs>
          <w:tab w:val="left" w:pos="358"/>
          <w:tab w:val="left" w:pos="360"/>
        </w:tabs>
        <w:spacing w:before="4"/>
        <w:ind w:right="610"/>
      </w:pPr>
      <w:r>
        <w:rPr>
          <w:b/>
        </w:rPr>
        <w:t xml:space="preserve">No resucite (DNR) la variación del protocolo de servicios médicos de emergencia (EMS) en los Estados Unidos. </w:t>
      </w:r>
      <w:proofErr w:type="spellStart"/>
      <w:r>
        <w:t>Breyre</w:t>
      </w:r>
      <w:proofErr w:type="spellEnd"/>
      <w:r>
        <w:t xml:space="preserve"> A, </w:t>
      </w:r>
      <w:proofErr w:type="spellStart"/>
      <w:r>
        <w:t>Merkle</w:t>
      </w:r>
      <w:proofErr w:type="spellEnd"/>
      <w:r>
        <w:t xml:space="preserve">-Scotland E, Yang D, et al. </w:t>
      </w:r>
      <w:proofErr w:type="spellStart"/>
      <w:r>
        <w:rPr>
          <w:i/>
        </w:rPr>
        <w:t>Amer</w:t>
      </w:r>
      <w:proofErr w:type="spellEnd"/>
      <w:r>
        <w:rPr>
          <w:i/>
        </w:rPr>
        <w:t xml:space="preserve"> J </w:t>
      </w:r>
      <w:proofErr w:type="spellStart"/>
      <w:r>
        <w:rPr>
          <w:i/>
        </w:rPr>
        <w:t>Emerg</w:t>
      </w:r>
      <w:proofErr w:type="spellEnd"/>
      <w:r>
        <w:rPr>
          <w:i/>
        </w:rPr>
        <w:t xml:space="preserve"> </w:t>
      </w:r>
      <w:proofErr w:type="spellStart"/>
      <w:r>
        <w:rPr>
          <w:i/>
        </w:rPr>
        <w:t>Med</w:t>
      </w:r>
      <w:proofErr w:type="spellEnd"/>
      <w:r>
        <w:rPr>
          <w:i/>
        </w:rPr>
        <w:t xml:space="preserve"> </w:t>
      </w:r>
      <w:r>
        <w:t>2025;97:123-128.</w:t>
      </w:r>
    </w:p>
    <w:p w14:paraId="3B75B3F9" w14:textId="77777777" w:rsidR="00002847" w:rsidRDefault="00C16280" w:rsidP="00E57D88">
      <w:pPr>
        <w:pStyle w:val="Prrafodelista"/>
        <w:numPr>
          <w:ilvl w:val="0"/>
          <w:numId w:val="2"/>
        </w:numPr>
        <w:tabs>
          <w:tab w:val="left" w:pos="358"/>
          <w:tab w:val="left" w:pos="360"/>
        </w:tabs>
        <w:spacing w:before="4"/>
      </w:pPr>
      <w:r>
        <w:rPr>
          <w:b/>
        </w:rPr>
        <w:t xml:space="preserve">¿Se debe hacer algo más además de la reanimación cardiopulmonar (RCP) prehospitalaria? El papel de la RCP y las intervenciones prehospitalarias después de un paro cardíaco traumático. </w:t>
      </w:r>
      <w:proofErr w:type="spellStart"/>
      <w:r>
        <w:t>McWilliam</w:t>
      </w:r>
      <w:proofErr w:type="spellEnd"/>
      <w:r>
        <w:t xml:space="preserve"> SE, Bach JP, Wilson KM, et al</w:t>
      </w:r>
      <w:r>
        <w:rPr>
          <w:i/>
        </w:rPr>
        <w:t xml:space="preserve">. J </w:t>
      </w:r>
      <w:proofErr w:type="spellStart"/>
      <w:r>
        <w:rPr>
          <w:i/>
        </w:rPr>
        <w:t>Emerg</w:t>
      </w:r>
      <w:proofErr w:type="spellEnd"/>
      <w:r>
        <w:rPr>
          <w:i/>
        </w:rPr>
        <w:t xml:space="preserve"> </w:t>
      </w:r>
      <w:proofErr w:type="spellStart"/>
      <w:r>
        <w:rPr>
          <w:i/>
        </w:rPr>
        <w:t>Med</w:t>
      </w:r>
      <w:proofErr w:type="spellEnd"/>
      <w:r>
        <w:rPr>
          <w:i/>
        </w:rPr>
        <w:t xml:space="preserve"> </w:t>
      </w:r>
      <w:r>
        <w:t>2025; 75: 289–295.</w:t>
      </w:r>
    </w:p>
    <w:p w14:paraId="2D862562" w14:textId="77777777" w:rsidR="00002847" w:rsidRDefault="00C16280" w:rsidP="00E57D88">
      <w:pPr>
        <w:pStyle w:val="Prrafodelista"/>
        <w:numPr>
          <w:ilvl w:val="0"/>
          <w:numId w:val="2"/>
        </w:numPr>
        <w:tabs>
          <w:tab w:val="left" w:pos="358"/>
          <w:tab w:val="left" w:pos="360"/>
        </w:tabs>
        <w:spacing w:before="4"/>
        <w:ind w:right="123"/>
      </w:pPr>
      <w:r>
        <w:rPr>
          <w:b/>
        </w:rPr>
        <w:t>Ácido tranexámico en traumatismos: una declaración de posición conjunta y un documento de recursos de NAEMSP, ACEP y ACS-COT</w:t>
      </w:r>
      <w:r>
        <w:t xml:space="preserve">. Barrett WJ, </w:t>
      </w:r>
      <w:proofErr w:type="spellStart"/>
      <w:r>
        <w:t>Kaucher</w:t>
      </w:r>
      <w:proofErr w:type="spellEnd"/>
      <w:r>
        <w:t xml:space="preserve"> KA, </w:t>
      </w:r>
      <w:proofErr w:type="spellStart"/>
      <w:r>
        <w:t>Orpet</w:t>
      </w:r>
      <w:proofErr w:type="spellEnd"/>
      <w:r>
        <w:t xml:space="preserve"> RE, et al. </w:t>
      </w:r>
      <w:r>
        <w:rPr>
          <w:i/>
        </w:rPr>
        <w:t>J Cirugía de cuidados agudos de trauma.</w:t>
      </w:r>
      <w:r>
        <w:t xml:space="preserve"> 2025; 99: 357–363</w:t>
      </w:r>
    </w:p>
    <w:p w14:paraId="0E54F6D9" w14:textId="77777777" w:rsidR="00002847" w:rsidRDefault="00002847" w:rsidP="00E57D88">
      <w:pPr>
        <w:pStyle w:val="Textoindependiente"/>
        <w:spacing w:before="4"/>
        <w:ind w:firstLine="0"/>
      </w:pPr>
    </w:p>
    <w:p w14:paraId="6C8E98EE" w14:textId="5340779A" w:rsidR="00002847" w:rsidRDefault="00C16280" w:rsidP="00E57D88">
      <w:pPr>
        <w:pStyle w:val="Prrafodelista"/>
        <w:numPr>
          <w:ilvl w:val="0"/>
          <w:numId w:val="1"/>
        </w:numPr>
        <w:tabs>
          <w:tab w:val="left" w:pos="358"/>
          <w:tab w:val="left" w:pos="360"/>
        </w:tabs>
        <w:spacing w:before="4"/>
        <w:ind w:right="610"/>
      </w:pPr>
      <w:r>
        <w:rPr>
          <w:b/>
        </w:rPr>
        <w:t>No resucite (DNR) la variación del protocolo de servicios médicos de emergencia (</w:t>
      </w:r>
      <w:r w:rsidR="00E57D88">
        <w:rPr>
          <w:b/>
        </w:rPr>
        <w:t>SMU</w:t>
      </w:r>
      <w:r>
        <w:rPr>
          <w:b/>
        </w:rPr>
        <w:t xml:space="preserve">) en los Estados Unidos. </w:t>
      </w:r>
      <w:proofErr w:type="spellStart"/>
      <w:r>
        <w:t>Breyre</w:t>
      </w:r>
      <w:proofErr w:type="spellEnd"/>
      <w:r>
        <w:t xml:space="preserve"> A, </w:t>
      </w:r>
      <w:proofErr w:type="spellStart"/>
      <w:r>
        <w:t>Merkle</w:t>
      </w:r>
      <w:proofErr w:type="spellEnd"/>
      <w:r>
        <w:t xml:space="preserve">-Scotland E, Yang D, et al. </w:t>
      </w:r>
      <w:proofErr w:type="spellStart"/>
      <w:r>
        <w:rPr>
          <w:i/>
        </w:rPr>
        <w:t>Amer</w:t>
      </w:r>
      <w:proofErr w:type="spellEnd"/>
      <w:r>
        <w:rPr>
          <w:i/>
        </w:rPr>
        <w:t xml:space="preserve"> J </w:t>
      </w:r>
      <w:proofErr w:type="spellStart"/>
      <w:r>
        <w:rPr>
          <w:i/>
        </w:rPr>
        <w:t>Emerg</w:t>
      </w:r>
      <w:proofErr w:type="spellEnd"/>
      <w:r>
        <w:rPr>
          <w:i/>
        </w:rPr>
        <w:t xml:space="preserve"> </w:t>
      </w:r>
      <w:proofErr w:type="spellStart"/>
      <w:r>
        <w:rPr>
          <w:i/>
        </w:rPr>
        <w:t>Med</w:t>
      </w:r>
      <w:proofErr w:type="spellEnd"/>
      <w:r>
        <w:rPr>
          <w:i/>
        </w:rPr>
        <w:t xml:space="preserve"> </w:t>
      </w:r>
      <w:r>
        <w:t>2025;97:123-128.</w:t>
      </w:r>
    </w:p>
    <w:p w14:paraId="358DC1D8" w14:textId="77777777" w:rsidR="00002847" w:rsidRDefault="00002847" w:rsidP="00E57D88">
      <w:pPr>
        <w:pStyle w:val="Textoindependiente"/>
        <w:spacing w:before="4"/>
        <w:ind w:firstLine="0"/>
      </w:pPr>
    </w:p>
    <w:p w14:paraId="1A525E27" w14:textId="77777777" w:rsidR="00002847" w:rsidRDefault="00C16280" w:rsidP="00E57D88">
      <w:pPr>
        <w:pStyle w:val="Textoindependiente"/>
        <w:spacing w:before="4"/>
      </w:pPr>
      <w:r>
        <w:t>Desde el inicio de la reanimación cardiopulmonar, ha existido la preocupación de que la adopción de esfuerzos de reanimación universales pueda ser perjudicial o en contra de los deseos y creencias de algunos pacientes. A lo largo de los años, los hospitales han adoptado el uso de las órdenes de No resucitar (DNR), No intentar reanimación (DNAR) y Permitir muerte natural (AND) para ese subconjunto de pacientes.</w:t>
      </w:r>
    </w:p>
    <w:p w14:paraId="64F2BA1C" w14:textId="3A10EFD9" w:rsidR="00002847" w:rsidRDefault="00C16280" w:rsidP="00E57D88">
      <w:pPr>
        <w:pStyle w:val="Textoindependiente"/>
        <w:spacing w:before="4"/>
      </w:pPr>
      <w:r>
        <w:t>Si bien la mayoría de los sistemas de S</w:t>
      </w:r>
      <w:r w:rsidR="00E57D88">
        <w:t>MU</w:t>
      </w:r>
      <w:r>
        <w:t xml:space="preserve"> tienen protocolos que abordan la clara necesidad de reanimación, no todos los sistemas de S</w:t>
      </w:r>
      <w:r w:rsidR="00E57D88">
        <w:t>MU</w:t>
      </w:r>
      <w:r>
        <w:t xml:space="preserve"> tienen protocolos claros y concisos que abordan las necesidades del paciente que no desea ser reanimado. Los protocolos sólidos de DNR tienen muchos beneficios; eliminando el transporte innecesario, costoso y potencialmente peligroso de pacientes que no desean ser resucitados, reduciendo el estrés del proveedor y los esfuerzos inútiles para los pacientes que no sobrevivirán o ya no funcionan con la calidad de vida deseada. También surgen preguntas sobre la validez de las órdenes de DNR prehospitalarias que incluyen directivas anticipadas, testamentos vitales, solicitudes verbales de familiares u otros tomadores de decisiones, órdenes médicas formales e incluso joyas. Una consideración adicional para los proveedores de S</w:t>
      </w:r>
      <w:r w:rsidR="00E57D88">
        <w:t>MU</w:t>
      </w:r>
      <w:r>
        <w:t xml:space="preserve"> es el grado de atención que un paciente desea recibir al final de la vida y dónde desea recibir esa atención.</w:t>
      </w:r>
    </w:p>
    <w:p w14:paraId="4EDAAA00" w14:textId="53D14A2C" w:rsidR="00002847" w:rsidRDefault="00C16280" w:rsidP="00E57D88">
      <w:pPr>
        <w:pStyle w:val="Textoindependiente"/>
        <w:spacing w:before="4"/>
      </w:pPr>
      <w:r>
        <w:t>La intención de este estudio diseñado transversalmente exento del IRB de la Universidad de Yale fue recopilar, examinar y comparar los protocolos de S</w:t>
      </w:r>
      <w:r w:rsidR="00E57D88">
        <w:t>MU</w:t>
      </w:r>
      <w:r>
        <w:t xml:space="preserve"> DNR de los 50 estados, Washington DC y las 50 ciudades más pobladas de EE. UU. Todos los datos se obtuvieron públicamente y, a menudo, se localizaron a través de búsquedas en Internet. En los casos en que las ciudades usaron protocolos estatales o cuando varias ciudades usaron los mismos protocolos, solo se utilizó una fuente de datos para el estudio.</w:t>
      </w:r>
    </w:p>
    <w:p w14:paraId="35B89612" w14:textId="4BBAD16E" w:rsidR="00002847" w:rsidRDefault="00C16280" w:rsidP="00E57D88">
      <w:pPr>
        <w:pStyle w:val="Textoindependiente"/>
        <w:spacing w:before="4"/>
        <w:ind w:right="28"/>
      </w:pPr>
      <w:r>
        <w:t xml:space="preserve">Los autores identificaron 64 protocolos para revisión, de los cuales, el 84,4% contenía un protocolo DNR. Se requirieron directivas anticipadas el 50% de las veces para activar un protocolo de DNR y el 12.9% de los protocolos permitieron la activación de un testamento vital. Estos números son </w:t>
      </w:r>
      <w:r>
        <w:lastRenderedPageBreak/>
        <w:t>ligeramente más altos cuando se combinan con la supervisión médica directa para la aceptación de directivas anticipadas y testamentos vitales. Pocos protocolos permitieron la aceptación de DNR escritos fuera del estado (20.3%). El cuarenta y uno por ciento de los protocolos revisados contenían verborrea que específicamente no permitía DNR verbales. En algunos casos, se permitió que la supervisión médica directa autorizara a los proveedores de S</w:t>
      </w:r>
      <w:r w:rsidR="00E57D88">
        <w:t>MU</w:t>
      </w:r>
      <w:r>
        <w:t xml:space="preserve"> a cumplir con los DNR verbales de un proveedor de atención médica (18.5%) o de un miembro de la familia del paciente (29.6%). Las órdenes médicas portátiles (es decir, POLST) se permitieron en el 75,9% de los protocolos de DNR. Pedidos portátiles</w:t>
      </w:r>
    </w:p>
    <w:p w14:paraId="056202BD" w14:textId="77777777" w:rsidR="00002847" w:rsidRDefault="00002847" w:rsidP="00E57D88">
      <w:pPr>
        <w:pStyle w:val="Textoindependiente"/>
        <w:spacing w:before="4"/>
        <w:sectPr w:rsidR="00002847">
          <w:headerReference w:type="default" r:id="rId10"/>
          <w:footerReference w:type="default" r:id="rId11"/>
          <w:type w:val="continuous"/>
          <w:pgSz w:w="12240" w:h="15840"/>
          <w:pgMar w:top="1380" w:right="1440" w:bottom="1200" w:left="1440" w:header="796" w:footer="1007" w:gutter="0"/>
          <w:pgNumType w:start="1"/>
          <w:cols w:space="720"/>
        </w:sectPr>
      </w:pPr>
    </w:p>
    <w:p w14:paraId="1C0FCA1B" w14:textId="77777777" w:rsidR="00002847" w:rsidRDefault="00C16280" w:rsidP="00E57D88">
      <w:pPr>
        <w:pStyle w:val="Textoindependiente"/>
        <w:spacing w:before="4"/>
        <w:ind w:firstLine="0"/>
      </w:pPr>
      <w:r>
        <w:lastRenderedPageBreak/>
        <w:t>para el tratamiento de soporte vital (POLST) proporcionan órdenes médicas procesables en un formato estandarizado, lo que permite a los pacientes identificar sus preferencias de atención en detalle.</w:t>
      </w:r>
    </w:p>
    <w:p w14:paraId="24C91F30" w14:textId="77777777" w:rsidR="00002847" w:rsidRDefault="00C16280" w:rsidP="00E57D88">
      <w:pPr>
        <w:pStyle w:val="Textoindependiente"/>
        <w:spacing w:before="4"/>
      </w:pPr>
      <w:r>
        <w:t>Los autores identificaron algunas limitaciones de su trabajo. Sintieron que los estados sin protocolos estatales estaban subrepresentados, mientras que las áreas geográficas con múltiples centros poblados estaban sobrerrepresentadas. Algunos de los protocolos incluidos pueden describirse mejor como pautas que como protocolos.</w:t>
      </w:r>
    </w:p>
    <w:p w14:paraId="52BE42D0" w14:textId="77777777" w:rsidR="00002847" w:rsidRDefault="00C16280" w:rsidP="00E57D88">
      <w:pPr>
        <w:pStyle w:val="Textoindependiente"/>
        <w:spacing w:before="4"/>
        <w:ind w:firstLine="0"/>
      </w:pPr>
      <w:r>
        <w:t>También reconocen que los estados y regiones pueden tener leyes y estatutos que definan el DNR y la retención</w:t>
      </w:r>
    </w:p>
    <w:p w14:paraId="6815FF40" w14:textId="77777777" w:rsidR="00002847" w:rsidRDefault="00C16280" w:rsidP="00E57D88">
      <w:pPr>
        <w:pStyle w:val="Textoindependiente"/>
        <w:spacing w:before="4"/>
        <w:ind w:firstLine="0"/>
      </w:pPr>
      <w:r>
        <w:t>que no están expresamente representados en los protocolos de la región.</w:t>
      </w:r>
    </w:p>
    <w:p w14:paraId="2EEE245A" w14:textId="6D49C914" w:rsidR="00002847" w:rsidRDefault="00C16280" w:rsidP="00E57D88">
      <w:pPr>
        <w:pStyle w:val="Textoindependiente"/>
        <w:spacing w:before="4"/>
        <w:ind w:right="71"/>
      </w:pPr>
      <w:r>
        <w:t>Si bien se puede encontrar un protocolo DNR en muchos protocolos de S</w:t>
      </w:r>
      <w:r w:rsidR="00E57D88">
        <w:t>MU</w:t>
      </w:r>
      <w:r>
        <w:t xml:space="preserve"> estatales y municipales, no existe un formato o documento que pueda aceptarse de manera uniforme en todos los límites geográficos. Los proveedores de S</w:t>
      </w:r>
      <w:r w:rsidR="00E57D88">
        <w:t>MU</w:t>
      </w:r>
      <w:r>
        <w:t xml:space="preserve"> y todos los trabajadores de la salud deben ser sensibles a las directivas de los pacientes al final de la vida. Un formulario estandarizado, fácil de leer y comprender para todos los proveedores con protocolos de S</w:t>
      </w:r>
      <w:r w:rsidR="00E57D88">
        <w:t>MU</w:t>
      </w:r>
      <w:r>
        <w:t xml:space="preserve"> que permitan su uso inmediato facilitaría las decisiones de atención al final de la vida por parte de los proveedores y garantizaría que se cumplan los deseos del paciente.</w:t>
      </w:r>
    </w:p>
    <w:p w14:paraId="00F54BF8" w14:textId="77777777" w:rsidR="00002847" w:rsidRDefault="00002847" w:rsidP="00E57D88">
      <w:pPr>
        <w:pStyle w:val="Textoindependiente"/>
        <w:spacing w:before="4"/>
        <w:ind w:firstLine="0"/>
      </w:pPr>
    </w:p>
    <w:p w14:paraId="5D701034" w14:textId="77777777" w:rsidR="00002847" w:rsidRDefault="00C16280" w:rsidP="00E57D88">
      <w:pPr>
        <w:pStyle w:val="Prrafodelista"/>
        <w:numPr>
          <w:ilvl w:val="0"/>
          <w:numId w:val="1"/>
        </w:numPr>
        <w:tabs>
          <w:tab w:val="left" w:pos="358"/>
          <w:tab w:val="left" w:pos="360"/>
        </w:tabs>
        <w:spacing w:before="4"/>
      </w:pPr>
      <w:r>
        <w:rPr>
          <w:b/>
        </w:rPr>
        <w:t xml:space="preserve">¿Se debe hacer algo más además de la reanimación cardiopulmonar (RCP) prehospitalaria? El papel de la RCP y las intervenciones prehospitalarias después de un paro cardíaco traumático. </w:t>
      </w:r>
      <w:proofErr w:type="spellStart"/>
      <w:r>
        <w:t>McWilliam</w:t>
      </w:r>
      <w:proofErr w:type="spellEnd"/>
      <w:r>
        <w:t xml:space="preserve"> SE, Bach JP, Wilson KM, et al. J </w:t>
      </w:r>
      <w:proofErr w:type="spellStart"/>
      <w:r>
        <w:t>Emerg</w:t>
      </w:r>
      <w:proofErr w:type="spellEnd"/>
      <w:r>
        <w:t xml:space="preserve"> </w:t>
      </w:r>
      <w:proofErr w:type="spellStart"/>
      <w:r>
        <w:t>Med</w:t>
      </w:r>
      <w:proofErr w:type="spellEnd"/>
      <w:r>
        <w:t xml:space="preserve"> 2025; 75: 289–295.</w:t>
      </w:r>
    </w:p>
    <w:p w14:paraId="2F2A940D" w14:textId="77777777" w:rsidR="00002847" w:rsidRDefault="00C16280" w:rsidP="00E57D88">
      <w:pPr>
        <w:pStyle w:val="Textoindependiente"/>
        <w:spacing w:before="4"/>
      </w:pPr>
      <w:r>
        <w:t>Las lesiones traumáticas son una de las principales causas de muerte en los EE. UU. y el 34% de las muertes por traumatismos ocurren antes del transporte y la llegada al hospital. La supervivencia general del paro cardíaco traumático varía entre el 2% y el 8% Este estudio buscó investigar los factores asociados con la supervivencia del paro cardíaco traumático (ATC) en pacientes que reciben RCP prehospitalaria.</w:t>
      </w:r>
    </w:p>
    <w:p w14:paraId="0F7E9104" w14:textId="77777777" w:rsidR="00002847" w:rsidRDefault="00C16280" w:rsidP="00E57D88">
      <w:pPr>
        <w:pStyle w:val="Textoindependiente"/>
        <w:spacing w:before="4"/>
        <w:ind w:right="34"/>
      </w:pPr>
      <w:r>
        <w:t xml:space="preserve">Los autores realizaron un estudio retrospectivo de todos los pacientes adultos con traumatismos a los que se les realizó RCP en el campo y fueron transportados a un centro de trauma académico de nivel 1 verificado por el Colegio Americano de Cirujanos (ACS) entre el 1 de enero de 2014 y el 31 de diciembre de 2022. Los datos se recopilaron del informe de atención al paciente de EMS y del departamento de emergencias (ED). el registro de traumatismos. Los datos prehospitalarios incluyeron el mecanismo de la lesión, los signos vitales y la puntuación de la escala de coma de Glasgow y las intervenciones de campo, así como a la llegada al servicio de urgencias, incluidos GCS, escala de gravedad de la lesión, AIS (escala abreviada de lesiones), productos sanguíneos transfundidos y la necesidad de procedimientos de control de hemorragias (toracotomía, </w:t>
      </w:r>
      <w:proofErr w:type="spellStart"/>
      <w:r>
        <w:t>angioembolización</w:t>
      </w:r>
      <w:proofErr w:type="spellEnd"/>
      <w:r>
        <w:t>, laparotomía). Los pacientes se dividieron en dos cohortes: aquellos con pulso palpable al llegar al servicio de urgencias (que era la medida de resultado primaria) y aquellos que llegaron sin pulso. Los resultados secundarios fueron la mortalidad hospitalaria y de urgencias, las tasas de donación de órganos, la duración de la estancia hospitalaria y en la UCI de los supervivientes y los días con respiradores.</w:t>
      </w:r>
    </w:p>
    <w:p w14:paraId="058DF536" w14:textId="77777777" w:rsidR="00002847" w:rsidRDefault="00C16280" w:rsidP="00E57D88">
      <w:pPr>
        <w:pStyle w:val="Textoindependiente"/>
        <w:spacing w:before="4"/>
        <w:ind w:right="28"/>
      </w:pPr>
      <w:r>
        <w:t>De los 244 pacientes con traumatismos a los que se les realizó RCP prehospitalaria, 72 o 30% llegaron a urgencias con pulso palpable, mientras que 172 o 70% llegaron sin pulso. No hubo diferencias en los signos vitales iniciales del campo entre los dos grupos. Los pacientes que llegaron con pulso tenían más probabilidades de tener una lesión contundente (76% frente a 63%), tener una vía aérea avanzada y ser desfibrilados. En general, y no es de extrañar, los pacientes que llegaban con pulso tenían una fisiología mejorada incluyendo presión arterial sistólica de 105 + 44, pulso de 111 + 31, GCS de 4 + 3, sin embargo, el 38% seguía siendo hipotenso (sistólica inferior a 90).</w:t>
      </w:r>
    </w:p>
    <w:p w14:paraId="3204D948" w14:textId="77777777" w:rsidR="00002847" w:rsidRDefault="00C16280" w:rsidP="00E57D88">
      <w:pPr>
        <w:pStyle w:val="Textoindependiente"/>
        <w:spacing w:before="4"/>
        <w:ind w:right="78" w:firstLine="0"/>
      </w:pPr>
      <w:r>
        <w:t xml:space="preserve">Aquellos con pulso recibieron más productos sanguíneos (7 + 14 vs. 1 + 6) y se les tomó para procedimientos de control de hemorragias con más frecuencia (26% vs. 0%). Los que llegaron con pulso tuvieron una menor mortalidad en el servicio de urgencias (19% frente al 94%) y mortalidad </w:t>
      </w:r>
      <w:r>
        <w:lastRenderedPageBreak/>
        <w:t>hospitalaria (65% frente al 100%). Los sobrevivientes pasaron muchos días en el hospital (21 + 16), en la UCI (14 + 15) y en el ventilador (10 + 11). En general, el 25 o el 10% de los 244 pacientes que acudieron al servicio de urgencias después de la RCP por ATC en el campo sobrevivieron hasta el alta hospitalaria.</w:t>
      </w:r>
    </w:p>
    <w:p w14:paraId="7F106FA0" w14:textId="53DFDCBF" w:rsidR="00002847" w:rsidRDefault="00C16280" w:rsidP="00E57D88">
      <w:pPr>
        <w:pStyle w:val="Textoindependiente"/>
        <w:spacing w:before="4"/>
        <w:ind w:right="32"/>
      </w:pPr>
      <w:r>
        <w:t>Las limitaciones de este estudio incluyen la falta de criterios estandarizados para el inicio de la RCP, el tiempo que se realizó la RCP y los criterios para el pronunciamiento de campo. Esta falta de estandarización puede afectar los datos del registro. La revisión posterior encontró que solo el 45.7% de los departamentos estatales de S</w:t>
      </w:r>
      <w:r w:rsidR="00E57D88">
        <w:t>MU</w:t>
      </w:r>
      <w:r>
        <w:t xml:space="preserve"> tenían un protocolo específico de TCA. Si bien todos los protocolos requieren compresiones torácicas y acceso vascular, hubo diferencias para la reanimación con cristaloides (93,8%), la toracostomía con aguja (93,8%), la intubación endotraqueal (56,3%) y</w:t>
      </w:r>
    </w:p>
    <w:p w14:paraId="3497507A" w14:textId="77777777" w:rsidR="00002847" w:rsidRDefault="00002847" w:rsidP="00E57D88">
      <w:pPr>
        <w:pStyle w:val="Textoindependiente"/>
        <w:spacing w:before="4"/>
        <w:sectPr w:rsidR="00002847">
          <w:pgSz w:w="12240" w:h="15840"/>
          <w:pgMar w:top="1380" w:right="1440" w:bottom="1200" w:left="1440" w:header="796" w:footer="1007" w:gutter="0"/>
          <w:cols w:space="720"/>
        </w:sectPr>
      </w:pPr>
    </w:p>
    <w:p w14:paraId="2BF71BD5" w14:textId="77777777" w:rsidR="00002847" w:rsidRDefault="00C16280" w:rsidP="00E57D88">
      <w:pPr>
        <w:pStyle w:val="Textoindependiente"/>
        <w:spacing w:before="4"/>
        <w:ind w:firstLine="0"/>
      </w:pPr>
      <w:r>
        <w:lastRenderedPageBreak/>
        <w:t>estabilización pélvica (37,5%). Finalmente, el estudio revisó los datos de un período de 8 años y los cambios en las políticas y pautas podrían haber impactado los resultados.</w:t>
      </w:r>
    </w:p>
    <w:p w14:paraId="41F3871B" w14:textId="77777777" w:rsidR="00002847" w:rsidRDefault="00C16280" w:rsidP="00E57D88">
      <w:pPr>
        <w:pStyle w:val="Textoindependiente"/>
        <w:spacing w:before="4"/>
        <w:ind w:right="62"/>
      </w:pPr>
      <w:r>
        <w:t>Los autores concluyeron que "la RCP prehospitalaria para el TCA no es inútil", ya que el 10% de todos los pacientes a los que se les realizó RCP sobrevivieron hasta el alta hospitalaria y el 35% de los pacientes que llegaron al servicio de urgencias con pulso después de la RCP prehospitalaria sobrevivieron hasta el alta. Además, el 17% pudo donar órganos. De los pacientes que llegaron al servicio de urgencias sin pulsos después de la RCP, el 6% logró ROSC y sobrevivió al ingreso hospitalario, pero ninguno de estos pacientes sobrevivió hasta el alta. Los autores también señalaron que la toracostomía prehospitalaria (aguja o dedo) fue la única intervención prehospitalaria asociada con llegar al servicio de urgencias con pulso, probablemente debido al alivio de un neumotórax a tensión.</w:t>
      </w:r>
    </w:p>
    <w:p w14:paraId="3692F0A6" w14:textId="77777777" w:rsidR="00002847" w:rsidRDefault="00C16280" w:rsidP="00E57D88">
      <w:pPr>
        <w:pStyle w:val="Textoindependiente"/>
        <w:spacing w:before="4"/>
      </w:pPr>
      <w:r>
        <w:t>Este estudio señala la necesidad de contar con criterios específicos para la determinación de la futilidad y el pronunciamiento de campo de la muerte, dado que ningún paciente sin pulso sobrevivió al alta hospitalaria. Este es un tema importante dados los riesgos asociados con las luces rojas de emergencia y el transporte de sirenas a la instalación receptora.</w:t>
      </w:r>
    </w:p>
    <w:p w14:paraId="3E26E1FA" w14:textId="77777777" w:rsidR="00002847" w:rsidRDefault="00002847" w:rsidP="00E57D88">
      <w:pPr>
        <w:pStyle w:val="Textoindependiente"/>
        <w:spacing w:before="4"/>
        <w:ind w:firstLine="0"/>
      </w:pPr>
    </w:p>
    <w:p w14:paraId="74B80D35" w14:textId="77777777" w:rsidR="00002847" w:rsidRDefault="00C16280" w:rsidP="00E57D88">
      <w:pPr>
        <w:pStyle w:val="Prrafodelista"/>
        <w:numPr>
          <w:ilvl w:val="0"/>
          <w:numId w:val="1"/>
        </w:numPr>
        <w:tabs>
          <w:tab w:val="left" w:pos="358"/>
          <w:tab w:val="left" w:pos="360"/>
        </w:tabs>
        <w:spacing w:before="4"/>
        <w:ind w:right="123"/>
      </w:pPr>
      <w:r>
        <w:rPr>
          <w:b/>
        </w:rPr>
        <w:t>Ácido tranexámico en traumatismos: una declaración de posición conjunta y un documento de recursos de NAEMSP, ACEP y ACS-COT</w:t>
      </w:r>
      <w:r>
        <w:t xml:space="preserve">. Barrett WJ, </w:t>
      </w:r>
      <w:proofErr w:type="spellStart"/>
      <w:r>
        <w:t>Kaucher</w:t>
      </w:r>
      <w:proofErr w:type="spellEnd"/>
      <w:r>
        <w:t xml:space="preserve"> KA, </w:t>
      </w:r>
      <w:proofErr w:type="spellStart"/>
      <w:r>
        <w:t>Orpet</w:t>
      </w:r>
      <w:proofErr w:type="spellEnd"/>
      <w:r>
        <w:t xml:space="preserve"> RE, et al. </w:t>
      </w:r>
      <w:r>
        <w:rPr>
          <w:i/>
        </w:rPr>
        <w:t>J Cirugía de cuidados agudos de trauma.</w:t>
      </w:r>
      <w:r>
        <w:t xml:space="preserve"> 2025; 99: 357–363</w:t>
      </w:r>
    </w:p>
    <w:p w14:paraId="53DF9ED7" w14:textId="77777777" w:rsidR="00002847" w:rsidRDefault="00002847" w:rsidP="00E57D88">
      <w:pPr>
        <w:pStyle w:val="Textoindependiente"/>
        <w:spacing w:before="4"/>
        <w:ind w:firstLine="0"/>
      </w:pPr>
    </w:p>
    <w:p w14:paraId="44DD9039" w14:textId="77777777" w:rsidR="00002847" w:rsidRDefault="00C16280" w:rsidP="00E57D88">
      <w:pPr>
        <w:pStyle w:val="Textoindependiente"/>
        <w:spacing w:before="4"/>
        <w:ind w:right="45"/>
      </w:pPr>
      <w:r>
        <w:t>El manejo de la hemorragia es un aspecto fundamental de la atención prehospitalaria de traumatismos. El ácido tranexámico (ATX) es un medicamento antifibrinolítico que ahora se usa comúnmente en la reanimación traumatológica prehospitalaria. A pesar de la reciente popularidad del TXA, los estudios de investigación son variados en cuanto a su utilidad real. TXA es fácil de administrar y tiene pocos efectos secundarios. Funciona ayudando a prevenir la descomposición natural del coágulo del cuerpo cuando intenta formarse durante la hemorragia. Debido a la variabilidad en los datos sobre el ATX, tres grupos se reunieron para revisar la literatura y emitir una declaración de posición sobre la administración de ATX en el trauma. Los representantes pertenecían a la Asociación Nacional de Médicos de EMS (NAEMSP), el Colegio Estadounidense de Médicos de Emergencia (ACEP) y el Comité de Trauma del Colegio Estadounidense de Cirujanos (ACS-COT).</w:t>
      </w:r>
    </w:p>
    <w:p w14:paraId="02F2A6B0" w14:textId="77777777" w:rsidR="00002847" w:rsidRDefault="00C16280" w:rsidP="00E57D88">
      <w:pPr>
        <w:pStyle w:val="Textoindependiente"/>
        <w:spacing w:before="4"/>
      </w:pPr>
      <w:r>
        <w:t>El grupo realizó una búsqueda en PubMed el 23 de diciembre de 2022 de toda la literatura existente sobre TXA. El comité examinó inicialmente 138 artículos y los redujo a 17 que se utilizaron en el análisis final. Las recomendaciones del comité se resumen aquí.</w:t>
      </w:r>
    </w:p>
    <w:p w14:paraId="31F16875" w14:textId="77777777" w:rsidR="00002847" w:rsidRDefault="00C16280" w:rsidP="00E57D88">
      <w:pPr>
        <w:spacing w:before="4"/>
        <w:ind w:right="78" w:firstLine="360"/>
      </w:pPr>
      <w:r>
        <w:rPr>
          <w:b/>
        </w:rPr>
        <w:t xml:space="preserve">La administración prehospitalaria de ATX puede reducir la mortalidad en pacientes adultos con traumatismos con shock hemorrágico cuando se administra después de intervenciones que salvan vidas. </w:t>
      </w:r>
      <w:r>
        <w:t>Los estudios varían con respecto a la efectividad a corto y largo plazo de TXA. La mortalidad a corto plazo (24 horas) puede mejorar con la administración de ATX, pero la supervivencia a largo plazo (medida a los 28 o 30 días después de la lesión) no parece mejorar.</w:t>
      </w:r>
    </w:p>
    <w:p w14:paraId="15412507" w14:textId="77777777" w:rsidR="00002847" w:rsidRDefault="00C16280" w:rsidP="00E57D88">
      <w:pPr>
        <w:pStyle w:val="Textoindependiente"/>
        <w:spacing w:before="4"/>
        <w:ind w:firstLine="0"/>
      </w:pPr>
      <w:r>
        <w:t>Además, no se observó ningún beneficio cuando se administró ATX con glóbulos rojos concentrados prehospitalarios, lo que indica que fue la transfusión de sangre y no la administración de ATX lo que mejoró los resultados. También es importante tener en cuenta que el comité enfatizó que TXA solo debe administrarse después de que se hayan completado otras intervenciones para salvar vidas.</w:t>
      </w:r>
    </w:p>
    <w:p w14:paraId="7F3643D2" w14:textId="77777777" w:rsidR="00002847" w:rsidRDefault="00C16280" w:rsidP="00E57D88">
      <w:pPr>
        <w:spacing w:before="4"/>
        <w:ind w:right="78" w:firstLine="360"/>
      </w:pPr>
      <w:r>
        <w:rPr>
          <w:b/>
        </w:rPr>
        <w:t xml:space="preserve">La administración prehospitalaria de ATX parece segura, con bajo riesgo de eventos tromboembólicos o convulsiones. </w:t>
      </w:r>
      <w:r>
        <w:t>Las preocupaciones teóricas de que el TXA puede aumentar el riesgo de eventos tromboembólicos (TVP y EP) no han demostrado ser ciertas.</w:t>
      </w:r>
    </w:p>
    <w:p w14:paraId="5FD4DE07" w14:textId="77777777" w:rsidR="00002847" w:rsidRDefault="00C16280" w:rsidP="00E57D88">
      <w:pPr>
        <w:pStyle w:val="Ttulo2"/>
        <w:spacing w:before="4"/>
        <w:ind w:right="62"/>
        <w:rPr>
          <w:b w:val="0"/>
        </w:rPr>
      </w:pPr>
      <w:r>
        <w:t xml:space="preserve">No se ha determinado la dosis, la velocidad y la vía ideales de administración prehospitalaria de ATX para pacientes adultos con traumatismos con shock hemorrágico. La evidencia actual sugiere que las agencias de EMS pueden administrar una dosis intravenosa / intraósea de 1 g (seguida de una infusión de 1 g en el hospital durante 8 horas) o una dosis intravenosa / intraósea de 2 g como infusión o empuje lento. </w:t>
      </w:r>
      <w:r>
        <w:rPr>
          <w:b w:val="0"/>
        </w:rPr>
        <w:t>La dosis única de 2 g es</w:t>
      </w:r>
    </w:p>
    <w:p w14:paraId="04568D6F" w14:textId="77777777" w:rsidR="00002847" w:rsidRDefault="00C16280" w:rsidP="00E57D88">
      <w:pPr>
        <w:pStyle w:val="Textoindependiente"/>
        <w:spacing w:before="4"/>
        <w:ind w:firstLine="0"/>
      </w:pPr>
      <w:r>
        <w:lastRenderedPageBreak/>
        <w:t>más fácil y rápido de administrar y es recomendado por el sistema de trauma articular del ejército Daño</w:t>
      </w:r>
    </w:p>
    <w:p w14:paraId="077C9B77" w14:textId="77777777" w:rsidR="00002847" w:rsidRDefault="00C16280" w:rsidP="00E57D88">
      <w:pPr>
        <w:pStyle w:val="Textoindependiente"/>
        <w:spacing w:before="4"/>
        <w:ind w:firstLine="0"/>
      </w:pPr>
      <w:r>
        <w:t>Guía de reanimación de control. El comité no recomienda una dosis sobre la otra.</w:t>
      </w:r>
    </w:p>
    <w:p w14:paraId="5264EA4A" w14:textId="77777777" w:rsidR="00002847" w:rsidRDefault="00C16280" w:rsidP="00E57D88">
      <w:pPr>
        <w:pStyle w:val="Ttulo2"/>
        <w:spacing w:before="4"/>
      </w:pPr>
      <w:r>
        <w:t>La administración prehospitalaria de ATX, si se usa para pacientes adultos con traumatismos, debe administrarse a aquellos con signos clínicos de shock hemorrágico y a más tardar 3 horas después de la lesión. No hay evidencia hasta la fecha</w:t>
      </w:r>
    </w:p>
    <w:p w14:paraId="047CEC5B" w14:textId="77777777" w:rsidR="00002847" w:rsidRDefault="00002847" w:rsidP="00E57D88">
      <w:pPr>
        <w:pStyle w:val="Ttulo2"/>
        <w:spacing w:before="4"/>
        <w:sectPr w:rsidR="00002847">
          <w:pgSz w:w="12240" w:h="15840"/>
          <w:pgMar w:top="1380" w:right="1440" w:bottom="1200" w:left="1440" w:header="796" w:footer="1007" w:gutter="0"/>
          <w:cols w:space="720"/>
        </w:sectPr>
      </w:pPr>
    </w:p>
    <w:p w14:paraId="47841FDF" w14:textId="77777777" w:rsidR="00002847" w:rsidRDefault="00C16280" w:rsidP="00E57D88">
      <w:pPr>
        <w:spacing w:before="4"/>
      </w:pPr>
      <w:r>
        <w:rPr>
          <w:b/>
        </w:rPr>
        <w:lastRenderedPageBreak/>
        <w:t xml:space="preserve">para sugerir mejores resultados clínicos desde el inicio del ATX más allá de este tiempo o en aquellos sin hemorragia clínicamente significativa. </w:t>
      </w:r>
      <w:r>
        <w:t>La selección cuidadosa del paciente es importante. Los criterios de administración de CRASH-2 incluyen presión arterial sistólica &lt; 90 mm Hg y/o una frecuencia cardíaca de &gt;110 latidos por minuto que se &lt; 3 horas después de la lesión.</w:t>
      </w:r>
    </w:p>
    <w:p w14:paraId="32C78C6C" w14:textId="77777777" w:rsidR="00002847" w:rsidRDefault="00C16280" w:rsidP="00E57D88">
      <w:pPr>
        <w:pStyle w:val="Textoindependiente"/>
        <w:spacing w:before="4"/>
        <w:ind w:right="28"/>
      </w:pPr>
      <w:r>
        <w:rPr>
          <w:b/>
        </w:rPr>
        <w:t xml:space="preserve">Pacientes con lesiones en la </w:t>
      </w:r>
      <w:proofErr w:type="gramStart"/>
      <w:r>
        <w:rPr>
          <w:b/>
        </w:rPr>
        <w:t xml:space="preserve">cabeza </w:t>
      </w:r>
      <w:r>
        <w:t>:</w:t>
      </w:r>
      <w:proofErr w:type="gramEnd"/>
      <w:r>
        <w:t xml:space="preserve"> el comité revisó cuatro artículos que evaluaron la supervivencia y los resultados funcionales a los 6 meses de pacientes con lesión cerebral traumática (TBI) que recibieron TXA prehospitalario. Los pacientes con lesión craneal de moderada a grave: puntuación de la escala de coma de Glasgow (GCS) &lt; 12 que recibieron TXA no tuvieron mejoría en la supervivencia a 28 días ni en la función neurológica favorable a los 6 meses. Si bien es probable que el ATX sea seguro en el paciente con lesión en la cabeza, no parece conferir ninguna ventaja funcional o de supervivencia.</w:t>
      </w:r>
    </w:p>
    <w:p w14:paraId="2C62DFFB" w14:textId="77777777" w:rsidR="00002847" w:rsidRDefault="00C16280" w:rsidP="00E57D88">
      <w:pPr>
        <w:pStyle w:val="Ttulo2"/>
        <w:spacing w:before="4"/>
      </w:pPr>
      <w:r>
        <w:t>El papel del ATX prehospitalario en pacientes con traumatismos pediátricos con signos clínicos de shock hemorrágico no está claro y no se ha establecido la dosis estándar. Si se usa, debe administrarse dentro de las 3 horas posteriores a la lesión.</w:t>
      </w:r>
    </w:p>
    <w:p w14:paraId="6837645E" w14:textId="660A442A" w:rsidR="00002847" w:rsidRDefault="00C16280" w:rsidP="00E57D88">
      <w:pPr>
        <w:pStyle w:val="Textoindependiente"/>
        <w:spacing w:before="4"/>
      </w:pPr>
      <w:r>
        <w:t>El comité señaló que TXA es seguro, pero la evidencia disponible es contradictoria y el beneficio sigue sin estar claro. No hay parámetros claros establecidos sobre qué pacientes se beneficiarán más y una comprensión limitada sobre la estrategia de dosificación óptima. Específicamente para la administración prehospitalaria, hay algunos principios a tener en cuenta. Los protocolos deben enfatizar las intervenciones que salvan vidas antes del uso de TXA, ya que no se ha demostrado claramente que mejore la mortalidad. En segundo lugar, el TXA debe administrarse lo antes posible después de la lesión y ciertamente dentro de las 3 horas posteriores a la lesión. Finalmente, el uso de TXA debe ser un esfuerzo de colaboración entre S</w:t>
      </w:r>
      <w:r w:rsidR="00E57D88">
        <w:t>MU</w:t>
      </w:r>
      <w:r>
        <w:t xml:space="preserve"> y el sistema de trauma local, incluidos los cirujanos de trauma y los médicos de emergencia.</w:t>
      </w:r>
    </w:p>
    <w:p w14:paraId="30124F3A" w14:textId="77777777" w:rsidR="00002847" w:rsidRDefault="00C16280" w:rsidP="00E57D88">
      <w:pPr>
        <w:pStyle w:val="Textoindependiente"/>
        <w:spacing w:before="4"/>
      </w:pPr>
      <w:r>
        <w:t>Hay algunas limitaciones señaladas en la declaración conjunta. La literatura disponible tiene resultados contradictorios: algunos estudios apoyan el uso de TXA en el trauma, mientras que otros no encuentran ningún beneficio real. Los autores utilizaron una búsqueda en PubMed para los artículos, que limita los resultados solo a artículos en inglés. Los datos incluían varios estudios militares, por lo que los resultados pueden no aplicarse a la población civil.</w:t>
      </w:r>
    </w:p>
    <w:p w14:paraId="49763F2F" w14:textId="48742063" w:rsidR="00002847" w:rsidRDefault="00C16280" w:rsidP="00E57D88">
      <w:pPr>
        <w:pStyle w:val="Textoindependiente"/>
        <w:spacing w:before="4"/>
        <w:ind w:right="78"/>
      </w:pPr>
      <w:r>
        <w:t>La declaración de posición conjunta concluye señalando que el efecto beneficioso de TXA para pacientes adultos con traumatismos sigue siendo incierto a pesar del entusiasmo inicial en todo el mundo. Están de acuerdo en que es seguro de usar con pocos efectos secundarios potenciales y debe administrarse solo después de que se hayan completado otras intervenciones que salvan vidas. Definitivamente se necesita más investigación. Este documento sirve como una guía importante para los servicios prehospitalarios que desarrollan protocolos de administración de TXA.</w:t>
      </w:r>
    </w:p>
    <w:sectPr w:rsidR="00002847">
      <w:pgSz w:w="12240" w:h="15840"/>
      <w:pgMar w:top="1380" w:right="1440" w:bottom="1200" w:left="1440" w:header="796"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BEDF" w14:textId="77777777" w:rsidR="008A7D0E" w:rsidRDefault="008A7D0E">
      <w:r>
        <w:separator/>
      </w:r>
    </w:p>
  </w:endnote>
  <w:endnote w:type="continuationSeparator" w:id="0">
    <w:p w14:paraId="2F5D6A40" w14:textId="77777777" w:rsidR="008A7D0E" w:rsidRDefault="008A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A3B3" w14:textId="77777777" w:rsidR="00002847" w:rsidRDefault="00C16280">
    <w:pPr>
      <w:pStyle w:val="Textoindependiente"/>
      <w:spacing w:line="14" w:lineRule="auto"/>
      <w:ind w:firstLine="0"/>
      <w:rPr>
        <w:sz w:val="20"/>
      </w:rPr>
    </w:pPr>
    <w:r>
      <w:rPr>
        <w:noProof/>
        <w:sz w:val="20"/>
      </w:rPr>
      <mc:AlternateContent>
        <mc:Choice Requires="wps">
          <w:drawing>
            <wp:anchor distT="0" distB="0" distL="0" distR="0" simplePos="0" relativeHeight="251660288" behindDoc="1" locked="0" layoutInCell="1" allowOverlap="1" wp14:anchorId="7707875F" wp14:editId="76E1496F">
              <wp:simplePos x="0" y="0"/>
              <wp:positionH relativeFrom="page">
                <wp:posOffset>3490976</wp:posOffset>
              </wp:positionH>
              <wp:positionV relativeFrom="page">
                <wp:posOffset>9279128</wp:posOffset>
              </wp:positionV>
              <wp:extent cx="101726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65735"/>
                      </a:xfrm>
                      <a:prstGeom prst="rect">
                        <a:avLst/>
                      </a:prstGeom>
                    </wps:spPr>
                    <wps:txbx>
                      <w:txbxContent>
                        <w:p w14:paraId="7AA961DE" w14:textId="77777777" w:rsidR="00002847" w:rsidRDefault="008A7D0E">
                          <w:pPr>
                            <w:spacing w:line="245" w:lineRule="exact"/>
                            <w:ind w:left="20"/>
                            <w:rPr>
                              <w:b/>
                            </w:rPr>
                          </w:pPr>
                          <w:hyperlink r:id="rId1">
                            <w:r w:rsidR="00C16280">
                              <w:rPr>
                                <w:b/>
                                <w:spacing w:val="-2"/>
                              </w:rPr>
                              <w:t>www.IPHMI.com</w:t>
                            </w:r>
                          </w:hyperlink>
                        </w:p>
                      </w:txbxContent>
                    </wps:txbx>
                    <wps:bodyPr wrap="square" lIns="0" tIns="0" rIns="0" bIns="0" rtlCol="0">
                      <a:noAutofit/>
                    </wps:bodyPr>
                  </wps:wsp>
                </a:graphicData>
              </a:graphic>
            </wp:anchor>
          </w:drawing>
        </mc:Choice>
        <mc:Fallback>
          <w:pict>
            <v:shapetype w14:anchorId="7707875F" id="_x0000_t202" coordsize="21600,21600" o:spt="202" path="m,l,21600r21600,l21600,xe">
              <v:stroke joinstyle="miter"/>
              <v:path gradientshapeok="t" o:connecttype="rect"/>
            </v:shapetype>
            <v:shape id="Textbox 2" o:spid="_x0000_s1027" type="#_x0000_t202" style="position:absolute;margin-left:274.9pt;margin-top:730.65pt;width:80.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" filled="f" stroked="f">
              <v:textbox inset="0,0,0,0">
                <w:txbxContent>
                  <w:p w14:paraId="7AA961DE" w14:textId="77777777" w:rsidR="00002847" w:rsidRDefault="008A7D0E">
                    <w:pPr>
                      <w:spacing w:line="245" w:lineRule="exact"/>
                      <w:ind w:left="20"/>
                      <w:rPr>
                        <w:b/>
                      </w:rPr>
                    </w:pPr>
                    <w:hyperlink r:id="rId2">
                      <w:r w:rsidR="00C16280">
                        <w:rPr>
                          <w:b/>
                          <w:spacing w:val="-2"/>
                        </w:rPr>
                        <w:t>www.IPHMI.com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854D" w14:textId="77777777" w:rsidR="008A7D0E" w:rsidRDefault="008A7D0E">
      <w:r>
        <w:separator/>
      </w:r>
    </w:p>
  </w:footnote>
  <w:footnote w:type="continuationSeparator" w:id="0">
    <w:p w14:paraId="5369BB78" w14:textId="77777777" w:rsidR="008A7D0E" w:rsidRDefault="008A7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50E8" w14:textId="77777777" w:rsidR="00002847" w:rsidRDefault="00C16280">
    <w:pPr>
      <w:pStyle w:val="Textoindependiente"/>
      <w:spacing w:line="14" w:lineRule="auto"/>
      <w:ind w:firstLine="0"/>
      <w:rPr>
        <w:sz w:val="20"/>
      </w:rPr>
    </w:pPr>
    <w:r>
      <w:rPr>
        <w:noProof/>
        <w:sz w:val="20"/>
      </w:rPr>
      <mc:AlternateContent>
        <mc:Choice Requires="wps">
          <w:drawing>
            <wp:anchor distT="0" distB="0" distL="0" distR="0" simplePos="0" relativeHeight="251657216" behindDoc="1" locked="0" layoutInCell="1" allowOverlap="1" wp14:anchorId="7314D1C6" wp14:editId="00C09457">
              <wp:simplePos x="0" y="0"/>
              <wp:positionH relativeFrom="page">
                <wp:posOffset>1911476</wp:posOffset>
              </wp:positionH>
              <wp:positionV relativeFrom="page">
                <wp:posOffset>492759</wp:posOffset>
              </wp:positionV>
              <wp:extent cx="4175760" cy="254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5760" cy="254000"/>
                      </a:xfrm>
                      <a:prstGeom prst="rect">
                        <a:avLst/>
                      </a:prstGeom>
                    </wps:spPr>
                    <wps:txbx>
                      <w:txbxContent>
                        <w:p w14:paraId="3BCB31B8" w14:textId="77777777" w:rsidR="00002847" w:rsidRPr="00E57D88" w:rsidRDefault="00C16280">
                          <w:pPr>
                            <w:spacing w:line="387" w:lineRule="exact"/>
                            <w:ind w:left="20"/>
                            <w:rPr>
                              <w:b/>
                              <w:i/>
                              <w:sz w:val="28"/>
                              <w:szCs w:val="28"/>
                            </w:rPr>
                          </w:pPr>
                          <w:r w:rsidRPr="00E57D88">
                            <w:rPr>
                              <w:b/>
                              <w:i/>
                              <w:sz w:val="28"/>
                              <w:szCs w:val="28"/>
                              <w:u w:val="single"/>
                            </w:rPr>
                            <w:t>Instituto Internacional de Medicina Prehospitalaria</w:t>
                          </w:r>
                        </w:p>
                      </w:txbxContent>
                    </wps:txbx>
                    <wps:bodyPr wrap="square" lIns="0" tIns="0" rIns="0" bIns="0" rtlCol="0">
                      <a:noAutofit/>
                    </wps:bodyPr>
                  </wps:wsp>
                </a:graphicData>
              </a:graphic>
            </wp:anchor>
          </w:drawing>
        </mc:Choice>
        <mc:Fallback>
          <w:pict>
            <v:shapetype w14:anchorId="7314D1C6" id="_x0000_t202" coordsize="21600,21600" o:spt="202" path="m,l,21600r21600,l21600,xe">
              <v:stroke joinstyle="miter"/>
              <v:path gradientshapeok="t" o:connecttype="rect"/>
            </v:shapetype>
            <v:shape id="Textbox 1" o:spid="_x0000_s1026" type="#_x0000_t202" style="position:absolute;margin-left:150.5pt;margin-top:38.8pt;width:328.8pt;height:2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" filled="f" stroked="f">
              <v:textbox inset="0,0,0,0">
                <w:txbxContent>
                  <w:p w14:paraId="3BCB31B8" w14:textId="77777777" w:rsidR="00002847" w:rsidRPr="00E57D88" w:rsidRDefault="00C16280">
                    <w:pPr>
                      <w:spacing w:line="387" w:lineRule="exact"/>
                      <w:ind w:left="20"/>
                      <w:rPr>
                        <w:b/>
                        <w:i/>
                        <w:sz w:val="28"/>
                        <w:szCs w:val="28"/>
                      </w:rPr>
                    </w:pPr>
                    <w:r w:rsidRPr="00E57D88">
                      <w:rPr>
                        <w:b/>
                        <w:i/>
                        <w:sz w:val="28"/>
                        <w:szCs w:val="28"/>
                        <w:u w:val="single"/>
                      </w:rPr>
                      <w:t>Instituto Internacional de Medicina Prehospitalaria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7645B"/>
    <w:multiLevelType w:val="hybridMultilevel"/>
    <w:tmpl w:val="6268A83C"/>
    <w:lvl w:ilvl="0" w:tplc="7AFEEA18">
      <w:start w:val="1"/>
      <w:numFmt w:val="decimal"/>
      <w:lvlText w:val="%1."/>
      <w:lvlJc w:val="left"/>
      <w:pPr>
        <w:ind w:left="360" w:hanging="361"/>
      </w:pPr>
      <w:rPr>
        <w:rFonts w:ascii="Calibri" w:eastAsia="Calibri" w:hAnsi="Calibri" w:cs="Calibri" w:hint="default"/>
        <w:b/>
        <w:bCs/>
        <w:i w:val="0"/>
        <w:iCs w:val="0"/>
        <w:spacing w:val="-2"/>
        <w:w w:val="100"/>
        <w:sz w:val="22"/>
        <w:szCs w:val="22"/>
        <w:lang w:val="en-US" w:eastAsia="en-US" w:bidi="ar-SA"/>
      </w:rPr>
    </w:lvl>
    <w:lvl w:ilvl="1" w:tplc="1E68D4E6">
      <w:numFmt w:val="bullet"/>
      <w:lvlText w:val="•"/>
      <w:lvlJc w:val="left"/>
      <w:pPr>
        <w:ind w:left="1260" w:hanging="361"/>
      </w:pPr>
      <w:rPr>
        <w:rFonts w:hint="default"/>
        <w:lang w:val="en-US" w:eastAsia="en-US" w:bidi="ar-SA"/>
      </w:rPr>
    </w:lvl>
    <w:lvl w:ilvl="2" w:tplc="055E5C0E">
      <w:numFmt w:val="bullet"/>
      <w:lvlText w:val="•"/>
      <w:lvlJc w:val="left"/>
      <w:pPr>
        <w:ind w:left="2160" w:hanging="361"/>
      </w:pPr>
      <w:rPr>
        <w:rFonts w:hint="default"/>
        <w:lang w:val="en-US" w:eastAsia="en-US" w:bidi="ar-SA"/>
      </w:rPr>
    </w:lvl>
    <w:lvl w:ilvl="3" w:tplc="F76A5874">
      <w:numFmt w:val="bullet"/>
      <w:lvlText w:val="•"/>
      <w:lvlJc w:val="left"/>
      <w:pPr>
        <w:ind w:left="3060" w:hanging="361"/>
      </w:pPr>
      <w:rPr>
        <w:rFonts w:hint="default"/>
        <w:lang w:val="en-US" w:eastAsia="en-US" w:bidi="ar-SA"/>
      </w:rPr>
    </w:lvl>
    <w:lvl w:ilvl="4" w:tplc="AE44FBD2">
      <w:numFmt w:val="bullet"/>
      <w:lvlText w:val="•"/>
      <w:lvlJc w:val="left"/>
      <w:pPr>
        <w:ind w:left="3960" w:hanging="361"/>
      </w:pPr>
      <w:rPr>
        <w:rFonts w:hint="default"/>
        <w:lang w:val="en-US" w:eastAsia="en-US" w:bidi="ar-SA"/>
      </w:rPr>
    </w:lvl>
    <w:lvl w:ilvl="5" w:tplc="4E92C458">
      <w:numFmt w:val="bullet"/>
      <w:lvlText w:val="•"/>
      <w:lvlJc w:val="left"/>
      <w:pPr>
        <w:ind w:left="4860" w:hanging="361"/>
      </w:pPr>
      <w:rPr>
        <w:rFonts w:hint="default"/>
        <w:lang w:val="en-US" w:eastAsia="en-US" w:bidi="ar-SA"/>
      </w:rPr>
    </w:lvl>
    <w:lvl w:ilvl="6" w:tplc="DFAA3828">
      <w:numFmt w:val="bullet"/>
      <w:lvlText w:val="•"/>
      <w:lvlJc w:val="left"/>
      <w:pPr>
        <w:ind w:left="5760" w:hanging="361"/>
      </w:pPr>
      <w:rPr>
        <w:rFonts w:hint="default"/>
        <w:lang w:val="en-US" w:eastAsia="en-US" w:bidi="ar-SA"/>
      </w:rPr>
    </w:lvl>
    <w:lvl w:ilvl="7" w:tplc="A5681316">
      <w:numFmt w:val="bullet"/>
      <w:lvlText w:val="•"/>
      <w:lvlJc w:val="left"/>
      <w:pPr>
        <w:ind w:left="6660" w:hanging="361"/>
      </w:pPr>
      <w:rPr>
        <w:rFonts w:hint="default"/>
        <w:lang w:val="en-US" w:eastAsia="en-US" w:bidi="ar-SA"/>
      </w:rPr>
    </w:lvl>
    <w:lvl w:ilvl="8" w:tplc="B9103526">
      <w:numFmt w:val="bullet"/>
      <w:lvlText w:val="•"/>
      <w:lvlJc w:val="left"/>
      <w:pPr>
        <w:ind w:left="7560" w:hanging="361"/>
      </w:pPr>
      <w:rPr>
        <w:rFonts w:hint="default"/>
        <w:lang w:val="en-US" w:eastAsia="en-US" w:bidi="ar-SA"/>
      </w:rPr>
    </w:lvl>
  </w:abstractNum>
  <w:abstractNum w:abstractNumId="1" w15:restartNumberingAfterBreak="0">
    <w:nsid w:val="20BA2A91"/>
    <w:multiLevelType w:val="hybridMultilevel"/>
    <w:tmpl w:val="6E36A874"/>
    <w:lvl w:ilvl="0" w:tplc="FA7AE7E0">
      <w:start w:val="1"/>
      <w:numFmt w:val="decimal"/>
      <w:lvlText w:val="%1."/>
      <w:lvlJc w:val="left"/>
      <w:pPr>
        <w:ind w:left="360" w:hanging="361"/>
      </w:pPr>
      <w:rPr>
        <w:rFonts w:ascii="Calibri" w:eastAsia="Calibri" w:hAnsi="Calibri" w:cs="Calibri" w:hint="default"/>
        <w:b/>
        <w:bCs/>
        <w:i w:val="0"/>
        <w:iCs w:val="0"/>
        <w:spacing w:val="-2"/>
        <w:w w:val="100"/>
        <w:sz w:val="22"/>
        <w:szCs w:val="22"/>
        <w:lang w:val="en-US" w:eastAsia="en-US" w:bidi="ar-SA"/>
      </w:rPr>
    </w:lvl>
    <w:lvl w:ilvl="1" w:tplc="2278DE12">
      <w:numFmt w:val="bullet"/>
      <w:lvlText w:val="•"/>
      <w:lvlJc w:val="left"/>
      <w:pPr>
        <w:ind w:left="1260" w:hanging="361"/>
      </w:pPr>
      <w:rPr>
        <w:rFonts w:hint="default"/>
        <w:lang w:val="en-US" w:eastAsia="en-US" w:bidi="ar-SA"/>
      </w:rPr>
    </w:lvl>
    <w:lvl w:ilvl="2" w:tplc="0AB4F246">
      <w:numFmt w:val="bullet"/>
      <w:lvlText w:val="•"/>
      <w:lvlJc w:val="left"/>
      <w:pPr>
        <w:ind w:left="2160" w:hanging="361"/>
      </w:pPr>
      <w:rPr>
        <w:rFonts w:hint="default"/>
        <w:lang w:val="en-US" w:eastAsia="en-US" w:bidi="ar-SA"/>
      </w:rPr>
    </w:lvl>
    <w:lvl w:ilvl="3" w:tplc="F93ABDE2">
      <w:numFmt w:val="bullet"/>
      <w:lvlText w:val="•"/>
      <w:lvlJc w:val="left"/>
      <w:pPr>
        <w:ind w:left="3060" w:hanging="361"/>
      </w:pPr>
      <w:rPr>
        <w:rFonts w:hint="default"/>
        <w:lang w:val="en-US" w:eastAsia="en-US" w:bidi="ar-SA"/>
      </w:rPr>
    </w:lvl>
    <w:lvl w:ilvl="4" w:tplc="0C7AF1EC">
      <w:numFmt w:val="bullet"/>
      <w:lvlText w:val="•"/>
      <w:lvlJc w:val="left"/>
      <w:pPr>
        <w:ind w:left="3960" w:hanging="361"/>
      </w:pPr>
      <w:rPr>
        <w:rFonts w:hint="default"/>
        <w:lang w:val="en-US" w:eastAsia="en-US" w:bidi="ar-SA"/>
      </w:rPr>
    </w:lvl>
    <w:lvl w:ilvl="5" w:tplc="8CFAD67E">
      <w:numFmt w:val="bullet"/>
      <w:lvlText w:val="•"/>
      <w:lvlJc w:val="left"/>
      <w:pPr>
        <w:ind w:left="4860" w:hanging="361"/>
      </w:pPr>
      <w:rPr>
        <w:rFonts w:hint="default"/>
        <w:lang w:val="en-US" w:eastAsia="en-US" w:bidi="ar-SA"/>
      </w:rPr>
    </w:lvl>
    <w:lvl w:ilvl="6" w:tplc="4094F4CC">
      <w:numFmt w:val="bullet"/>
      <w:lvlText w:val="•"/>
      <w:lvlJc w:val="left"/>
      <w:pPr>
        <w:ind w:left="5760" w:hanging="361"/>
      </w:pPr>
      <w:rPr>
        <w:rFonts w:hint="default"/>
        <w:lang w:val="en-US" w:eastAsia="en-US" w:bidi="ar-SA"/>
      </w:rPr>
    </w:lvl>
    <w:lvl w:ilvl="7" w:tplc="BAB42246">
      <w:numFmt w:val="bullet"/>
      <w:lvlText w:val="•"/>
      <w:lvlJc w:val="left"/>
      <w:pPr>
        <w:ind w:left="6660" w:hanging="361"/>
      </w:pPr>
      <w:rPr>
        <w:rFonts w:hint="default"/>
        <w:lang w:val="en-US" w:eastAsia="en-US" w:bidi="ar-SA"/>
      </w:rPr>
    </w:lvl>
    <w:lvl w:ilvl="8" w:tplc="59324528">
      <w:numFmt w:val="bullet"/>
      <w:lvlText w:val="•"/>
      <w:lvlJc w:val="left"/>
      <w:pPr>
        <w:ind w:left="7560"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47"/>
    <w:rsid w:val="00002847"/>
    <w:rsid w:val="008A7D0E"/>
    <w:rsid w:val="00B7509E"/>
    <w:rsid w:val="00C16280"/>
    <w:rsid w:val="00E57D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5F6A3"/>
  <w15:docId w15:val="{35830A42-773B-4EF3-8D9D-2280A347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MX"/>
    </w:rPr>
  </w:style>
  <w:style w:type="paragraph" w:styleId="Ttulo1">
    <w:name w:val="heading 1"/>
    <w:basedOn w:val="Normal"/>
    <w:uiPriority w:val="9"/>
    <w:qFormat/>
    <w:pPr>
      <w:spacing w:before="4"/>
      <w:ind w:left="345"/>
      <w:outlineLvl w:val="0"/>
    </w:pPr>
    <w:rPr>
      <w:sz w:val="40"/>
      <w:szCs w:val="40"/>
    </w:rPr>
  </w:style>
  <w:style w:type="paragraph" w:styleId="Ttulo2">
    <w:name w:val="heading 2"/>
    <w:basedOn w:val="Normal"/>
    <w:uiPriority w:val="9"/>
    <w:unhideWhenUsed/>
    <w:qFormat/>
    <w:pPr>
      <w:ind w:firstLine="36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firstLine="360"/>
    </w:pPr>
  </w:style>
  <w:style w:type="paragraph" w:styleId="Prrafodelista">
    <w:name w:val="List Paragraph"/>
    <w:basedOn w:val="Normal"/>
    <w:uiPriority w:val="1"/>
    <w:qFormat/>
    <w:pPr>
      <w:ind w:left="360" w:right="55" w:hanging="361"/>
    </w:pPr>
  </w:style>
  <w:style w:type="paragraph" w:customStyle="1" w:styleId="TableParagraph">
    <w:name w:val="Table Paragraph"/>
    <w:basedOn w:val="Normal"/>
    <w:uiPriority w:val="1"/>
    <w:qFormat/>
  </w:style>
  <w:style w:type="character" w:styleId="Textodelmarcadordeposicin">
    <w:name w:val="Placeholder Text"/>
    <w:basedOn w:val="Fuentedeprrafopredeter"/>
    <w:uiPriority w:val="99"/>
    <w:semiHidden/>
    <w:rsid w:val="00E57D88"/>
    <w:rPr>
      <w:color w:val="808080"/>
    </w:rPr>
  </w:style>
  <w:style w:type="paragraph" w:styleId="Encabezado">
    <w:name w:val="header"/>
    <w:basedOn w:val="Normal"/>
    <w:link w:val="EncabezadoCar"/>
    <w:uiPriority w:val="99"/>
    <w:unhideWhenUsed/>
    <w:rsid w:val="00E57D88"/>
    <w:pPr>
      <w:tabs>
        <w:tab w:val="center" w:pos="4419"/>
        <w:tab w:val="right" w:pos="8838"/>
      </w:tabs>
    </w:pPr>
  </w:style>
  <w:style w:type="character" w:customStyle="1" w:styleId="EncabezadoCar">
    <w:name w:val="Encabezado Car"/>
    <w:basedOn w:val="Fuentedeprrafopredeter"/>
    <w:link w:val="Encabezado"/>
    <w:uiPriority w:val="99"/>
    <w:rsid w:val="00E57D88"/>
    <w:rPr>
      <w:rFonts w:ascii="Calibri" w:eastAsia="Calibri" w:hAnsi="Calibri" w:cs="Calibri"/>
    </w:rPr>
  </w:style>
  <w:style w:type="paragraph" w:styleId="Piedepgina">
    <w:name w:val="footer"/>
    <w:basedOn w:val="Normal"/>
    <w:link w:val="PiedepginaCar"/>
    <w:uiPriority w:val="99"/>
    <w:unhideWhenUsed/>
    <w:rsid w:val="00E57D88"/>
    <w:pPr>
      <w:tabs>
        <w:tab w:val="center" w:pos="4419"/>
        <w:tab w:val="right" w:pos="8838"/>
      </w:tabs>
    </w:pPr>
  </w:style>
  <w:style w:type="character" w:customStyle="1" w:styleId="PiedepginaCar">
    <w:name w:val="Pie de página Car"/>
    <w:basedOn w:val="Fuentedeprrafopredeter"/>
    <w:link w:val="Piedepgina"/>
    <w:uiPriority w:val="99"/>
    <w:rsid w:val="00E57D8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IPHMI.com/" TargetMode="External"/><Relationship Id="rId1" Type="http://schemas.openxmlformats.org/officeDocument/2006/relationships/hyperlink" Target="http://www.IPH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2595</Words>
  <Characters>14275</Characters>
  <Application>Microsoft Office Word</Application>
  <DocSecurity>0</DocSecurity>
  <Lines>118</Lines>
  <Paragraphs>33</Paragraphs>
  <ScaleCrop>false</ScaleCrop>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PTP</dc:creator>
  <cp:lastModifiedBy>JORGE</cp:lastModifiedBy>
  <cp:revision>1</cp:revision>
  <dcterms:created xsi:type="dcterms:W3CDTF">2025-10-10T17:06:00Z</dcterms:created>
  <dcterms:modified xsi:type="dcterms:W3CDTF">2025-10-10T17:28:00Z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Creator">
    <vt:lpwstr>Microsoft® Word 2024</vt:lpwstr>
  </property>
  <property fmtid="{D5CDD505-2E9C-101B-9397-08002B2CF9AE}" pid="4" name="LastSaved">
    <vt:filetime>2025-10-10T00:00:00Z</vt:filetime>
  </property>
  <property fmtid="{D5CDD505-2E9C-101B-9397-08002B2CF9AE}" pid="5" name="Producer">
    <vt:lpwstr>Microsoft® Word 2024</vt:lpwstr>
  </property>
</Properties>
</file>