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46273" w14:textId="251CBC3A" w:rsidR="007F3B34" w:rsidRDefault="000E0CF2" w:rsidP="00323738">
      <w:pPr>
        <w:spacing w:after="0"/>
        <w:rPr>
          <w:sz w:val="48"/>
        </w:rPr>
      </w:pPr>
      <w:r w:rsidDel="00000001">
        <w:rPr>
          <w:b/>
          <w:noProof/>
          <w:lang w:val="fr"/>
        </w:rPr>
        <w:drawing>
          <wp:inline distT="0" distB="0" distL="0" distR="0" wp14:anchorId="60A4629F" wp14:editId="60A462A0">
            <wp:extent cx="956945" cy="956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pic:spPr>
                </pic:pic>
              </a:graphicData>
            </a:graphic>
          </wp:inline>
        </w:drawing>
      </w:r>
      <w:r w:rsidR="00323738" w:rsidDel="00000004">
        <w:rPr>
          <w:sz w:val="40"/>
          <w:lang w:val="fr"/>
        </w:rPr>
        <w:t xml:space="preserve">        </w:t>
      </w:r>
      <w:r w:rsidR="0050697F">
        <w:rPr>
          <w:sz w:val="40"/>
          <w:lang w:val="fr"/>
        </w:rPr>
        <w:t xml:space="preserve">Examen de la littérature </w:t>
      </w:r>
      <w:r w:rsidR="00323738" w:rsidRPr="0050697F" w:rsidDel="00000004">
        <w:rPr>
          <w:sz w:val="24"/>
          <w:szCs w:val="24"/>
          <w:lang w:val="fr"/>
        </w:rPr>
        <w:t>IPHMI</w:t>
      </w:r>
      <w:r w:rsidR="00323738" w:rsidDel="00000004">
        <w:rPr>
          <w:sz w:val="40"/>
          <w:lang w:val="fr"/>
        </w:rPr>
        <w:t xml:space="preserve"> </w:t>
      </w:r>
      <w:r w:rsidR="007F3B34" w:rsidDel="00000008">
        <w:rPr>
          <w:b/>
          <w:noProof/>
          <w:lang w:val="fr"/>
        </w:rPr>
        <w:drawing>
          <wp:inline distT="0" distB="0" distL="0" distR="0" wp14:anchorId="60A462A1" wp14:editId="60A462A2">
            <wp:extent cx="1402080" cy="881243"/>
            <wp:effectExtent l="19050" t="19050" r="2667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nlCovers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989" cy="901298"/>
                    </a:xfrm>
                    <a:prstGeom prst="rect">
                      <a:avLst/>
                    </a:prstGeom>
                    <a:ln w="25400">
                      <a:solidFill>
                        <a:schemeClr val="tx1"/>
                      </a:solidFill>
                    </a:ln>
                  </pic:spPr>
                </pic:pic>
              </a:graphicData>
            </a:graphic>
          </wp:inline>
        </w:drawing>
      </w:r>
    </w:p>
    <w:p w14:paraId="60A46274" w14:textId="1E862644" w:rsidR="00323738" w:rsidRPr="00323738" w:rsidRDefault="00323738" w:rsidP="00323738">
      <w:pPr>
        <w:jc w:val="center"/>
        <w:rPr>
          <w:sz w:val="28"/>
          <w:szCs w:val="28"/>
        </w:rPr>
      </w:pPr>
      <w:r>
        <w:rPr>
          <w:sz w:val="28"/>
          <w:szCs w:val="28"/>
          <w:lang w:val="fr"/>
        </w:rPr>
        <w:t xml:space="preserve">Vous tenir au courant de la littérature et des études actuelles </w:t>
      </w:r>
      <w:r w:rsidR="00FB6BC2">
        <w:rPr>
          <w:sz w:val="28"/>
          <w:szCs w:val="28"/>
          <w:lang w:val="fr"/>
        </w:rPr>
        <w:t>sur le pré hospitalier</w:t>
      </w:r>
      <w:bookmarkStart w:id="0" w:name="_GoBack"/>
      <w:bookmarkEnd w:id="0"/>
    </w:p>
    <w:p w14:paraId="60A46275" w14:textId="77777777" w:rsidR="00053DC7" w:rsidRDefault="000655EF" w:rsidP="007F3B34">
      <w:pPr>
        <w:ind w:left="2160" w:firstLine="720"/>
      </w:pPr>
      <w:r>
        <w:rPr>
          <w:sz w:val="48"/>
          <w:lang w:val="fr"/>
        </w:rPr>
        <w:t>V. 1,1</w:t>
      </w:r>
    </w:p>
    <w:p w14:paraId="60A46276" w14:textId="475FB9AF" w:rsidR="007419D9" w:rsidRPr="00612DB7" w:rsidRDefault="007419D9" w:rsidP="007419D9">
      <w:pPr>
        <w:pStyle w:val="Paragraphedeliste"/>
        <w:numPr>
          <w:ilvl w:val="0"/>
          <w:numId w:val="1"/>
        </w:numPr>
      </w:pPr>
      <w:r w:rsidRPr="007419D9">
        <w:rPr>
          <w:b/>
          <w:lang w:val="fr"/>
        </w:rPr>
        <w:t xml:space="preserve">L'utilisation du triage sur le terrain dans les cas de catastrophes et d'accidents </w:t>
      </w:r>
      <w:r w:rsidR="00227CF6">
        <w:rPr>
          <w:b/>
          <w:lang w:val="fr"/>
        </w:rPr>
        <w:t>catastrophiques à effet limité</w:t>
      </w:r>
      <w:r w:rsidRPr="007419D9">
        <w:rPr>
          <w:b/>
          <w:lang w:val="fr"/>
        </w:rPr>
        <w:t xml:space="preserve"> </w:t>
      </w:r>
      <w:r w:rsidR="00227CF6">
        <w:rPr>
          <w:b/>
          <w:lang w:val="fr"/>
        </w:rPr>
        <w:t>avec nombreuses victimes</w:t>
      </w:r>
      <w:r w:rsidR="00710B7C">
        <w:rPr>
          <w:b/>
          <w:lang w:val="fr"/>
        </w:rPr>
        <w:t xml:space="preserve"> </w:t>
      </w:r>
      <w:r w:rsidRPr="007419D9">
        <w:rPr>
          <w:b/>
          <w:lang w:val="fr"/>
        </w:rPr>
        <w:t>: une enquête sur les pratiques actuelles d</w:t>
      </w:r>
      <w:r w:rsidR="00227CF6">
        <w:rPr>
          <w:b/>
          <w:lang w:val="fr"/>
        </w:rPr>
        <w:t>es personnels pré hospitaliers (EMS)</w:t>
      </w:r>
      <w:r w:rsidRPr="007419D9">
        <w:rPr>
          <w:b/>
          <w:lang w:val="fr"/>
        </w:rPr>
        <w:t xml:space="preserve">.  </w:t>
      </w:r>
      <w:r w:rsidRPr="00612DB7">
        <w:rPr>
          <w:lang w:val="fr"/>
        </w:rPr>
        <w:t>Ryan K, George D, Liu J, Mitchell P, Nelson K, Kue R. Prehospital Emergency Care 2018 Publié en ligne le 9 février 2018</w:t>
      </w:r>
    </w:p>
    <w:p w14:paraId="60A46277" w14:textId="6EB119D7" w:rsidR="007419D9" w:rsidRDefault="00CB0C74" w:rsidP="007419D9">
      <w:pPr>
        <w:pStyle w:val="Paragraphedeliste"/>
        <w:numPr>
          <w:ilvl w:val="0"/>
          <w:numId w:val="1"/>
        </w:numPr>
      </w:pPr>
      <w:r w:rsidRPr="00CB0C74">
        <w:rPr>
          <w:b/>
          <w:lang w:val="fr"/>
        </w:rPr>
        <w:t xml:space="preserve">Effet de la ventilation au BAVU versus intubation endotrachéale pendant la réanimation cardio-pulmonaire après un arrêt cardiorespiratoire </w:t>
      </w:r>
      <w:r w:rsidR="001F236F">
        <w:rPr>
          <w:b/>
          <w:lang w:val="fr"/>
        </w:rPr>
        <w:t xml:space="preserve">(ACR) </w:t>
      </w:r>
      <w:r w:rsidR="008104C4">
        <w:rPr>
          <w:b/>
          <w:lang w:val="fr"/>
        </w:rPr>
        <w:t>en de</w:t>
      </w:r>
      <w:r w:rsidRPr="00CB0C74">
        <w:rPr>
          <w:b/>
          <w:lang w:val="fr"/>
        </w:rPr>
        <w:t xml:space="preserve">hors de l'hôpital, sur le résultat neurologique.  Un essai clinique randomisé.  </w:t>
      </w:r>
      <w:r w:rsidR="007419D9">
        <w:rPr>
          <w:lang w:val="fr"/>
        </w:rPr>
        <w:t xml:space="preserve">Jabre </w:t>
      </w:r>
      <w:r w:rsidR="001F236F">
        <w:rPr>
          <w:lang w:val="fr"/>
        </w:rPr>
        <w:t>P</w:t>
      </w:r>
      <w:r w:rsidR="007419D9">
        <w:rPr>
          <w:lang w:val="fr"/>
        </w:rPr>
        <w:t>,  Penaloza  A, Pinero D, et coll. JAMA. 2018;319(8):779-787</w:t>
      </w:r>
    </w:p>
    <w:p w14:paraId="60A46278" w14:textId="37DB5892" w:rsidR="007419D9" w:rsidRDefault="007419D9" w:rsidP="007419D9">
      <w:pPr>
        <w:pStyle w:val="Paragraphedeliste"/>
        <w:numPr>
          <w:ilvl w:val="0"/>
          <w:numId w:val="1"/>
        </w:numPr>
      </w:pPr>
      <w:r w:rsidRPr="007419D9">
        <w:rPr>
          <w:b/>
          <w:lang w:val="fr"/>
        </w:rPr>
        <w:t xml:space="preserve">Valeur de l'évaluation préhospitalière des fractures de la colonne vertébrale par les ambulanciers paramédicaux.  </w:t>
      </w:r>
      <w:r w:rsidR="0074691C">
        <w:rPr>
          <w:lang w:val="de-DE"/>
        </w:rPr>
        <w:t>Ten</w:t>
      </w:r>
      <w:r w:rsidRPr="0074691C">
        <w:rPr>
          <w:lang w:val="de-DE"/>
        </w:rPr>
        <w:t xml:space="preserve">  Brinke  J.G.,  Gebbink  W.K.,  Pallada  L,  Saltzher  TP,  Hogervorst  M, Goslings JC. </w:t>
      </w:r>
      <w:r>
        <w:rPr>
          <w:lang w:val="fr"/>
        </w:rPr>
        <w:t xml:space="preserve">European Journal  </w:t>
      </w:r>
      <w:r w:rsidR="00523D0F">
        <w:rPr>
          <w:lang w:val="fr"/>
        </w:rPr>
        <w:t>of Trauma and Emergency Surgery,</w:t>
      </w:r>
      <w:r>
        <w:rPr>
          <w:lang w:val="fr"/>
        </w:rPr>
        <w:t xml:space="preserve">  août 2017</w:t>
      </w:r>
      <w:r w:rsidR="00523D0F">
        <w:rPr>
          <w:lang w:val="fr"/>
        </w:rPr>
        <w:t>.</w:t>
      </w:r>
      <w:r>
        <w:rPr>
          <w:lang w:val="fr"/>
        </w:rPr>
        <w:t xml:space="preserve"> </w:t>
      </w:r>
      <w:r w:rsidR="00523D0F">
        <w:rPr>
          <w:lang w:val="fr"/>
        </w:rPr>
        <w:t>Texte intégral disponible</w:t>
      </w:r>
      <w:r>
        <w:rPr>
          <w:lang w:val="fr"/>
        </w:rPr>
        <w:t xml:space="preserve">  à: https://link.springer.com/content/pdf/10.1007%2Fs00068-017-0828-0.pdf</w:t>
      </w:r>
    </w:p>
    <w:p w14:paraId="60A46279" w14:textId="7F7DCC2D" w:rsidR="007419D9" w:rsidRPr="007419D9" w:rsidRDefault="007419D9" w:rsidP="007419D9">
      <w:pPr>
        <w:pStyle w:val="Paragraphedeliste"/>
        <w:numPr>
          <w:ilvl w:val="0"/>
          <w:numId w:val="1"/>
        </w:numPr>
        <w:rPr>
          <w:b/>
        </w:rPr>
      </w:pPr>
      <w:r w:rsidRPr="007419D9">
        <w:rPr>
          <w:b/>
          <w:lang w:val="fr"/>
        </w:rPr>
        <w:t>Précision de l</w:t>
      </w:r>
      <w:r w:rsidR="001F50B0">
        <w:rPr>
          <w:b/>
          <w:lang w:val="fr"/>
        </w:rPr>
        <w:t>a reconnaissance</w:t>
      </w:r>
      <w:r w:rsidR="00866BA5">
        <w:rPr>
          <w:b/>
          <w:lang w:val="fr"/>
        </w:rPr>
        <w:t>, en</w:t>
      </w:r>
      <w:r w:rsidRPr="007419D9">
        <w:rPr>
          <w:b/>
          <w:lang w:val="fr"/>
        </w:rPr>
        <w:t xml:space="preserve"> préhospitali</w:t>
      </w:r>
      <w:r w:rsidR="00866BA5">
        <w:rPr>
          <w:b/>
          <w:lang w:val="fr"/>
        </w:rPr>
        <w:t>er,</w:t>
      </w:r>
      <w:r w:rsidRPr="007419D9">
        <w:rPr>
          <w:b/>
          <w:lang w:val="fr"/>
        </w:rPr>
        <w:t xml:space="preserve"> de l'AVC</w:t>
      </w:r>
      <w:r w:rsidR="00866BA5">
        <w:rPr>
          <w:b/>
          <w:lang w:val="fr"/>
        </w:rPr>
        <w:t>,</w:t>
      </w:r>
      <w:r w:rsidRPr="007419D9">
        <w:rPr>
          <w:b/>
          <w:lang w:val="fr"/>
        </w:rPr>
        <w:t xml:space="preserve"> dans une </w:t>
      </w:r>
      <w:r w:rsidR="00866BA5">
        <w:rPr>
          <w:b/>
          <w:lang w:val="fr"/>
        </w:rPr>
        <w:t xml:space="preserve">grande </w:t>
      </w:r>
      <w:r w:rsidRPr="007419D9">
        <w:rPr>
          <w:b/>
          <w:lang w:val="fr"/>
        </w:rPr>
        <w:t xml:space="preserve">municipalité </w:t>
      </w:r>
      <w:r w:rsidR="00C05882">
        <w:rPr>
          <w:b/>
          <w:lang w:val="fr"/>
        </w:rPr>
        <w:t>« Stroke Belt ».</w:t>
      </w:r>
    </w:p>
    <w:p w14:paraId="60A4627A" w14:textId="77777777" w:rsidR="007419D9" w:rsidRDefault="007419D9" w:rsidP="00523D0F">
      <w:pPr>
        <w:pStyle w:val="Paragraphedeliste"/>
      </w:pPr>
      <w:r>
        <w:rPr>
          <w:lang w:val="fr"/>
        </w:rPr>
        <w:t>Mould-Millman NK, Meese H,  Alattas  I, et al. Prehospital Emergency Care, 2018, Publié en ligne le</w:t>
      </w:r>
      <w:r w:rsidR="00523D0F">
        <w:rPr>
          <w:lang w:val="fr"/>
        </w:rPr>
        <w:t xml:space="preserve"> 29 mars 2018.</w:t>
      </w:r>
      <w:r>
        <w:rPr>
          <w:lang w:val="fr"/>
        </w:rPr>
        <w:t xml:space="preserve"> DOI: 10.1080/10903127.2018.1447620</w:t>
      </w:r>
    </w:p>
    <w:p w14:paraId="60A4627B" w14:textId="2B5B86AE" w:rsidR="00523D0F" w:rsidRPr="00523D0F" w:rsidRDefault="00EA61B2" w:rsidP="00523D0F">
      <w:pPr>
        <w:pStyle w:val="Paragraphedeliste"/>
        <w:numPr>
          <w:ilvl w:val="0"/>
          <w:numId w:val="1"/>
        </w:numPr>
        <w:rPr>
          <w:rStyle w:val="pagerange"/>
          <w:rFonts w:cstheme="minorHAnsi"/>
          <w:color w:val="333333"/>
          <w:lang w:val="en"/>
        </w:rPr>
      </w:pPr>
      <w:r w:rsidRPr="00EA61B2">
        <w:rPr>
          <w:b/>
          <w:color w:val="333333"/>
          <w:lang w:val="fr"/>
        </w:rPr>
        <w:t>Effets de l'acide tran</w:t>
      </w:r>
      <w:r>
        <w:rPr>
          <w:b/>
          <w:color w:val="333333"/>
          <w:lang w:val="fr"/>
        </w:rPr>
        <w:t>é</w:t>
      </w:r>
      <w:r w:rsidRPr="00EA61B2">
        <w:rPr>
          <w:b/>
          <w:color w:val="333333"/>
          <w:lang w:val="fr"/>
        </w:rPr>
        <w:t>xamique sur la mortalité, les événements occlusifs vasculaires, et la transfusion sanguine pour les patients victime</w:t>
      </w:r>
      <w:r w:rsidR="00D622EE">
        <w:rPr>
          <w:b/>
          <w:color w:val="333333"/>
          <w:lang w:val="fr"/>
        </w:rPr>
        <w:t>s</w:t>
      </w:r>
      <w:r w:rsidRPr="00EA61B2">
        <w:rPr>
          <w:b/>
          <w:color w:val="333333"/>
          <w:lang w:val="fr"/>
        </w:rPr>
        <w:t xml:space="preserve"> de traumatismes et présentant une hémorragie significative (CRASH-2) : un essai randomisé et contrôlé par placebo.  </w:t>
      </w:r>
      <w:r w:rsidR="00523D0F" w:rsidRPr="00523D0F">
        <w:rPr>
          <w:b/>
          <w:color w:val="333333"/>
          <w:lang w:val="fr"/>
        </w:rPr>
        <w:t xml:space="preserve"> </w:t>
      </w:r>
      <w:r w:rsidR="00F76A54" w:rsidRPr="00F76A54">
        <w:rPr>
          <w:bCs/>
          <w:color w:val="333333"/>
          <w:lang w:val="fr"/>
        </w:rPr>
        <w:t>CRASH-2 trial collaborators</w:t>
      </w:r>
      <w:r w:rsidR="00523D0F" w:rsidRPr="00523D0F">
        <w:rPr>
          <w:b/>
          <w:color w:val="333333"/>
          <w:lang w:val="fr"/>
        </w:rPr>
        <w:t xml:space="preserve"> </w:t>
      </w:r>
      <w:r w:rsidR="00523D0F" w:rsidRPr="00523D0F">
        <w:rPr>
          <w:color w:val="000000" w:themeColor="text1"/>
          <w:lang w:val="fr"/>
        </w:rPr>
        <w:t>.</w:t>
      </w:r>
      <w:r w:rsidR="00523D0F">
        <w:rPr>
          <w:lang w:val="fr"/>
        </w:rPr>
        <w:t xml:space="preserve"> </w:t>
      </w:r>
      <w:r w:rsidR="00523D0F" w:rsidRPr="00523D0F">
        <w:rPr>
          <w:rStyle w:val="journaltitlesp1"/>
          <w:color w:val="333333"/>
          <w:lang w:val="fr"/>
        </w:rPr>
        <w:t>The Lancet</w:t>
      </w:r>
      <w:r w:rsidR="00523D0F" w:rsidRPr="00523D0F">
        <w:rPr>
          <w:color w:val="333333"/>
          <w:lang w:val="fr"/>
        </w:rPr>
        <w:t>, 2010;</w:t>
      </w:r>
      <w:r w:rsidR="00523D0F">
        <w:rPr>
          <w:lang w:val="fr"/>
        </w:rPr>
        <w:t xml:space="preserve"> </w:t>
      </w:r>
      <w:r w:rsidR="00523D0F" w:rsidRPr="00523D0F">
        <w:rPr>
          <w:rStyle w:val="issuevolsp"/>
          <w:color w:val="333333"/>
          <w:lang w:val="fr"/>
        </w:rPr>
        <w:t>376</w:t>
      </w:r>
      <w:r w:rsidR="00523D0F" w:rsidRPr="00523D0F">
        <w:rPr>
          <w:color w:val="333333"/>
          <w:lang w:val="fr"/>
        </w:rPr>
        <w:t>:</w:t>
      </w:r>
      <w:r w:rsidR="00523D0F" w:rsidRPr="00523D0F">
        <w:rPr>
          <w:rStyle w:val="pagerange"/>
          <w:color w:val="333333"/>
          <w:lang w:val="fr"/>
        </w:rPr>
        <w:t>23-32.  Texte intégral disponible à:</w:t>
      </w:r>
    </w:p>
    <w:p w14:paraId="60A4627C" w14:textId="77777777" w:rsidR="007419D9" w:rsidRPr="00523D0F" w:rsidRDefault="00523D0F" w:rsidP="00523D0F">
      <w:pPr>
        <w:pStyle w:val="Paragraphedeliste"/>
        <w:rPr>
          <w:rFonts w:cstheme="minorHAnsi"/>
          <w:color w:val="333333"/>
          <w:lang w:val="en"/>
        </w:rPr>
      </w:pPr>
      <w:r w:rsidRPr="00227CF6">
        <w:rPr>
          <w:rStyle w:val="pagerange"/>
          <w:color w:val="333333"/>
          <w:lang w:val="en"/>
        </w:rPr>
        <w:t>https://www.thelancet.com/pdfs/journals/lancet/PIIS0140-6736(10)60835-5.pdf</w:t>
      </w:r>
    </w:p>
    <w:p w14:paraId="60A4627D" w14:textId="77777777" w:rsidR="007419D9" w:rsidRDefault="007419D9" w:rsidP="007419D9">
      <w:pPr>
        <w:pStyle w:val="Paragraphedeliste"/>
        <w:ind w:left="360"/>
        <w:rPr>
          <w:b/>
        </w:rPr>
      </w:pPr>
    </w:p>
    <w:p w14:paraId="60A4627E" w14:textId="7D52232F" w:rsidR="00612DB7" w:rsidRPr="00612DB7" w:rsidRDefault="00227CF6" w:rsidP="00612DB7">
      <w:pPr>
        <w:pStyle w:val="Paragraphedeliste"/>
        <w:numPr>
          <w:ilvl w:val="0"/>
          <w:numId w:val="2"/>
        </w:numPr>
      </w:pPr>
      <w:r w:rsidRPr="00227CF6">
        <w:rPr>
          <w:b/>
          <w:bCs/>
        </w:rPr>
        <w:t xml:space="preserve">L'utilisation du triage sur le terrain dans les cas de catastrophes et d'accidents </w:t>
      </w:r>
      <w:r>
        <w:rPr>
          <w:b/>
          <w:bCs/>
        </w:rPr>
        <w:t xml:space="preserve">catastrophiques à effet limité avec nombreuses </w:t>
      </w:r>
      <w:r w:rsidR="00710B7C">
        <w:rPr>
          <w:b/>
          <w:bCs/>
        </w:rPr>
        <w:t xml:space="preserve">victimes </w:t>
      </w:r>
      <w:r w:rsidRPr="00227CF6">
        <w:rPr>
          <w:b/>
          <w:bCs/>
        </w:rPr>
        <w:t>: une enquête sur les pratiques actuelles des personnel</w:t>
      </w:r>
      <w:r>
        <w:rPr>
          <w:b/>
          <w:bCs/>
        </w:rPr>
        <w:t>s</w:t>
      </w:r>
      <w:r w:rsidRPr="00227CF6">
        <w:rPr>
          <w:b/>
          <w:bCs/>
        </w:rPr>
        <w:t xml:space="preserve"> pré hospitalier</w:t>
      </w:r>
      <w:r>
        <w:rPr>
          <w:b/>
          <w:bCs/>
        </w:rPr>
        <w:t>s</w:t>
      </w:r>
      <w:r w:rsidRPr="00227CF6">
        <w:rPr>
          <w:b/>
          <w:bCs/>
        </w:rPr>
        <w:t xml:space="preserve"> (EMS).  </w:t>
      </w:r>
      <w:r w:rsidR="00612DB7" w:rsidRPr="00227CF6">
        <w:t xml:space="preserve">Ryan K, George D, Liu J, Mitchell P, Nelson K, Kue R.  </w:t>
      </w:r>
      <w:r w:rsidR="00612DB7" w:rsidRPr="00612DB7">
        <w:rPr>
          <w:lang w:val="fr"/>
        </w:rPr>
        <w:t>Prehospital Emergency Care 2018 Publié en ligne le 9 février 2018</w:t>
      </w:r>
    </w:p>
    <w:p w14:paraId="60A4627F" w14:textId="7B02DBAC" w:rsidR="00612DB7" w:rsidRPr="00612DB7" w:rsidRDefault="00612DB7" w:rsidP="00B5424E">
      <w:pPr>
        <w:pStyle w:val="Sansinterligne"/>
        <w:ind w:firstLine="720"/>
      </w:pPr>
      <w:r w:rsidRPr="00612DB7">
        <w:rPr>
          <w:lang w:val="fr"/>
        </w:rPr>
        <w:t xml:space="preserve">L'utilisation d'étiquettes de triage et </w:t>
      </w:r>
      <w:r w:rsidR="00227CF6">
        <w:rPr>
          <w:lang w:val="fr"/>
        </w:rPr>
        <w:t xml:space="preserve">le déroulement du </w:t>
      </w:r>
      <w:r w:rsidRPr="00612DB7">
        <w:rPr>
          <w:lang w:val="fr"/>
        </w:rPr>
        <w:t>triage pour attribuer les priorités de traitement et de transport par le</w:t>
      </w:r>
      <w:r w:rsidR="00227CF6">
        <w:rPr>
          <w:lang w:val="fr"/>
        </w:rPr>
        <w:t>s intervenants pré hospitaliers</w:t>
      </w:r>
      <w:r w:rsidRPr="00612DB7">
        <w:rPr>
          <w:lang w:val="fr"/>
        </w:rPr>
        <w:t xml:space="preserve"> lors d'un incident de masse</w:t>
      </w:r>
      <w:r w:rsidR="00227CF6">
        <w:rPr>
          <w:lang w:val="fr"/>
        </w:rPr>
        <w:t xml:space="preserve"> ou d’un accident catastrophique à effet limité (ACEL) avec nombreuses victimes (NOVI),</w:t>
      </w:r>
      <w:r w:rsidRPr="00612DB7">
        <w:rPr>
          <w:lang w:val="fr"/>
        </w:rPr>
        <w:t xml:space="preserve"> varie</w:t>
      </w:r>
      <w:r w:rsidR="00227CF6">
        <w:rPr>
          <w:lang w:val="fr"/>
        </w:rPr>
        <w:t>nt</w:t>
      </w:r>
      <w:r w:rsidRPr="00612DB7">
        <w:rPr>
          <w:lang w:val="fr"/>
        </w:rPr>
        <w:t xml:space="preserve"> </w:t>
      </w:r>
      <w:r w:rsidRPr="00612DB7">
        <w:rPr>
          <w:lang w:val="fr"/>
        </w:rPr>
        <w:lastRenderedPageBreak/>
        <w:t xml:space="preserve">considérablement lorsque l'on compare </w:t>
      </w:r>
      <w:r w:rsidR="00227CF6">
        <w:rPr>
          <w:lang w:val="fr"/>
        </w:rPr>
        <w:t>ce qui se passe</w:t>
      </w:r>
      <w:r w:rsidRPr="00612DB7">
        <w:rPr>
          <w:lang w:val="fr"/>
        </w:rPr>
        <w:t xml:space="preserve"> pendant l'entraînement, les exercices et </w:t>
      </w:r>
      <w:r w:rsidR="00227CF6">
        <w:rPr>
          <w:lang w:val="fr"/>
        </w:rPr>
        <w:t>les formations</w:t>
      </w:r>
      <w:r w:rsidRPr="00612DB7">
        <w:rPr>
          <w:lang w:val="fr"/>
        </w:rPr>
        <w:t xml:space="preserve"> </w:t>
      </w:r>
      <w:r w:rsidR="00227CF6">
        <w:rPr>
          <w:lang w:val="fr"/>
        </w:rPr>
        <w:t>et ce qui se passe effectivement en situation</w:t>
      </w:r>
      <w:r w:rsidRPr="00612DB7">
        <w:rPr>
          <w:lang w:val="fr"/>
        </w:rPr>
        <w:t xml:space="preserve"> réel</w:t>
      </w:r>
      <w:r w:rsidR="00227CF6">
        <w:rPr>
          <w:lang w:val="fr"/>
        </w:rPr>
        <w:t>le</w:t>
      </w:r>
      <w:r w:rsidRPr="00612DB7">
        <w:rPr>
          <w:lang w:val="fr"/>
        </w:rPr>
        <w:t>s.</w:t>
      </w:r>
    </w:p>
    <w:p w14:paraId="60A46280" w14:textId="33CDDE00" w:rsidR="00612DB7" w:rsidRPr="00612DB7" w:rsidRDefault="00612DB7" w:rsidP="00B5424E">
      <w:pPr>
        <w:pStyle w:val="Sansinterligne"/>
        <w:ind w:firstLine="720"/>
      </w:pPr>
      <w:r w:rsidRPr="00612DB7">
        <w:rPr>
          <w:lang w:val="fr"/>
        </w:rPr>
        <w:t xml:space="preserve">Le but de cette </w:t>
      </w:r>
      <w:r w:rsidR="00227CF6">
        <w:rPr>
          <w:lang w:val="fr"/>
        </w:rPr>
        <w:t>enquête</w:t>
      </w:r>
      <w:r w:rsidRPr="00612DB7">
        <w:rPr>
          <w:lang w:val="fr"/>
        </w:rPr>
        <w:t xml:space="preserve"> </w:t>
      </w:r>
      <w:r w:rsidR="00227CF6">
        <w:rPr>
          <w:lang w:val="fr"/>
        </w:rPr>
        <w:t>est</w:t>
      </w:r>
      <w:r w:rsidRPr="00612DB7">
        <w:rPr>
          <w:lang w:val="fr"/>
        </w:rPr>
        <w:t xml:space="preserve"> de comparer les pratiques actuelles de triage sur le terrain </w:t>
      </w:r>
      <w:r w:rsidR="00227CF6">
        <w:rPr>
          <w:lang w:val="fr"/>
        </w:rPr>
        <w:t>en situation de</w:t>
      </w:r>
      <w:r w:rsidRPr="00612DB7">
        <w:rPr>
          <w:lang w:val="fr"/>
        </w:rPr>
        <w:t xml:space="preserve"> formation e</w:t>
      </w:r>
      <w:r w:rsidR="00227CF6">
        <w:rPr>
          <w:lang w:val="fr"/>
        </w:rPr>
        <w:t>t en situation réelle</w:t>
      </w:r>
      <w:r w:rsidRPr="00612DB7">
        <w:rPr>
          <w:lang w:val="fr"/>
        </w:rPr>
        <w:t xml:space="preserve"> </w:t>
      </w:r>
      <w:r w:rsidR="00227CF6">
        <w:rPr>
          <w:lang w:val="fr"/>
        </w:rPr>
        <w:t>au cours d’événements avec de nombreuses victimes afin</w:t>
      </w:r>
      <w:r w:rsidRPr="00612DB7">
        <w:rPr>
          <w:lang w:val="fr"/>
        </w:rPr>
        <w:t xml:space="preserve"> d'identifier les </w:t>
      </w:r>
      <w:r w:rsidR="00227CF6">
        <w:rPr>
          <w:lang w:val="fr"/>
        </w:rPr>
        <w:t xml:space="preserve">difficultés. Ceci a été réalisé </w:t>
      </w:r>
      <w:r w:rsidRPr="00612DB7">
        <w:rPr>
          <w:lang w:val="fr"/>
        </w:rPr>
        <w:t xml:space="preserve">à l'aide de données recueillies dans le cadre d'un sondage anonyme fourni à 596 </w:t>
      </w:r>
      <w:r w:rsidR="00227CF6">
        <w:rPr>
          <w:lang w:val="fr"/>
        </w:rPr>
        <w:t>intervenants pré hospitaliers</w:t>
      </w:r>
      <w:r w:rsidRPr="00612DB7">
        <w:rPr>
          <w:lang w:val="fr"/>
        </w:rPr>
        <w:t xml:space="preserve"> </w:t>
      </w:r>
      <w:r w:rsidR="00227CF6">
        <w:rPr>
          <w:lang w:val="fr"/>
        </w:rPr>
        <w:t xml:space="preserve">professionnels, exercant à temps plein, et </w:t>
      </w:r>
      <w:r w:rsidRPr="00612DB7">
        <w:rPr>
          <w:lang w:val="fr"/>
        </w:rPr>
        <w:t xml:space="preserve">provenant de trois </w:t>
      </w:r>
      <w:r w:rsidR="00227CF6">
        <w:rPr>
          <w:lang w:val="fr"/>
        </w:rPr>
        <w:t>sites distincts</w:t>
      </w:r>
      <w:r w:rsidRPr="00612DB7">
        <w:rPr>
          <w:lang w:val="fr"/>
        </w:rPr>
        <w:t xml:space="preserve">.  La réponse globale au sondage a été de 77,9 % (464/596).  Sur les 464 réponses, 179 </w:t>
      </w:r>
      <w:r w:rsidR="00227CF6">
        <w:rPr>
          <w:lang w:val="fr"/>
        </w:rPr>
        <w:t xml:space="preserve">sondés </w:t>
      </w:r>
      <w:r w:rsidRPr="00612DB7">
        <w:rPr>
          <w:lang w:val="fr"/>
        </w:rPr>
        <w:t xml:space="preserve">(38,7 %) ont indiqué qu'ils avaient participé </w:t>
      </w:r>
      <w:r w:rsidR="00227CF6">
        <w:rPr>
          <w:lang w:val="fr"/>
        </w:rPr>
        <w:t xml:space="preserve">à la fois à des exercices avec utilisation d’étiquettes de triage, et à au moins à une véritable intervention de type nombreuses victimes ou ACEL. </w:t>
      </w:r>
      <w:r w:rsidRPr="00612DB7">
        <w:rPr>
          <w:lang w:val="fr"/>
        </w:rPr>
        <w:t xml:space="preserve">Les étiquettes de triage ont été utilisées </w:t>
      </w:r>
      <w:r w:rsidR="00227CF6">
        <w:rPr>
          <w:lang w:val="fr"/>
        </w:rPr>
        <w:t>à un niveau de</w:t>
      </w:r>
      <w:r w:rsidRPr="00612DB7">
        <w:rPr>
          <w:lang w:val="fr"/>
        </w:rPr>
        <w:t xml:space="preserve"> 91,8 % </w:t>
      </w:r>
      <w:r w:rsidR="00227CF6">
        <w:rPr>
          <w:lang w:val="fr"/>
        </w:rPr>
        <w:t xml:space="preserve">lors </w:t>
      </w:r>
      <w:r w:rsidRPr="00612DB7">
        <w:rPr>
          <w:lang w:val="fr"/>
        </w:rPr>
        <w:t xml:space="preserve">des exercices, comparativement à 34,1 % </w:t>
      </w:r>
      <w:r w:rsidR="00227CF6">
        <w:rPr>
          <w:lang w:val="fr"/>
        </w:rPr>
        <w:t xml:space="preserve">lors des incidents </w:t>
      </w:r>
      <w:r w:rsidRPr="00612DB7">
        <w:rPr>
          <w:lang w:val="fr"/>
        </w:rPr>
        <w:t>réels.  Les raisons courantes invoquées pour ne pas utiliser un « triage complet » (pour inclure l'utilisation d'un algorithme de triage spécifique et l'</w:t>
      </w:r>
      <w:r w:rsidR="00227CF6">
        <w:rPr>
          <w:lang w:val="fr"/>
        </w:rPr>
        <w:t>utilisation</w:t>
      </w:r>
      <w:r w:rsidRPr="00612DB7">
        <w:rPr>
          <w:lang w:val="fr"/>
        </w:rPr>
        <w:t xml:space="preserve"> d</w:t>
      </w:r>
      <w:r w:rsidR="00227CF6">
        <w:rPr>
          <w:lang w:val="fr"/>
        </w:rPr>
        <w:t>es</w:t>
      </w:r>
      <w:r w:rsidRPr="00612DB7">
        <w:rPr>
          <w:lang w:val="fr"/>
        </w:rPr>
        <w:t xml:space="preserve"> étiquette</w:t>
      </w:r>
      <w:r w:rsidR="00227CF6">
        <w:rPr>
          <w:lang w:val="fr"/>
        </w:rPr>
        <w:t>s</w:t>
      </w:r>
      <w:r w:rsidRPr="00612DB7">
        <w:rPr>
          <w:lang w:val="fr"/>
        </w:rPr>
        <w:t xml:space="preserve"> de triage) au cours d'un événement réel</w:t>
      </w:r>
      <w:r w:rsidR="00227CF6">
        <w:rPr>
          <w:lang w:val="fr"/>
        </w:rPr>
        <w:t>,</w:t>
      </w:r>
      <w:r w:rsidRPr="00612DB7">
        <w:rPr>
          <w:lang w:val="fr"/>
        </w:rPr>
        <w:t xml:space="preserve"> inclu</w:t>
      </w:r>
      <w:r w:rsidR="00227CF6">
        <w:rPr>
          <w:lang w:val="fr"/>
        </w:rPr>
        <w:t>ent</w:t>
      </w:r>
      <w:r w:rsidRPr="00612DB7">
        <w:rPr>
          <w:lang w:val="fr"/>
        </w:rPr>
        <w:t xml:space="preserve"> la proximité de l'hôpital le plus proche, n'a pas utilisé / ne sais pas comment utiliser</w:t>
      </w:r>
      <w:r w:rsidR="00227CF6">
        <w:rPr>
          <w:lang w:val="fr"/>
        </w:rPr>
        <w:t xml:space="preserve"> le matériel</w:t>
      </w:r>
      <w:r w:rsidRPr="00612DB7">
        <w:rPr>
          <w:lang w:val="fr"/>
        </w:rPr>
        <w:t xml:space="preserve">, la logistique, et les </w:t>
      </w:r>
      <w:r w:rsidR="00227CF6">
        <w:rPr>
          <w:lang w:val="fr"/>
        </w:rPr>
        <w:t>rais</w:t>
      </w:r>
      <w:r w:rsidRPr="00612DB7">
        <w:rPr>
          <w:lang w:val="fr"/>
        </w:rPr>
        <w:t>ons</w:t>
      </w:r>
      <w:r w:rsidR="00227CF6">
        <w:rPr>
          <w:lang w:val="fr"/>
        </w:rPr>
        <w:t xml:space="preserve"> directement</w:t>
      </w:r>
      <w:r w:rsidRPr="00612DB7">
        <w:rPr>
          <w:lang w:val="fr"/>
        </w:rPr>
        <w:t xml:space="preserve"> liées aux </w:t>
      </w:r>
      <w:r w:rsidR="00227CF6">
        <w:rPr>
          <w:lang w:val="fr"/>
        </w:rPr>
        <w:t>étiquettes</w:t>
      </w:r>
      <w:r w:rsidRPr="00612DB7">
        <w:rPr>
          <w:lang w:val="fr"/>
        </w:rPr>
        <w:t xml:space="preserve"> de triage, </w:t>
      </w:r>
      <w:r w:rsidR="00227CF6">
        <w:rPr>
          <w:lang w:val="fr"/>
        </w:rPr>
        <w:t>soit difficilement accessibles</w:t>
      </w:r>
      <w:r w:rsidRPr="00612DB7">
        <w:rPr>
          <w:lang w:val="fr"/>
        </w:rPr>
        <w:t xml:space="preserve">, </w:t>
      </w:r>
      <w:r w:rsidR="00227CF6">
        <w:rPr>
          <w:lang w:val="fr"/>
        </w:rPr>
        <w:t xml:space="preserve">en </w:t>
      </w:r>
      <w:r w:rsidRPr="00612DB7">
        <w:rPr>
          <w:lang w:val="fr"/>
        </w:rPr>
        <w:t xml:space="preserve">quantité insuffisante, </w:t>
      </w:r>
      <w:r w:rsidR="00227CF6">
        <w:rPr>
          <w:lang w:val="fr"/>
        </w:rPr>
        <w:t>ou d’un niveau de fonctionnalité insuffisant</w:t>
      </w:r>
      <w:r w:rsidRPr="00612DB7">
        <w:rPr>
          <w:lang w:val="fr"/>
        </w:rPr>
        <w:t>.  Bien que les</w:t>
      </w:r>
      <w:r w:rsidR="00227CF6">
        <w:rPr>
          <w:lang w:val="fr"/>
        </w:rPr>
        <w:t xml:space="preserve"> plans NOVI</w:t>
      </w:r>
      <w:r w:rsidRPr="00612DB7">
        <w:rPr>
          <w:lang w:val="fr"/>
        </w:rPr>
        <w:t xml:space="preserve"> ne soient pas courants dans la plupart des </w:t>
      </w:r>
      <w:r w:rsidR="00227CF6">
        <w:rPr>
          <w:lang w:val="fr"/>
        </w:rPr>
        <w:t>structures de soins pré hospitaliers</w:t>
      </w:r>
      <w:r w:rsidRPr="00612DB7">
        <w:rPr>
          <w:lang w:val="fr"/>
        </w:rPr>
        <w:t>, le nombre inhabituellement élevé de répondants indiquant qu'ils avaient participé à un</w:t>
      </w:r>
      <w:r w:rsidR="00227CF6">
        <w:rPr>
          <w:lang w:val="fr"/>
        </w:rPr>
        <w:t xml:space="preserve"> plan NOVI</w:t>
      </w:r>
      <w:r w:rsidRPr="00612DB7">
        <w:rPr>
          <w:lang w:val="fr"/>
        </w:rPr>
        <w:t xml:space="preserve"> réel </w:t>
      </w:r>
      <w:r w:rsidR="00227CF6">
        <w:rPr>
          <w:lang w:val="fr"/>
        </w:rPr>
        <w:t>est</w:t>
      </w:r>
      <w:r w:rsidRPr="00612DB7">
        <w:rPr>
          <w:lang w:val="fr"/>
        </w:rPr>
        <w:t xml:space="preserve"> dû au fait que l'un des </w:t>
      </w:r>
      <w:r w:rsidR="00227CF6">
        <w:rPr>
          <w:lang w:val="fr"/>
        </w:rPr>
        <w:t>groupes de professionnels</w:t>
      </w:r>
      <w:r w:rsidRPr="00612DB7">
        <w:rPr>
          <w:lang w:val="fr"/>
        </w:rPr>
        <w:t xml:space="preserve"> </w:t>
      </w:r>
      <w:r w:rsidR="00227CF6">
        <w:rPr>
          <w:lang w:val="fr"/>
        </w:rPr>
        <w:t>était intervenu sur les lieux</w:t>
      </w:r>
      <w:r w:rsidRPr="00612DB7">
        <w:rPr>
          <w:lang w:val="fr"/>
        </w:rPr>
        <w:t xml:space="preserve"> de l'attentat du marathon de Boston en 2013.</w:t>
      </w:r>
    </w:p>
    <w:p w14:paraId="60A46281" w14:textId="672051FB" w:rsidR="00612DB7" w:rsidRPr="00612DB7" w:rsidRDefault="00612DB7" w:rsidP="00B5424E">
      <w:pPr>
        <w:pStyle w:val="Sansinterligne"/>
        <w:ind w:firstLine="720"/>
      </w:pPr>
      <w:r w:rsidRPr="00612DB7">
        <w:rPr>
          <w:lang w:val="fr"/>
        </w:rPr>
        <w:t xml:space="preserve">Bien que les algorithmes de triage et les étiquettes de triage soient </w:t>
      </w:r>
      <w:r w:rsidR="00227CF6">
        <w:rPr>
          <w:lang w:val="fr"/>
        </w:rPr>
        <w:t>des</w:t>
      </w:r>
      <w:r w:rsidRPr="00612DB7">
        <w:rPr>
          <w:lang w:val="fr"/>
        </w:rPr>
        <w:t xml:space="preserve"> </w:t>
      </w:r>
      <w:r w:rsidR="00227CF6">
        <w:rPr>
          <w:lang w:val="fr"/>
        </w:rPr>
        <w:t>notions</w:t>
      </w:r>
      <w:r w:rsidRPr="00612DB7">
        <w:rPr>
          <w:lang w:val="fr"/>
        </w:rPr>
        <w:t xml:space="preserve"> fondamentale</w:t>
      </w:r>
      <w:r w:rsidR="00227CF6">
        <w:rPr>
          <w:lang w:val="fr"/>
        </w:rPr>
        <w:t>s,</w:t>
      </w:r>
      <w:r w:rsidRPr="00612DB7">
        <w:rPr>
          <w:lang w:val="fr"/>
        </w:rPr>
        <w:t xml:space="preserve"> enseignée</w:t>
      </w:r>
      <w:r w:rsidR="00227CF6">
        <w:rPr>
          <w:lang w:val="fr"/>
        </w:rPr>
        <w:t>s</w:t>
      </w:r>
      <w:r w:rsidRPr="00612DB7">
        <w:rPr>
          <w:lang w:val="fr"/>
        </w:rPr>
        <w:t xml:space="preserve"> </w:t>
      </w:r>
      <w:r w:rsidR="00227CF6">
        <w:rPr>
          <w:lang w:val="fr"/>
        </w:rPr>
        <w:t>lors de la formation</w:t>
      </w:r>
      <w:r w:rsidRPr="00612DB7">
        <w:rPr>
          <w:lang w:val="fr"/>
        </w:rPr>
        <w:t xml:space="preserve"> primaire </w:t>
      </w:r>
      <w:r w:rsidR="00227CF6">
        <w:rPr>
          <w:lang w:val="fr"/>
        </w:rPr>
        <w:t>initiale mais aussi tout au long de la formation</w:t>
      </w:r>
      <w:r w:rsidRPr="00612DB7">
        <w:rPr>
          <w:lang w:val="fr"/>
        </w:rPr>
        <w:t xml:space="preserve"> continue de</w:t>
      </w:r>
      <w:r w:rsidR="00227CF6">
        <w:rPr>
          <w:lang w:val="fr"/>
        </w:rPr>
        <w:t>s intervenants pré hospitaliers (EMS),</w:t>
      </w:r>
      <w:r w:rsidRPr="00612DB7">
        <w:rPr>
          <w:lang w:val="fr"/>
        </w:rPr>
        <w:t xml:space="preserve"> et </w:t>
      </w:r>
      <w:r w:rsidR="00227CF6">
        <w:rPr>
          <w:lang w:val="fr"/>
        </w:rPr>
        <w:t>lors d</w:t>
      </w:r>
      <w:r w:rsidRPr="00612DB7">
        <w:rPr>
          <w:lang w:val="fr"/>
        </w:rPr>
        <w:t>es exercices d</w:t>
      </w:r>
      <w:r w:rsidR="00227CF6">
        <w:rPr>
          <w:lang w:val="fr"/>
        </w:rPr>
        <w:t>e type plan NOVI</w:t>
      </w:r>
      <w:r w:rsidRPr="00612DB7">
        <w:rPr>
          <w:lang w:val="fr"/>
        </w:rPr>
        <w:t xml:space="preserve">, </w:t>
      </w:r>
      <w:r w:rsidR="00227CF6">
        <w:rPr>
          <w:lang w:val="fr"/>
        </w:rPr>
        <w:t xml:space="preserve">ils </w:t>
      </w:r>
      <w:r w:rsidRPr="00612DB7">
        <w:rPr>
          <w:lang w:val="fr"/>
        </w:rPr>
        <w:t xml:space="preserve">n'ont souvent pas été employés dans des événements réels.  </w:t>
      </w:r>
      <w:r w:rsidR="00227CF6">
        <w:rPr>
          <w:lang w:val="fr"/>
        </w:rPr>
        <w:t>Même si l’absence</w:t>
      </w:r>
      <w:r w:rsidRPr="00612DB7">
        <w:rPr>
          <w:lang w:val="fr"/>
        </w:rPr>
        <w:t xml:space="preserve"> </w:t>
      </w:r>
      <w:r w:rsidR="00227CF6">
        <w:rPr>
          <w:lang w:val="fr"/>
        </w:rPr>
        <w:t>d’</w:t>
      </w:r>
      <w:r w:rsidRPr="00612DB7">
        <w:rPr>
          <w:lang w:val="fr"/>
        </w:rPr>
        <w:t>étiquette de triage n</w:t>
      </w:r>
      <w:r w:rsidR="00227CF6">
        <w:rPr>
          <w:lang w:val="fr"/>
        </w:rPr>
        <w:t>e signifi</w:t>
      </w:r>
      <w:r w:rsidRPr="00612DB7">
        <w:rPr>
          <w:lang w:val="fr"/>
        </w:rPr>
        <w:t>e pas qu'un système de triage/algorithme n'a</w:t>
      </w:r>
      <w:r w:rsidR="00227CF6">
        <w:rPr>
          <w:lang w:val="fr"/>
        </w:rPr>
        <w:t>it</w:t>
      </w:r>
      <w:r w:rsidRPr="00612DB7">
        <w:rPr>
          <w:lang w:val="fr"/>
        </w:rPr>
        <w:t xml:space="preserve"> pas été utilisé sur place, elle peut entraîner une gestion </w:t>
      </w:r>
      <w:r w:rsidR="00227CF6">
        <w:rPr>
          <w:lang w:val="fr"/>
        </w:rPr>
        <w:t xml:space="preserve">moins </w:t>
      </w:r>
      <w:r w:rsidRPr="00612DB7">
        <w:rPr>
          <w:lang w:val="fr"/>
        </w:rPr>
        <w:t xml:space="preserve">efficace </w:t>
      </w:r>
      <w:r w:rsidR="00227CF6">
        <w:rPr>
          <w:lang w:val="fr"/>
        </w:rPr>
        <w:t>des victimes</w:t>
      </w:r>
      <w:r w:rsidRPr="00612DB7">
        <w:rPr>
          <w:lang w:val="fr"/>
        </w:rPr>
        <w:t xml:space="preserve">, car les nouveaux intervenants </w:t>
      </w:r>
      <w:r w:rsidR="00227CF6">
        <w:rPr>
          <w:lang w:val="fr"/>
        </w:rPr>
        <w:t>pré hospitaliers</w:t>
      </w:r>
      <w:r w:rsidRPr="00612DB7">
        <w:rPr>
          <w:lang w:val="fr"/>
        </w:rPr>
        <w:t xml:space="preserve"> peuvent </w:t>
      </w:r>
      <w:r w:rsidR="00227CF6">
        <w:rPr>
          <w:lang w:val="fr"/>
        </w:rPr>
        <w:t xml:space="preserve">être amenés á </w:t>
      </w:r>
      <w:r w:rsidRPr="00612DB7">
        <w:rPr>
          <w:lang w:val="fr"/>
        </w:rPr>
        <w:t>trier les patients déjà évalués</w:t>
      </w:r>
      <w:r w:rsidR="00227CF6">
        <w:rPr>
          <w:lang w:val="fr"/>
        </w:rPr>
        <w:t>/triés mais</w:t>
      </w:r>
      <w:r w:rsidRPr="00612DB7">
        <w:rPr>
          <w:lang w:val="fr"/>
        </w:rPr>
        <w:t xml:space="preserve"> non étiquetés</w:t>
      </w:r>
      <w:r w:rsidR="00227CF6">
        <w:rPr>
          <w:lang w:val="fr"/>
        </w:rPr>
        <w:t>, ce qui est une perte de temps et une mauvaise utilisation des ressources disponibles</w:t>
      </w:r>
      <w:r w:rsidRPr="00612DB7">
        <w:rPr>
          <w:lang w:val="fr"/>
        </w:rPr>
        <w:t>.</w:t>
      </w:r>
    </w:p>
    <w:p w14:paraId="60A46282" w14:textId="34E25E75" w:rsidR="00612DB7" w:rsidRDefault="00612DB7" w:rsidP="00B5424E">
      <w:pPr>
        <w:pStyle w:val="Sansinterligne"/>
        <w:ind w:firstLine="360"/>
      </w:pPr>
      <w:r w:rsidRPr="00612DB7">
        <w:rPr>
          <w:lang w:val="fr"/>
        </w:rPr>
        <w:t xml:space="preserve">Cette étude </w:t>
      </w:r>
      <w:r w:rsidR="0031620A">
        <w:rPr>
          <w:lang w:val="fr"/>
        </w:rPr>
        <w:t>confirm</w:t>
      </w:r>
      <w:r w:rsidRPr="00612DB7">
        <w:rPr>
          <w:lang w:val="fr"/>
        </w:rPr>
        <w:t xml:space="preserve">e ce que la plupart des </w:t>
      </w:r>
      <w:r w:rsidR="00227CF6">
        <w:rPr>
          <w:lang w:val="fr"/>
        </w:rPr>
        <w:t>intervenants</w:t>
      </w:r>
      <w:r w:rsidRPr="00612DB7">
        <w:rPr>
          <w:lang w:val="fr"/>
        </w:rPr>
        <w:t xml:space="preserve"> soupçonnaient déjà; quel que soit le système mis en œuvre, l'</w:t>
      </w:r>
      <w:r w:rsidR="00227CF6">
        <w:rPr>
          <w:lang w:val="fr"/>
        </w:rPr>
        <w:t>enseignement</w:t>
      </w:r>
      <w:r w:rsidRPr="00612DB7">
        <w:rPr>
          <w:lang w:val="fr"/>
        </w:rPr>
        <w:t xml:space="preserve"> et la formation préalables, les protocoles de service et les exercices d'intervention </w:t>
      </w:r>
      <w:r w:rsidR="00227CF6">
        <w:rPr>
          <w:lang w:val="fr"/>
        </w:rPr>
        <w:t>type ACEL ou NOVI</w:t>
      </w:r>
      <w:r w:rsidRPr="00612DB7">
        <w:rPr>
          <w:lang w:val="fr"/>
        </w:rPr>
        <w:t xml:space="preserve">, les processus de triage complets ne sont souvent pas utilisés sur </w:t>
      </w:r>
      <w:r w:rsidR="00227CF6">
        <w:rPr>
          <w:lang w:val="fr"/>
        </w:rPr>
        <w:t>les lieux</w:t>
      </w:r>
      <w:r w:rsidRPr="00612DB7">
        <w:rPr>
          <w:lang w:val="fr"/>
        </w:rPr>
        <w:t xml:space="preserve"> lors d'événements réels.  Nous devons continuer d'évaluer la différence entre ce qui est attendu </w:t>
      </w:r>
      <w:r w:rsidR="00227CF6">
        <w:rPr>
          <w:lang w:val="fr"/>
        </w:rPr>
        <w:t>des intervenants pré</w:t>
      </w:r>
      <w:r w:rsidR="00DB0298">
        <w:rPr>
          <w:lang w:val="fr"/>
        </w:rPr>
        <w:t xml:space="preserve"> </w:t>
      </w:r>
      <w:r w:rsidR="00227CF6">
        <w:rPr>
          <w:lang w:val="fr"/>
        </w:rPr>
        <w:t>hospitaliers</w:t>
      </w:r>
      <w:r w:rsidRPr="00612DB7">
        <w:rPr>
          <w:lang w:val="fr"/>
        </w:rPr>
        <w:t xml:space="preserve"> lors d'un événement </w:t>
      </w:r>
      <w:r w:rsidR="00227CF6">
        <w:rPr>
          <w:lang w:val="fr"/>
        </w:rPr>
        <w:t>type NOVI</w:t>
      </w:r>
      <w:r w:rsidRPr="00612DB7">
        <w:rPr>
          <w:lang w:val="fr"/>
        </w:rPr>
        <w:t xml:space="preserve"> et ce qui est réellement fait</w:t>
      </w:r>
      <w:r w:rsidR="00227CF6">
        <w:rPr>
          <w:lang w:val="fr"/>
        </w:rPr>
        <w:t>,</w:t>
      </w:r>
      <w:r w:rsidRPr="00612DB7">
        <w:rPr>
          <w:lang w:val="fr"/>
        </w:rPr>
        <w:t xml:space="preserve"> et établir une corrélation entre </w:t>
      </w:r>
      <w:r w:rsidR="00227CF6">
        <w:rPr>
          <w:lang w:val="fr"/>
        </w:rPr>
        <w:t>ces constations</w:t>
      </w:r>
      <w:r w:rsidRPr="00612DB7">
        <w:rPr>
          <w:lang w:val="fr"/>
        </w:rPr>
        <w:t xml:space="preserve"> et les</w:t>
      </w:r>
      <w:r w:rsidR="00227CF6">
        <w:rPr>
          <w:lang w:val="fr"/>
        </w:rPr>
        <w:t xml:space="preserve"> éventuelles conséquences pour les</w:t>
      </w:r>
      <w:r w:rsidRPr="00612DB7">
        <w:rPr>
          <w:lang w:val="fr"/>
        </w:rPr>
        <w:t xml:space="preserve"> victimes.</w:t>
      </w:r>
    </w:p>
    <w:p w14:paraId="60A46283" w14:textId="77777777" w:rsidR="00B5424E" w:rsidRPr="00612DB7" w:rsidRDefault="00B5424E" w:rsidP="00B5424E">
      <w:pPr>
        <w:pStyle w:val="Sansinterligne"/>
        <w:ind w:firstLine="360"/>
      </w:pPr>
    </w:p>
    <w:p w14:paraId="60A46284" w14:textId="0515F820" w:rsidR="00612DB7" w:rsidRDefault="00612DB7" w:rsidP="00612DB7">
      <w:pPr>
        <w:pStyle w:val="Paragraphedeliste"/>
        <w:numPr>
          <w:ilvl w:val="0"/>
          <w:numId w:val="2"/>
        </w:numPr>
      </w:pPr>
      <w:r w:rsidRPr="003F4BB7">
        <w:rPr>
          <w:b/>
          <w:lang w:val="fr"/>
        </w:rPr>
        <w:t xml:space="preserve">Effet de la ventilation </w:t>
      </w:r>
      <w:r w:rsidR="009C3D07">
        <w:rPr>
          <w:b/>
          <w:lang w:val="fr"/>
        </w:rPr>
        <w:t>au BAVU</w:t>
      </w:r>
      <w:r w:rsidRPr="003F4BB7">
        <w:rPr>
          <w:b/>
          <w:lang w:val="fr"/>
        </w:rPr>
        <w:t xml:space="preserve"> </w:t>
      </w:r>
      <w:r w:rsidR="009C3D07">
        <w:rPr>
          <w:b/>
          <w:lang w:val="fr"/>
        </w:rPr>
        <w:t xml:space="preserve">versus </w:t>
      </w:r>
      <w:r w:rsidRPr="003F4BB7">
        <w:rPr>
          <w:b/>
          <w:lang w:val="fr"/>
        </w:rPr>
        <w:t xml:space="preserve">intubation endotrachéale pendant la réanimation cardio-pulmonaire après </w:t>
      </w:r>
      <w:r w:rsidR="00670B15">
        <w:rPr>
          <w:b/>
          <w:lang w:val="fr"/>
        </w:rPr>
        <w:t xml:space="preserve">un </w:t>
      </w:r>
      <w:r w:rsidRPr="003F4BB7">
        <w:rPr>
          <w:b/>
          <w:lang w:val="fr"/>
        </w:rPr>
        <w:t xml:space="preserve">arrêt cardiorespiratoire </w:t>
      </w:r>
      <w:r w:rsidR="003014F6">
        <w:rPr>
          <w:b/>
          <w:lang w:val="fr"/>
        </w:rPr>
        <w:t xml:space="preserve">(ACR) </w:t>
      </w:r>
      <w:r w:rsidR="00526651">
        <w:rPr>
          <w:b/>
          <w:lang w:val="fr"/>
        </w:rPr>
        <w:t>en de</w:t>
      </w:r>
      <w:r w:rsidRPr="003F4BB7">
        <w:rPr>
          <w:b/>
          <w:lang w:val="fr"/>
        </w:rPr>
        <w:t>hors de l'hôpital</w:t>
      </w:r>
      <w:r w:rsidR="00670B15">
        <w:rPr>
          <w:b/>
          <w:lang w:val="fr"/>
        </w:rPr>
        <w:t>,</w:t>
      </w:r>
      <w:r w:rsidR="00C11FB5" w:rsidRPr="00C11FB5">
        <w:rPr>
          <w:b/>
          <w:lang w:val="fr"/>
        </w:rPr>
        <w:t xml:space="preserve"> </w:t>
      </w:r>
      <w:r w:rsidR="00C11FB5" w:rsidRPr="003F4BB7">
        <w:rPr>
          <w:b/>
          <w:lang w:val="fr"/>
        </w:rPr>
        <w:t>sur le résultat neurologique</w:t>
      </w:r>
      <w:r w:rsidRPr="003F4BB7">
        <w:rPr>
          <w:b/>
          <w:lang w:val="fr"/>
        </w:rPr>
        <w:t xml:space="preserve">.  Un essai clinique randomisé.  </w:t>
      </w:r>
      <w:r>
        <w:rPr>
          <w:lang w:val="fr"/>
        </w:rPr>
        <w:t>Jabre  P,  Penaloza  A, Pinero D, et coll. JAMA. 2018;319(8):779-787</w:t>
      </w:r>
    </w:p>
    <w:p w14:paraId="1325DE22" w14:textId="27CEE3C4" w:rsidR="00920DBB" w:rsidRPr="00920DBB" w:rsidRDefault="00920DBB" w:rsidP="00920DBB">
      <w:pPr>
        <w:spacing w:after="0" w:line="240" w:lineRule="auto"/>
        <w:ind w:firstLine="720"/>
        <w:rPr>
          <w:lang w:val="fr"/>
        </w:rPr>
      </w:pPr>
      <w:r w:rsidRPr="00920DBB">
        <w:rPr>
          <w:lang w:val="fr"/>
        </w:rPr>
        <w:t>Pendant de nombreuses décennies, l</w:t>
      </w:r>
      <w:r w:rsidR="0087162A">
        <w:rPr>
          <w:lang w:val="fr"/>
        </w:rPr>
        <w:t>e</w:t>
      </w:r>
      <w:r w:rsidRPr="00920DBB">
        <w:rPr>
          <w:lang w:val="fr"/>
        </w:rPr>
        <w:t xml:space="preserve"> « </w:t>
      </w:r>
      <w:r>
        <w:rPr>
          <w:lang w:val="fr"/>
        </w:rPr>
        <w:t>golden sta</w:t>
      </w:r>
      <w:r w:rsidR="0087162A">
        <w:rPr>
          <w:lang w:val="fr"/>
        </w:rPr>
        <w:t>ndard</w:t>
      </w:r>
      <w:r w:rsidRPr="00920DBB">
        <w:rPr>
          <w:lang w:val="fr"/>
        </w:rPr>
        <w:t xml:space="preserve"> » de la gestion des voies aériennes, tant dans la phase préhospitalière qu'à l'hôpital, lors de la réanimation, a été l'intubation endotrachéale précoce (IOT).  Cependant, on pense que la ventilation au BAVU est une modalité moins complexe pour maintenir les voies aériennes et assurer la ventilation, tout en effectuant la réanimation cardio-pulmonaire (RCP) pendant la phase initiale (ACLS) de la réanimation. Plusieurs études rétrospectives récentes fondées sur l’exploitation de registres, ont suggéré que la survie après un arrêt cardiaque est plus faible lorsque l'IOT est utilisée tandis que d'autres suggéraient le contraire.</w:t>
      </w:r>
    </w:p>
    <w:p w14:paraId="2EC777E6" w14:textId="77777777" w:rsidR="00920DBB" w:rsidRPr="00920DBB" w:rsidRDefault="00920DBB" w:rsidP="00920DBB">
      <w:pPr>
        <w:spacing w:after="0" w:line="240" w:lineRule="auto"/>
        <w:ind w:firstLine="720"/>
        <w:rPr>
          <w:lang w:val="fr"/>
        </w:rPr>
      </w:pPr>
      <w:r w:rsidRPr="00920DBB">
        <w:rPr>
          <w:lang w:val="fr"/>
        </w:rPr>
        <w:lastRenderedPageBreak/>
        <w:t xml:space="preserve">Cette étude randomisée prospective, compare les résultats à 28 jours de plus de 2000 patients victimes d'un arrêt cardiaque en dehors de l’hôpital, dans deux groupes qui ont été randomisés, gestion des voies aériennes avec BAVU versus IOT.  La principale mesure des résultats est la survie et le statut neurologique à 28 jours après l'ACR.  L'étude a été menée en France et en Belgique sur une période de 22 mois dans des équipes pré hospitalières comportant un ambulancier, un(e) infirmièr(e) et un médecin urgentiste. Il y avait 1020 patients dans le groupe BAVU et 1023 dans le groupe IOT.  Tous les patients étaient âgés de plus de 18 ans.  Les auteurs ont constaté un taux de RACS significativement plus élevé dans le groupe IOT de 38,9 % contre 34,2 % dans le groupe BAVU.  Cependant, il n'y avait aucune différence en terme de survie à l'admission à l'hôpital (BAVU vs IOT : 28,9 % contre 32,6 %) ni en terme de survie à 28 jours (BAVU vs IOT: 5,4% vs 5,3%).  Il convient toutefois de noter que le groupe BAVU avait un taux significativement plus élevé de régurgitation du contenu gastrique (15,2 % contre 7,5 %, p-lt;0,001).  Ainsi, les auteurs ont conclu que cette étude n'a pas démontré si le BAVU ou l’IOT était la technique préférée de gestion des voies aériennes chez les patients victimes d’ACR en dehors de l’hôpital.  </w:t>
      </w:r>
    </w:p>
    <w:p w14:paraId="354F7937" w14:textId="2C5168CB" w:rsidR="00920DBB" w:rsidRPr="00920DBB" w:rsidRDefault="00920DBB" w:rsidP="00920DBB">
      <w:pPr>
        <w:spacing w:after="0" w:line="240" w:lineRule="auto"/>
        <w:ind w:firstLine="720"/>
        <w:rPr>
          <w:lang w:val="fr"/>
        </w:rPr>
      </w:pPr>
      <w:r w:rsidRPr="00920DBB">
        <w:rPr>
          <w:lang w:val="fr"/>
        </w:rPr>
        <w:t>Il existe de nombreuses limites à cette étude quand on l'applique à des service pré hospitali</w:t>
      </w:r>
      <w:r>
        <w:rPr>
          <w:lang w:val="fr"/>
        </w:rPr>
        <w:t>er</w:t>
      </w:r>
      <w:r w:rsidRPr="00920DBB">
        <w:rPr>
          <w:lang w:val="fr"/>
        </w:rPr>
        <w:t>s non médicalisés de type EMS, comme aux États-Unis.  La première est la composition de l'équipage des unités d'intervention en France et en Belgique.  Ces unités comprennent un médecin urgentiste.    Beaucoup de ces médecins ont été initialement formés comme anesthésistes.  Cette étude a révélé un taux d'intubation réussi de 91,8 %.  Ce taux est bien supérieur aux taux de réussite dans la plupart des autres systèmes pré hospitaliers non médicalisés.  La deuxième limite de cette étude était, que une fois la RASC obtenue dans le groupe BAVU, le patient a été alors intubé dans la période immédiatement apr</w:t>
      </w:r>
      <w:r>
        <w:rPr>
          <w:lang w:val="fr"/>
        </w:rPr>
        <w:t>è</w:t>
      </w:r>
      <w:r w:rsidRPr="00920DBB">
        <w:rPr>
          <w:lang w:val="fr"/>
        </w:rPr>
        <w:t>s.  Ainsi, cette étude n'évalue que le « timing » de l'IOT et non pas si l'IOT doit être effectuée ou non.  Comme le soulignent les auteurs, une étude supplémentaire est nécessaire puisque la méthode optimale de gestion des voies aériennes pour les victimes d’ACR en extra hospitalier, n'a pas encore été déterminée.</w:t>
      </w:r>
    </w:p>
    <w:p w14:paraId="60A46288" w14:textId="77777777" w:rsidR="00B5424E" w:rsidRDefault="00B5424E" w:rsidP="00B5424E">
      <w:pPr>
        <w:spacing w:after="0" w:line="240" w:lineRule="auto"/>
        <w:ind w:firstLine="360"/>
      </w:pPr>
    </w:p>
    <w:p w14:paraId="60A46289" w14:textId="77777777" w:rsidR="00612DB7" w:rsidRDefault="00612DB7" w:rsidP="00612DB7">
      <w:pPr>
        <w:pStyle w:val="Paragraphedeliste"/>
        <w:numPr>
          <w:ilvl w:val="0"/>
          <w:numId w:val="2"/>
        </w:numPr>
      </w:pPr>
      <w:r w:rsidRPr="003F4BB7">
        <w:rPr>
          <w:b/>
          <w:lang w:val="fr"/>
        </w:rPr>
        <w:t xml:space="preserve">Valeur de l'évaluation préhospitalière des fractures de la colonne vertébrale par les ambulanciers paramédicaux. </w:t>
      </w:r>
      <w:r>
        <w:rPr>
          <w:lang w:val="fr"/>
        </w:rPr>
        <w:t xml:space="preserve">dix  Brinke </w:t>
      </w:r>
      <w:r w:rsidR="007419D9">
        <w:rPr>
          <w:lang w:val="fr"/>
        </w:rPr>
        <w:t xml:space="preserve"> J.G.,</w:t>
      </w:r>
      <w:r>
        <w:rPr>
          <w:lang w:val="fr"/>
        </w:rPr>
        <w:t xml:space="preserve">  Gebbink </w:t>
      </w:r>
      <w:r w:rsidR="007419D9">
        <w:rPr>
          <w:lang w:val="fr"/>
        </w:rPr>
        <w:t xml:space="preserve"> W.K., </w:t>
      </w:r>
      <w:r>
        <w:rPr>
          <w:lang w:val="fr"/>
        </w:rPr>
        <w:t xml:space="preserve"> Pallada </w:t>
      </w:r>
      <w:r w:rsidR="007419D9">
        <w:rPr>
          <w:lang w:val="fr"/>
        </w:rPr>
        <w:t xml:space="preserve"> L, </w:t>
      </w:r>
      <w:r>
        <w:rPr>
          <w:lang w:val="fr"/>
        </w:rPr>
        <w:t xml:space="preserve"> Saltzher </w:t>
      </w:r>
      <w:r w:rsidR="007419D9">
        <w:rPr>
          <w:lang w:val="fr"/>
        </w:rPr>
        <w:t xml:space="preserve"> TP, </w:t>
      </w:r>
      <w:r>
        <w:rPr>
          <w:lang w:val="fr"/>
        </w:rPr>
        <w:t xml:space="preserve"> Hogervorst </w:t>
      </w:r>
      <w:r w:rsidR="007419D9">
        <w:rPr>
          <w:lang w:val="fr"/>
        </w:rPr>
        <w:t xml:space="preserve"> M, </w:t>
      </w:r>
      <w:r>
        <w:rPr>
          <w:lang w:val="fr"/>
        </w:rPr>
        <w:t xml:space="preserve"> Goslings </w:t>
      </w:r>
      <w:r w:rsidR="007419D9">
        <w:rPr>
          <w:lang w:val="fr"/>
        </w:rPr>
        <w:t xml:space="preserve"> JC</w:t>
      </w:r>
      <w:r w:rsidR="003F4BB7">
        <w:rPr>
          <w:lang w:val="fr"/>
        </w:rPr>
        <w:t xml:space="preserve">.   </w:t>
      </w:r>
      <w:r>
        <w:rPr>
          <w:lang w:val="fr"/>
        </w:rPr>
        <w:t xml:space="preserve"> European Journal of Trauma and Emergency Surgery - Août 2017  </w:t>
      </w:r>
      <w:r w:rsidR="00523D0F">
        <w:rPr>
          <w:lang w:val="fr"/>
        </w:rPr>
        <w:t>Texte intégral disponible</w:t>
      </w:r>
      <w:r>
        <w:rPr>
          <w:lang w:val="fr"/>
        </w:rPr>
        <w:t xml:space="preserve">  à: https://link.springer.com/content/pdf/10.1007%2Fs00068-017-0828-0.pdf</w:t>
      </w:r>
    </w:p>
    <w:p w14:paraId="60A4628A" w14:textId="200FF97A" w:rsidR="00612DB7" w:rsidRDefault="00612DB7" w:rsidP="00B5424E">
      <w:pPr>
        <w:spacing w:after="0" w:line="240" w:lineRule="auto"/>
        <w:ind w:firstLine="720"/>
      </w:pPr>
      <w:r>
        <w:rPr>
          <w:lang w:val="fr"/>
        </w:rPr>
        <w:t xml:space="preserve">Au cours des dernières décennies, les protocoles concernant l'immobilisation </w:t>
      </w:r>
      <w:r w:rsidR="00EF3743">
        <w:rPr>
          <w:lang w:val="fr"/>
        </w:rPr>
        <w:t xml:space="preserve">du rachis ont beaucoup évolué, </w:t>
      </w:r>
      <w:r w:rsidR="00451B2D">
        <w:rPr>
          <w:lang w:val="fr"/>
        </w:rPr>
        <w:t xml:space="preserve">passant de </w:t>
      </w:r>
      <w:r w:rsidR="00A26D05">
        <w:rPr>
          <w:lang w:val="fr"/>
        </w:rPr>
        <w:t xml:space="preserve">décisions de prise en charge essentiellement </w:t>
      </w:r>
      <w:r w:rsidR="004B2C7A">
        <w:rPr>
          <w:lang w:val="fr"/>
        </w:rPr>
        <w:t xml:space="preserve">basées </w:t>
      </w:r>
      <w:r>
        <w:rPr>
          <w:lang w:val="fr"/>
        </w:rPr>
        <w:t xml:space="preserve">sur le mécanisme </w:t>
      </w:r>
      <w:r w:rsidR="00E5516F">
        <w:rPr>
          <w:lang w:val="fr"/>
        </w:rPr>
        <w:t>lésionnel</w:t>
      </w:r>
      <w:r w:rsidR="00F20097">
        <w:rPr>
          <w:lang w:val="fr"/>
        </w:rPr>
        <w:t xml:space="preserve"> (cinétique)</w:t>
      </w:r>
      <w:r>
        <w:rPr>
          <w:lang w:val="fr"/>
        </w:rPr>
        <w:t xml:space="preserve"> à l'utilisation de protocoles sélectifs d'immobilisation spinale. L'argument de ce</w:t>
      </w:r>
      <w:r w:rsidR="005800EF">
        <w:rPr>
          <w:lang w:val="fr"/>
        </w:rPr>
        <w:t>s</w:t>
      </w:r>
      <w:r>
        <w:rPr>
          <w:lang w:val="fr"/>
        </w:rPr>
        <w:t xml:space="preserve"> changement</w:t>
      </w:r>
      <w:r w:rsidR="005800EF">
        <w:rPr>
          <w:lang w:val="fr"/>
        </w:rPr>
        <w:t>s,</w:t>
      </w:r>
      <w:r>
        <w:rPr>
          <w:lang w:val="fr"/>
        </w:rPr>
        <w:t xml:space="preserve"> était le manque de preuves scientifiques à l'appui de l'immobilisation de la colonne vertébrale, le faible nombre de patients immobilisés qui ont effectivement des lésions de la colonne vertébrale, et le </w:t>
      </w:r>
      <w:r w:rsidR="00ED3E7F">
        <w:rPr>
          <w:lang w:val="fr"/>
        </w:rPr>
        <w:t>risque</w:t>
      </w:r>
      <w:r>
        <w:rPr>
          <w:lang w:val="fr"/>
        </w:rPr>
        <w:t xml:space="preserve"> de blessures ou de complications provoquées par les dispositifs utilisés pour immobiliser les patients. Fait intéressant, il</w:t>
      </w:r>
      <w:r w:rsidR="00825E9C">
        <w:rPr>
          <w:lang w:val="fr"/>
        </w:rPr>
        <w:t xml:space="preserve"> n’</w:t>
      </w:r>
      <w:r>
        <w:rPr>
          <w:lang w:val="fr"/>
        </w:rPr>
        <w:t>y a aussi, peu ou pas de preuves</w:t>
      </w:r>
      <w:r w:rsidR="00825E9C">
        <w:rPr>
          <w:lang w:val="fr"/>
        </w:rPr>
        <w:t xml:space="preserve"> de la pertinence de protocoles basés sur</w:t>
      </w:r>
      <w:r>
        <w:rPr>
          <w:lang w:val="fr"/>
        </w:rPr>
        <w:t xml:space="preserve"> l'</w:t>
      </w:r>
      <w:r w:rsidR="00825E9C">
        <w:rPr>
          <w:lang w:val="fr"/>
        </w:rPr>
        <w:t>évaluation clinique</w:t>
      </w:r>
      <w:r>
        <w:rPr>
          <w:lang w:val="fr"/>
        </w:rPr>
        <w:t xml:space="preserve">. Cette étude a cherché à </w:t>
      </w:r>
      <w:r w:rsidR="00B5116A">
        <w:rPr>
          <w:lang w:val="fr"/>
        </w:rPr>
        <w:t>combler en partie ce manque,</w:t>
      </w:r>
      <w:r>
        <w:rPr>
          <w:lang w:val="fr"/>
        </w:rPr>
        <w:t xml:space="preserve"> en évaluant l'exactitude des évaluations préhospitalières</w:t>
      </w:r>
      <w:r w:rsidR="00745B2A">
        <w:rPr>
          <w:lang w:val="fr"/>
        </w:rPr>
        <w:t>,</w:t>
      </w:r>
      <w:r>
        <w:rPr>
          <w:lang w:val="fr"/>
        </w:rPr>
        <w:t xml:space="preserve"> </w:t>
      </w:r>
      <w:r w:rsidR="003539DD">
        <w:rPr>
          <w:lang w:val="fr"/>
        </w:rPr>
        <w:t>à la recherche</w:t>
      </w:r>
      <w:r w:rsidR="0058207C">
        <w:rPr>
          <w:lang w:val="fr"/>
        </w:rPr>
        <w:t xml:space="preserve"> de potentielles</w:t>
      </w:r>
      <w:r>
        <w:rPr>
          <w:lang w:val="fr"/>
        </w:rPr>
        <w:t xml:space="preserve"> fractures de la colonne vertébrale</w:t>
      </w:r>
      <w:r w:rsidR="0058207C">
        <w:rPr>
          <w:lang w:val="fr"/>
        </w:rPr>
        <w:t xml:space="preserve">, </w:t>
      </w:r>
      <w:r>
        <w:rPr>
          <w:lang w:val="fr"/>
        </w:rPr>
        <w:t>effectuées par les ambulanciers paramédicaux néerlandais.</w:t>
      </w:r>
    </w:p>
    <w:p w14:paraId="60A4628B" w14:textId="40F32C7F" w:rsidR="00612DB7" w:rsidRDefault="00612DB7" w:rsidP="00B5424E">
      <w:pPr>
        <w:spacing w:after="0" w:line="240" w:lineRule="auto"/>
        <w:ind w:firstLine="720"/>
      </w:pPr>
      <w:r>
        <w:rPr>
          <w:lang w:val="fr"/>
        </w:rPr>
        <w:t>Il s'agi</w:t>
      </w:r>
      <w:r w:rsidR="00106065">
        <w:rPr>
          <w:lang w:val="fr"/>
        </w:rPr>
        <w:t>t</w:t>
      </w:r>
      <w:r>
        <w:rPr>
          <w:lang w:val="fr"/>
        </w:rPr>
        <w:t xml:space="preserve"> d'une étude de cohorte prospective qui port</w:t>
      </w:r>
      <w:r w:rsidR="00943D8E">
        <w:rPr>
          <w:lang w:val="fr"/>
        </w:rPr>
        <w:t>e</w:t>
      </w:r>
      <w:r>
        <w:rPr>
          <w:lang w:val="fr"/>
        </w:rPr>
        <w:t xml:space="preserve"> sur tous les patients qui se sont présentés avec </w:t>
      </w:r>
      <w:r w:rsidR="00106065">
        <w:rPr>
          <w:lang w:val="fr"/>
        </w:rPr>
        <w:t xml:space="preserve">une </w:t>
      </w:r>
      <w:r>
        <w:rPr>
          <w:lang w:val="fr"/>
        </w:rPr>
        <w:t>immobilisation spinale préhospitalière</w:t>
      </w:r>
      <w:r w:rsidR="00106065">
        <w:rPr>
          <w:lang w:val="fr"/>
        </w:rPr>
        <w:t>,</w:t>
      </w:r>
      <w:r>
        <w:rPr>
          <w:lang w:val="fr"/>
        </w:rPr>
        <w:t xml:space="preserve"> à un </w:t>
      </w:r>
      <w:r w:rsidR="000B0F58">
        <w:rPr>
          <w:lang w:val="fr"/>
        </w:rPr>
        <w:t xml:space="preserve">unique </w:t>
      </w:r>
      <w:r>
        <w:rPr>
          <w:lang w:val="fr"/>
        </w:rPr>
        <w:t>centre de traumatologie de niveau II</w:t>
      </w:r>
      <w:r w:rsidR="00106065">
        <w:rPr>
          <w:lang w:val="fr"/>
        </w:rPr>
        <w:t>,</w:t>
      </w:r>
      <w:r>
        <w:rPr>
          <w:lang w:val="fr"/>
        </w:rPr>
        <w:t xml:space="preserve"> entre janvier 2013 et janvier 2014. </w:t>
      </w:r>
      <w:r w:rsidR="00FC7572">
        <w:rPr>
          <w:lang w:val="fr"/>
        </w:rPr>
        <w:t>Pour chaque l</w:t>
      </w:r>
      <w:r>
        <w:rPr>
          <w:lang w:val="fr"/>
        </w:rPr>
        <w:t xml:space="preserve">es ambulanciers paramédicaux ont enregistré leur évaluation de la probabilité de fractures de la colonne vertébrale et </w:t>
      </w:r>
      <w:r w:rsidR="00E84C62">
        <w:rPr>
          <w:lang w:val="fr"/>
        </w:rPr>
        <w:t>ce</w:t>
      </w:r>
      <w:r>
        <w:rPr>
          <w:lang w:val="fr"/>
        </w:rPr>
        <w:t xml:space="preserve">s évaluations ont été comparées aux diagnostics et aux résultats </w:t>
      </w:r>
      <w:r w:rsidR="00584C15">
        <w:rPr>
          <w:lang w:val="fr"/>
        </w:rPr>
        <w:t>retrouvés</w:t>
      </w:r>
      <w:r>
        <w:rPr>
          <w:lang w:val="fr"/>
        </w:rPr>
        <w:t xml:space="preserve"> à l'hôpital.</w:t>
      </w:r>
    </w:p>
    <w:p w14:paraId="60A4628C" w14:textId="53CCB388" w:rsidR="00612DB7" w:rsidRDefault="00612DB7" w:rsidP="00B5424E">
      <w:pPr>
        <w:spacing w:after="0" w:line="240" w:lineRule="auto"/>
        <w:ind w:firstLine="720"/>
      </w:pPr>
      <w:r>
        <w:rPr>
          <w:lang w:val="fr"/>
        </w:rPr>
        <w:lastRenderedPageBreak/>
        <w:t xml:space="preserve">Cent quatre-vingt-dix patients ont </w:t>
      </w:r>
      <w:r w:rsidR="006000C8">
        <w:rPr>
          <w:lang w:val="fr"/>
        </w:rPr>
        <w:t>bénéficié d’une</w:t>
      </w:r>
      <w:r>
        <w:rPr>
          <w:lang w:val="fr"/>
        </w:rPr>
        <w:t xml:space="preserve"> immobilis</w:t>
      </w:r>
      <w:r w:rsidR="006000C8">
        <w:rPr>
          <w:lang w:val="fr"/>
        </w:rPr>
        <w:t>ation du rachis</w:t>
      </w:r>
      <w:r>
        <w:rPr>
          <w:lang w:val="fr"/>
        </w:rPr>
        <w:t xml:space="preserve"> sur le terrain, dont 139 ont été inclus dans l'étude. Les ambulanciers paramédicaux ont prédit que 102 patients auraient probablement des fractures de la colonne vertébrale.  Il y a un total de 24 patients présentant des </w:t>
      </w:r>
      <w:r w:rsidR="004C414D">
        <w:rPr>
          <w:lang w:val="fr"/>
        </w:rPr>
        <w:t>fract</w:t>
      </w:r>
      <w:r>
        <w:rPr>
          <w:lang w:val="fr"/>
        </w:rPr>
        <w:t xml:space="preserve">ures </w:t>
      </w:r>
      <w:r w:rsidR="009E79F0">
        <w:rPr>
          <w:lang w:val="fr"/>
        </w:rPr>
        <w:t>du rachis</w:t>
      </w:r>
      <w:r>
        <w:rPr>
          <w:lang w:val="fr"/>
        </w:rPr>
        <w:t xml:space="preserve"> et les ambulanciers paramédicaux </w:t>
      </w:r>
      <w:r w:rsidR="009E79F0">
        <w:rPr>
          <w:lang w:val="fr"/>
        </w:rPr>
        <w:t xml:space="preserve">en </w:t>
      </w:r>
      <w:r>
        <w:rPr>
          <w:lang w:val="fr"/>
        </w:rPr>
        <w:t xml:space="preserve">ont identifié 22. Les deux fractures manquées se sont produites </w:t>
      </w:r>
      <w:r w:rsidR="0046374B">
        <w:rPr>
          <w:lang w:val="fr"/>
        </w:rPr>
        <w:t xml:space="preserve">suite </w:t>
      </w:r>
      <w:r>
        <w:rPr>
          <w:lang w:val="fr"/>
        </w:rPr>
        <w:t xml:space="preserve">à </w:t>
      </w:r>
      <w:r w:rsidR="0046374B">
        <w:rPr>
          <w:lang w:val="fr"/>
        </w:rPr>
        <w:t xml:space="preserve">une </w:t>
      </w:r>
      <w:r>
        <w:rPr>
          <w:lang w:val="fr"/>
        </w:rPr>
        <w:t xml:space="preserve">chute de hauteurs </w:t>
      </w:r>
      <w:r w:rsidR="00C562C7">
        <w:rPr>
          <w:lang w:val="fr"/>
        </w:rPr>
        <w:t>faibles</w:t>
      </w:r>
      <w:r>
        <w:rPr>
          <w:lang w:val="fr"/>
        </w:rPr>
        <w:t>. Des 115 patients qui n'ont pas eu de fractures, les ambulanciers paramédicaux ont évalué 80 d'entre eux comme ayant probablement des fractures.  Les auteurs ont conclu que les ambulanciers paramédicaux ont un faible degré de précision pré</w:t>
      </w:r>
      <w:r w:rsidR="004E69E9">
        <w:rPr>
          <w:lang w:val="fr"/>
        </w:rPr>
        <w:t>dire</w:t>
      </w:r>
      <w:r>
        <w:rPr>
          <w:lang w:val="fr"/>
        </w:rPr>
        <w:t xml:space="preserve"> la présence</w:t>
      </w:r>
      <w:r w:rsidR="00662E19">
        <w:rPr>
          <w:lang w:val="fr"/>
        </w:rPr>
        <w:t>/ou non</w:t>
      </w:r>
      <w:r>
        <w:rPr>
          <w:lang w:val="fr"/>
        </w:rPr>
        <w:t xml:space="preserve"> de fracture de la colonne vertébrale. De plus, sur la base de ces résultats, ils suggèrent que la mise en œuvre d'un protocole fondé sur les prédictions des ambulanciers paramédicaux ne réduira pas la surutilisation de l'immobilisation de la colonne vertébrale.</w:t>
      </w:r>
    </w:p>
    <w:p w14:paraId="60A4628D" w14:textId="409981C6" w:rsidR="00612DB7" w:rsidRDefault="00612DB7" w:rsidP="00B5424E">
      <w:pPr>
        <w:spacing w:after="0" w:line="240" w:lineRule="auto"/>
        <w:ind w:firstLine="720"/>
      </w:pPr>
      <w:r>
        <w:rPr>
          <w:lang w:val="fr"/>
        </w:rPr>
        <w:t xml:space="preserve">Les limites de cette étude comprenaient le nombre élevé d'exclusions fondées sur des données incomplètes, </w:t>
      </w:r>
      <w:r w:rsidR="004841EB">
        <w:rPr>
          <w:lang w:val="fr"/>
        </w:rPr>
        <w:t xml:space="preserve">de ne </w:t>
      </w:r>
      <w:r>
        <w:rPr>
          <w:lang w:val="fr"/>
        </w:rPr>
        <w:t xml:space="preserve">pas </w:t>
      </w:r>
      <w:r w:rsidR="004841EB">
        <w:rPr>
          <w:lang w:val="fr"/>
        </w:rPr>
        <w:t xml:space="preserve">avoir </w:t>
      </w:r>
      <w:r>
        <w:rPr>
          <w:lang w:val="fr"/>
        </w:rPr>
        <w:t>tenu compte d</w:t>
      </w:r>
      <w:r w:rsidR="004841EB">
        <w:rPr>
          <w:lang w:val="fr"/>
        </w:rPr>
        <w:t>u niveau d’</w:t>
      </w:r>
      <w:r>
        <w:rPr>
          <w:lang w:val="fr"/>
        </w:rPr>
        <w:t xml:space="preserve">expérience des ambulanciers paramédicaux dans leur collecte de données, et le fait que de nombreux patients présentant un fort potentiel de lésions de la colonne vertébrale ont été </w:t>
      </w:r>
      <w:r w:rsidR="000B0F58">
        <w:rPr>
          <w:lang w:val="fr"/>
        </w:rPr>
        <w:t>transport</w:t>
      </w:r>
      <w:r>
        <w:rPr>
          <w:lang w:val="fr"/>
        </w:rPr>
        <w:t xml:space="preserve">és </w:t>
      </w:r>
      <w:r w:rsidR="000B0F58">
        <w:rPr>
          <w:lang w:val="fr"/>
        </w:rPr>
        <w:t xml:space="preserve">vers un </w:t>
      </w:r>
      <w:r w:rsidR="009956BC">
        <w:rPr>
          <w:lang w:val="fr"/>
        </w:rPr>
        <w:t>trauma center de</w:t>
      </w:r>
      <w:r>
        <w:rPr>
          <w:lang w:val="fr"/>
        </w:rPr>
        <w:t xml:space="preserve"> niveau</w:t>
      </w:r>
      <w:r w:rsidR="009956BC">
        <w:rPr>
          <w:lang w:val="fr"/>
        </w:rPr>
        <w:t xml:space="preserve"> I </w:t>
      </w:r>
      <w:r>
        <w:rPr>
          <w:lang w:val="fr"/>
        </w:rPr>
        <w:t>et ont donc été exclus</w:t>
      </w:r>
      <w:r w:rsidR="009956BC">
        <w:rPr>
          <w:lang w:val="fr"/>
        </w:rPr>
        <w:t xml:space="preserve"> de l’étude</w:t>
      </w:r>
      <w:r>
        <w:rPr>
          <w:lang w:val="fr"/>
        </w:rPr>
        <w:t>.</w:t>
      </w:r>
    </w:p>
    <w:p w14:paraId="60A4628E" w14:textId="36962821" w:rsidR="00612DB7" w:rsidRDefault="00612DB7" w:rsidP="00B5424E">
      <w:pPr>
        <w:spacing w:after="0" w:line="240" w:lineRule="auto"/>
        <w:ind w:firstLine="360"/>
      </w:pPr>
      <w:r>
        <w:rPr>
          <w:lang w:val="fr"/>
        </w:rPr>
        <w:t>Comme les auteurs l'ont fait remarquer, cette étude est conforme à ce que d'autres études ont montré. Les</w:t>
      </w:r>
      <w:r w:rsidR="005438BE">
        <w:rPr>
          <w:lang w:val="fr"/>
        </w:rPr>
        <w:t xml:space="preserve"> intervenants pré hospitaliers</w:t>
      </w:r>
      <w:r>
        <w:rPr>
          <w:lang w:val="fr"/>
        </w:rPr>
        <w:t xml:space="preserve"> en général ne peuvent pas prédire avec précision la</w:t>
      </w:r>
      <w:r w:rsidR="005438BE">
        <w:rPr>
          <w:lang w:val="fr"/>
        </w:rPr>
        <w:t xml:space="preserve"> présence ou non d’une</w:t>
      </w:r>
      <w:r>
        <w:rPr>
          <w:lang w:val="fr"/>
        </w:rPr>
        <w:t xml:space="preserve"> fracture de la colonne vertébrale. Il semble que le passage de protocoles basés </w:t>
      </w:r>
      <w:r w:rsidR="00C562C7">
        <w:rPr>
          <w:lang w:val="fr"/>
        </w:rPr>
        <w:t xml:space="preserve">essentiellement </w:t>
      </w:r>
      <w:r>
        <w:rPr>
          <w:lang w:val="fr"/>
        </w:rPr>
        <w:t>sur le</w:t>
      </w:r>
      <w:r w:rsidR="00C562C7">
        <w:rPr>
          <w:lang w:val="fr"/>
        </w:rPr>
        <w:t xml:space="preserve"> mécanisme lésionnel</w:t>
      </w:r>
      <w:r>
        <w:rPr>
          <w:lang w:val="fr"/>
        </w:rPr>
        <w:t xml:space="preserve"> </w:t>
      </w:r>
      <w:r w:rsidR="00C562C7">
        <w:rPr>
          <w:lang w:val="fr"/>
        </w:rPr>
        <w:t>à des</w:t>
      </w:r>
      <w:r>
        <w:rPr>
          <w:lang w:val="fr"/>
        </w:rPr>
        <w:t xml:space="preserve"> protocoles basés sur l'examen </w:t>
      </w:r>
      <w:r w:rsidR="00C562C7">
        <w:rPr>
          <w:lang w:val="fr"/>
        </w:rPr>
        <w:t xml:space="preserve">clinique, </w:t>
      </w:r>
      <w:r>
        <w:rPr>
          <w:lang w:val="fr"/>
        </w:rPr>
        <w:t>n'a pas permis d'identifier mieux les patients qui ont ou n'ont pas besoin d'</w:t>
      </w:r>
      <w:r w:rsidR="009364D5">
        <w:rPr>
          <w:lang w:val="fr"/>
        </w:rPr>
        <w:t xml:space="preserve">une </w:t>
      </w:r>
      <w:r>
        <w:rPr>
          <w:lang w:val="fr"/>
        </w:rPr>
        <w:t xml:space="preserve">immobilisation de la colonne vertébrale. Nous n'avons pas encore trouvé la bonne réponse pour nous assurer que nous faisons ce dont les patients ont </w:t>
      </w:r>
      <w:r w:rsidR="00773198">
        <w:rPr>
          <w:lang w:val="fr"/>
        </w:rPr>
        <w:t xml:space="preserve">réellement </w:t>
      </w:r>
      <w:r>
        <w:rPr>
          <w:lang w:val="fr"/>
        </w:rPr>
        <w:t>besoin, ni plus, ni moins.</w:t>
      </w:r>
    </w:p>
    <w:p w14:paraId="60A4628F" w14:textId="77777777" w:rsidR="00B5424E" w:rsidRDefault="00B5424E" w:rsidP="00B5424E">
      <w:pPr>
        <w:spacing w:after="0" w:line="240" w:lineRule="auto"/>
      </w:pPr>
    </w:p>
    <w:p w14:paraId="60A46290" w14:textId="26B877DA" w:rsidR="007419D9" w:rsidRPr="00BE768F" w:rsidRDefault="007419D9" w:rsidP="007419D9">
      <w:pPr>
        <w:pStyle w:val="Paragraphedeliste"/>
        <w:numPr>
          <w:ilvl w:val="0"/>
          <w:numId w:val="2"/>
        </w:numPr>
      </w:pPr>
      <w:r w:rsidRPr="003F4BB7">
        <w:rPr>
          <w:b/>
          <w:lang w:val="fr"/>
        </w:rPr>
        <w:t>Précision de l</w:t>
      </w:r>
      <w:r w:rsidR="001F50B0">
        <w:rPr>
          <w:b/>
          <w:lang w:val="fr"/>
        </w:rPr>
        <w:t>a reconnaissance,</w:t>
      </w:r>
      <w:r w:rsidRPr="003F4BB7">
        <w:rPr>
          <w:b/>
          <w:lang w:val="fr"/>
        </w:rPr>
        <w:t xml:space="preserve"> </w:t>
      </w:r>
      <w:r w:rsidR="001F50B0">
        <w:rPr>
          <w:b/>
          <w:lang w:val="fr"/>
        </w:rPr>
        <w:t xml:space="preserve">en </w:t>
      </w:r>
      <w:r w:rsidRPr="003F4BB7">
        <w:rPr>
          <w:b/>
          <w:lang w:val="fr"/>
        </w:rPr>
        <w:t>préhospitali</w:t>
      </w:r>
      <w:r w:rsidR="001F50B0">
        <w:rPr>
          <w:b/>
          <w:lang w:val="fr"/>
        </w:rPr>
        <w:t>er,</w:t>
      </w:r>
      <w:r w:rsidRPr="003F4BB7">
        <w:rPr>
          <w:b/>
          <w:lang w:val="fr"/>
        </w:rPr>
        <w:t xml:space="preserve"> de l'AVC</w:t>
      </w:r>
      <w:r w:rsidR="001F50B0">
        <w:rPr>
          <w:b/>
          <w:lang w:val="fr"/>
        </w:rPr>
        <w:t xml:space="preserve">, </w:t>
      </w:r>
      <w:r w:rsidRPr="003F4BB7">
        <w:rPr>
          <w:b/>
          <w:lang w:val="fr"/>
        </w:rPr>
        <w:t xml:space="preserve">dans une </w:t>
      </w:r>
      <w:r w:rsidR="00B07BA8">
        <w:rPr>
          <w:b/>
          <w:lang w:val="fr"/>
        </w:rPr>
        <w:t xml:space="preserve">grande </w:t>
      </w:r>
      <w:r w:rsidRPr="003F4BB7">
        <w:rPr>
          <w:b/>
          <w:lang w:val="fr"/>
        </w:rPr>
        <w:t xml:space="preserve">municipalité </w:t>
      </w:r>
      <w:r w:rsidR="00BE768F">
        <w:rPr>
          <w:b/>
          <w:lang w:val="fr"/>
        </w:rPr>
        <w:t>« </w:t>
      </w:r>
      <w:r w:rsidR="0022087A">
        <w:rPr>
          <w:b/>
          <w:lang w:val="fr"/>
        </w:rPr>
        <w:t>Stroke Belt</w:t>
      </w:r>
      <w:r w:rsidR="00BE768F">
        <w:rPr>
          <w:b/>
          <w:lang w:val="fr"/>
        </w:rPr>
        <w:t> »</w:t>
      </w:r>
      <w:r w:rsidRPr="003F4BB7">
        <w:rPr>
          <w:b/>
          <w:lang w:val="fr"/>
        </w:rPr>
        <w:t xml:space="preserve">.  </w:t>
      </w:r>
      <w:r>
        <w:rPr>
          <w:lang w:val="fr"/>
        </w:rPr>
        <w:t xml:space="preserve">Mould-Millman  NK, Meese H,  Alattas  I, et al.  </w:t>
      </w:r>
      <w:r w:rsidR="00817560">
        <w:rPr>
          <w:lang w:val="fr"/>
        </w:rPr>
        <w:t>Prehospital Emergency Care</w:t>
      </w:r>
      <w:r>
        <w:rPr>
          <w:lang w:val="fr"/>
        </w:rPr>
        <w:t>, 2018, DOI: 10.1080/10903127.2018.1447620</w:t>
      </w:r>
    </w:p>
    <w:p w14:paraId="2B444246" w14:textId="13950137" w:rsidR="00BE768F" w:rsidRPr="00FC0676" w:rsidRDefault="00FC0676" w:rsidP="00BE768F">
      <w:pPr>
        <w:pStyle w:val="Paragraphedeliste"/>
        <w:ind w:left="360"/>
        <w:rPr>
          <w:bCs/>
        </w:rPr>
      </w:pPr>
      <w:r>
        <w:rPr>
          <w:bCs/>
          <w:lang w:val="fr"/>
        </w:rPr>
        <w:t>(</w:t>
      </w:r>
      <w:r w:rsidR="000D3DE7">
        <w:rPr>
          <w:bCs/>
          <w:lang w:val="fr"/>
        </w:rPr>
        <w:t>N</w:t>
      </w:r>
      <w:r>
        <w:rPr>
          <w:bCs/>
          <w:lang w:val="fr"/>
        </w:rPr>
        <w:t>ote de la traduction : le term</w:t>
      </w:r>
      <w:r w:rsidR="00AF06E5">
        <w:rPr>
          <w:bCs/>
          <w:lang w:val="fr"/>
        </w:rPr>
        <w:t>e</w:t>
      </w:r>
      <w:r w:rsidR="00B95DBC">
        <w:rPr>
          <w:bCs/>
          <w:lang w:val="fr"/>
        </w:rPr>
        <w:t xml:space="preserve"> de</w:t>
      </w:r>
      <w:r>
        <w:rPr>
          <w:bCs/>
          <w:lang w:val="fr"/>
        </w:rPr>
        <w:t xml:space="preserve"> </w:t>
      </w:r>
      <w:r w:rsidR="006A4D4A">
        <w:rPr>
          <w:bCs/>
          <w:lang w:val="fr"/>
        </w:rPr>
        <w:t xml:space="preserve">stroke belt, </w:t>
      </w:r>
      <w:r w:rsidR="0022087A">
        <w:rPr>
          <w:bCs/>
          <w:lang w:val="fr"/>
        </w:rPr>
        <w:t xml:space="preserve">littéralement </w:t>
      </w:r>
      <w:r w:rsidR="006A4D4A">
        <w:rPr>
          <w:bCs/>
          <w:lang w:val="fr"/>
        </w:rPr>
        <w:t>ceinture de l’AVC,</w:t>
      </w:r>
      <w:r w:rsidR="00AF06E5">
        <w:rPr>
          <w:bCs/>
          <w:lang w:val="fr"/>
        </w:rPr>
        <w:t xml:space="preserve"> correspond à des zones géographique</w:t>
      </w:r>
      <w:r w:rsidR="00B95DBC">
        <w:rPr>
          <w:bCs/>
          <w:lang w:val="fr"/>
        </w:rPr>
        <w:t>s</w:t>
      </w:r>
      <w:r w:rsidR="00AF06E5">
        <w:rPr>
          <w:bCs/>
          <w:lang w:val="fr"/>
        </w:rPr>
        <w:t xml:space="preserve"> o</w:t>
      </w:r>
      <w:r w:rsidR="000D3DE7">
        <w:rPr>
          <w:bCs/>
          <w:lang w:val="fr"/>
        </w:rPr>
        <w:t>ù</w:t>
      </w:r>
      <w:r w:rsidR="00AF06E5">
        <w:rPr>
          <w:bCs/>
          <w:lang w:val="fr"/>
        </w:rPr>
        <w:t xml:space="preserve"> l’incidence des AVC est plus élevée qu’ailleurs</w:t>
      </w:r>
      <w:r w:rsidR="00B95DBC">
        <w:rPr>
          <w:bCs/>
          <w:lang w:val="fr"/>
        </w:rPr>
        <w:t>, souvent situées en périphérie des grandes villes</w:t>
      </w:r>
      <w:r w:rsidR="00641F2C">
        <w:rPr>
          <w:bCs/>
          <w:lang w:val="fr"/>
        </w:rPr>
        <w:t>. Ce sont des sortes de couloirs de l’AVC</w:t>
      </w:r>
      <w:r w:rsidR="000D3DE7">
        <w:rPr>
          <w:bCs/>
          <w:lang w:val="fr"/>
        </w:rPr>
        <w:t>.)</w:t>
      </w:r>
    </w:p>
    <w:p w14:paraId="60A46291" w14:textId="7F343AB6" w:rsidR="007419D9" w:rsidRDefault="007419D9" w:rsidP="00B5424E">
      <w:pPr>
        <w:spacing w:after="0" w:line="240" w:lineRule="auto"/>
        <w:ind w:firstLine="720"/>
      </w:pPr>
      <w:r>
        <w:rPr>
          <w:lang w:val="fr"/>
        </w:rPr>
        <w:t xml:space="preserve">Les accidents vasculaires cérébraux sont la cinquième cause de mortalité aux États-Unis et la principale cause d'invalidité à long terme.  Il </w:t>
      </w:r>
      <w:r w:rsidR="003E1D21">
        <w:rPr>
          <w:lang w:val="fr"/>
        </w:rPr>
        <w:t>existe</w:t>
      </w:r>
      <w:r>
        <w:rPr>
          <w:lang w:val="fr"/>
        </w:rPr>
        <w:t xml:space="preserve"> treize "Stroke Belt" </w:t>
      </w:r>
      <w:r w:rsidR="00261A9E">
        <w:rPr>
          <w:lang w:val="fr"/>
        </w:rPr>
        <w:t>fédérales</w:t>
      </w:r>
      <w:r w:rsidR="003E1D21">
        <w:rPr>
          <w:lang w:val="fr"/>
        </w:rPr>
        <w:t xml:space="preserve"> </w:t>
      </w:r>
      <w:r>
        <w:rPr>
          <w:lang w:val="fr"/>
        </w:rPr>
        <w:t xml:space="preserve">à travers le sud-est des États-Unis.  Alors que l'incidence globale des accidents vasculaires cérébraux a diminué au cours des vingt dernières années, l'incidence de l'AVC a plutôt augmenté dans la population afro-américaine résidant dans </w:t>
      </w:r>
      <w:r w:rsidR="000F2414">
        <w:rPr>
          <w:lang w:val="fr"/>
        </w:rPr>
        <w:t>ces</w:t>
      </w:r>
      <w:r>
        <w:rPr>
          <w:lang w:val="fr"/>
        </w:rPr>
        <w:t xml:space="preserve"> </w:t>
      </w:r>
      <w:r w:rsidR="000A7D9F">
        <w:rPr>
          <w:lang w:val="fr"/>
        </w:rPr>
        <w:t>« </w:t>
      </w:r>
      <w:r w:rsidR="0096632C">
        <w:rPr>
          <w:lang w:val="fr"/>
        </w:rPr>
        <w:t>Stroke Belt</w:t>
      </w:r>
      <w:r w:rsidR="000A7D9F">
        <w:rPr>
          <w:lang w:val="fr"/>
        </w:rPr>
        <w:t>»</w:t>
      </w:r>
      <w:r>
        <w:rPr>
          <w:lang w:val="fr"/>
        </w:rPr>
        <w:t>.  Le plus tôt un AVC est reconnu et</w:t>
      </w:r>
      <w:r w:rsidR="00123C28">
        <w:rPr>
          <w:lang w:val="fr"/>
        </w:rPr>
        <w:t xml:space="preserve"> le plus </w:t>
      </w:r>
      <w:r w:rsidR="00E52D9A">
        <w:rPr>
          <w:lang w:val="fr"/>
        </w:rPr>
        <w:t>rapidement</w:t>
      </w:r>
      <w:r>
        <w:rPr>
          <w:lang w:val="fr"/>
        </w:rPr>
        <w:t xml:space="preserve"> l'accès à des soins spécialisés et définitifs est obtenu</w:t>
      </w:r>
      <w:r w:rsidR="00E52D9A">
        <w:rPr>
          <w:lang w:val="fr"/>
        </w:rPr>
        <w:t>,</w:t>
      </w:r>
      <w:r>
        <w:rPr>
          <w:lang w:val="fr"/>
        </w:rPr>
        <w:t xml:space="preserve"> plus la probabilité de minimiser l'invalidité est grande.  L'étude a évalué si les répartiteurs médicaux d'urgence </w:t>
      </w:r>
      <w:r w:rsidR="005B4AA0">
        <w:rPr>
          <w:lang w:val="fr"/>
        </w:rPr>
        <w:t xml:space="preserve">ou </w:t>
      </w:r>
      <w:r>
        <w:rPr>
          <w:lang w:val="fr"/>
        </w:rPr>
        <w:t>EMD</w:t>
      </w:r>
      <w:r w:rsidR="005B4AA0">
        <w:rPr>
          <w:lang w:val="fr"/>
        </w:rPr>
        <w:t xml:space="preserve"> (p</w:t>
      </w:r>
      <w:r w:rsidR="006257CF">
        <w:rPr>
          <w:lang w:val="fr"/>
        </w:rPr>
        <w:t>er</w:t>
      </w:r>
      <w:r w:rsidR="005B4AA0">
        <w:rPr>
          <w:lang w:val="fr"/>
        </w:rPr>
        <w:t>sonnel</w:t>
      </w:r>
      <w:r w:rsidR="00BC4BEB">
        <w:rPr>
          <w:lang w:val="fr"/>
        </w:rPr>
        <w:t>s</w:t>
      </w:r>
      <w:r w:rsidR="005B4AA0">
        <w:rPr>
          <w:lang w:val="fr"/>
        </w:rPr>
        <w:t xml:space="preserve"> travaillant dans les centres</w:t>
      </w:r>
      <w:r>
        <w:rPr>
          <w:lang w:val="fr"/>
        </w:rPr>
        <w:t xml:space="preserve"> </w:t>
      </w:r>
      <w:r w:rsidR="009E4902">
        <w:rPr>
          <w:lang w:val="fr"/>
        </w:rPr>
        <w:t xml:space="preserve">de prise des appels d’urgence, </w:t>
      </w:r>
      <w:r w:rsidR="00BC4BEB">
        <w:rPr>
          <w:lang w:val="fr"/>
        </w:rPr>
        <w:t xml:space="preserve">un peu comme les ARM des centres 15 en France) </w:t>
      </w:r>
      <w:r>
        <w:rPr>
          <w:lang w:val="fr"/>
        </w:rPr>
        <w:t xml:space="preserve">et les </w:t>
      </w:r>
      <w:r w:rsidR="00BC4BEB">
        <w:rPr>
          <w:lang w:val="fr"/>
        </w:rPr>
        <w:t>interve</w:t>
      </w:r>
      <w:r w:rsidR="00A0135F">
        <w:rPr>
          <w:lang w:val="fr"/>
        </w:rPr>
        <w:t>n</w:t>
      </w:r>
      <w:r w:rsidR="00BC4BEB">
        <w:rPr>
          <w:lang w:val="fr"/>
        </w:rPr>
        <w:t xml:space="preserve">ants </w:t>
      </w:r>
      <w:r>
        <w:rPr>
          <w:lang w:val="fr"/>
        </w:rPr>
        <w:t xml:space="preserve">préhospitaliers travaillant dans une grande municipalité, au sein de la </w:t>
      </w:r>
      <w:r w:rsidR="00A0135F">
        <w:rPr>
          <w:lang w:val="fr"/>
        </w:rPr>
        <w:t>« Stroke Belt »</w:t>
      </w:r>
      <w:r>
        <w:rPr>
          <w:lang w:val="fr"/>
        </w:rPr>
        <w:t xml:space="preserve">, identifient avec précision les patients souffrant d'un accident vasculaire cérébral </w:t>
      </w:r>
      <w:r w:rsidR="00566130">
        <w:rPr>
          <w:lang w:val="fr"/>
        </w:rPr>
        <w:t xml:space="preserve">à la phase </w:t>
      </w:r>
      <w:r>
        <w:rPr>
          <w:lang w:val="fr"/>
        </w:rPr>
        <w:t>aigu</w:t>
      </w:r>
      <w:r w:rsidR="00566130">
        <w:rPr>
          <w:lang w:val="fr"/>
        </w:rPr>
        <w:t>e</w:t>
      </w:r>
      <w:r>
        <w:rPr>
          <w:lang w:val="fr"/>
        </w:rPr>
        <w:t xml:space="preserve"> et </w:t>
      </w:r>
      <w:r w:rsidR="00307F5C">
        <w:rPr>
          <w:lang w:val="fr"/>
        </w:rPr>
        <w:t xml:space="preserve">si ils </w:t>
      </w:r>
      <w:r>
        <w:rPr>
          <w:lang w:val="fr"/>
        </w:rPr>
        <w:t>les transportent</w:t>
      </w:r>
      <w:r w:rsidR="00307F5C">
        <w:rPr>
          <w:lang w:val="fr"/>
        </w:rPr>
        <w:t xml:space="preserve"> vers</w:t>
      </w:r>
      <w:r>
        <w:rPr>
          <w:lang w:val="fr"/>
        </w:rPr>
        <w:t xml:space="preserve"> un centre </w:t>
      </w:r>
      <w:r w:rsidR="00307F5C">
        <w:rPr>
          <w:lang w:val="fr"/>
        </w:rPr>
        <w:t>spécialisé (Stroke Unit ou Unité neuro vasculaire</w:t>
      </w:r>
      <w:r w:rsidR="00857DF8">
        <w:rPr>
          <w:lang w:val="fr"/>
        </w:rPr>
        <w:t>-UNV).</w:t>
      </w:r>
    </w:p>
    <w:p w14:paraId="60A46292" w14:textId="77777777" w:rsidR="007419D9" w:rsidRDefault="007419D9" w:rsidP="00B5424E">
      <w:pPr>
        <w:spacing w:after="0" w:line="240" w:lineRule="auto"/>
      </w:pPr>
    </w:p>
    <w:p w14:paraId="60A46293" w14:textId="2CD6F28E" w:rsidR="007419D9" w:rsidRDefault="007419D9" w:rsidP="00B5424E">
      <w:pPr>
        <w:spacing w:after="0" w:line="240" w:lineRule="auto"/>
        <w:ind w:firstLine="720"/>
      </w:pPr>
      <w:r>
        <w:rPr>
          <w:lang w:val="fr"/>
        </w:rPr>
        <w:t xml:space="preserve">L'étude a examiné tous les 911 patients classés comme </w:t>
      </w:r>
      <w:r w:rsidR="007D7E4E">
        <w:rPr>
          <w:lang w:val="fr"/>
        </w:rPr>
        <w:t>AVC,</w:t>
      </w:r>
      <w:r>
        <w:rPr>
          <w:lang w:val="fr"/>
        </w:rPr>
        <w:t xml:space="preserve"> transportés par </w:t>
      </w:r>
      <w:r w:rsidR="007D7E4E">
        <w:rPr>
          <w:lang w:val="fr"/>
        </w:rPr>
        <w:t xml:space="preserve">l’unité </w:t>
      </w:r>
      <w:r w:rsidR="00105975">
        <w:rPr>
          <w:lang w:val="fr"/>
        </w:rPr>
        <w:t>p</w:t>
      </w:r>
      <w:r w:rsidR="007D7E4E">
        <w:rPr>
          <w:lang w:val="fr"/>
        </w:rPr>
        <w:t>ré</w:t>
      </w:r>
      <w:r w:rsidR="00105975">
        <w:rPr>
          <w:lang w:val="fr"/>
        </w:rPr>
        <w:t xml:space="preserve"> </w:t>
      </w:r>
      <w:r w:rsidR="007D7E4E">
        <w:rPr>
          <w:lang w:val="fr"/>
        </w:rPr>
        <w:t>hospitali</w:t>
      </w:r>
      <w:r w:rsidR="00105975">
        <w:rPr>
          <w:lang w:val="fr"/>
        </w:rPr>
        <w:t>è</w:t>
      </w:r>
      <w:r w:rsidR="007D7E4E">
        <w:rPr>
          <w:lang w:val="fr"/>
        </w:rPr>
        <w:t>re</w:t>
      </w:r>
      <w:r w:rsidR="00105975">
        <w:rPr>
          <w:lang w:val="fr"/>
        </w:rPr>
        <w:t xml:space="preserve"> </w:t>
      </w:r>
      <w:r>
        <w:rPr>
          <w:lang w:val="fr"/>
        </w:rPr>
        <w:t xml:space="preserve">Grady EMS (Fulton County, Atlanta, Géorgie) entre le 1er janvier 2012 et le 31 décembre 2012.  </w:t>
      </w:r>
      <w:r w:rsidR="003E20BC">
        <w:rPr>
          <w:lang w:val="fr"/>
        </w:rPr>
        <w:t>Il s’agit</w:t>
      </w:r>
      <w:r>
        <w:rPr>
          <w:lang w:val="fr"/>
        </w:rPr>
        <w:t xml:space="preserve"> </w:t>
      </w:r>
      <w:r w:rsidR="003E20BC">
        <w:rPr>
          <w:lang w:val="fr"/>
        </w:rPr>
        <w:t>d’</w:t>
      </w:r>
      <w:r>
        <w:rPr>
          <w:lang w:val="fr"/>
        </w:rPr>
        <w:t xml:space="preserve">une étude rétrospective basée sur une cohorte observationnelle </w:t>
      </w:r>
      <w:r w:rsidR="00120DE1">
        <w:rPr>
          <w:lang w:val="fr"/>
        </w:rPr>
        <w:t>sous supervision éthique</w:t>
      </w:r>
      <w:r>
        <w:rPr>
          <w:lang w:val="fr"/>
        </w:rPr>
        <w:t xml:space="preserve"> de la Commission d'examen institutionnel de l'Université Emory et du Colorado Multiple Institution Review Board.  Une base de données a été créée pour relier les dossiers entre le</w:t>
      </w:r>
      <w:r w:rsidR="00A94B28">
        <w:rPr>
          <w:lang w:val="fr"/>
        </w:rPr>
        <w:t>s ambulances</w:t>
      </w:r>
      <w:r>
        <w:rPr>
          <w:lang w:val="fr"/>
        </w:rPr>
        <w:t xml:space="preserve"> </w:t>
      </w:r>
      <w:r>
        <w:rPr>
          <w:lang w:val="fr"/>
        </w:rPr>
        <w:lastRenderedPageBreak/>
        <w:t>Grady</w:t>
      </w:r>
      <w:r w:rsidR="00A94B28">
        <w:rPr>
          <w:lang w:val="fr"/>
        </w:rPr>
        <w:t xml:space="preserve"> EMS</w:t>
      </w:r>
      <w:r>
        <w:rPr>
          <w:lang w:val="fr"/>
        </w:rPr>
        <w:t xml:space="preserve">, le service des urgences de l'hôpital Grady et le Registre des accidents vasculaires cérébraux de l'hôpital Grady.  Les critères d'exclusion comprenaient les patients de moins de 18 ans, </w:t>
      </w:r>
      <w:r w:rsidR="0028024F">
        <w:rPr>
          <w:lang w:val="fr"/>
        </w:rPr>
        <w:t xml:space="preserve">ceux </w:t>
      </w:r>
      <w:r>
        <w:rPr>
          <w:lang w:val="fr"/>
        </w:rPr>
        <w:t xml:space="preserve">qui avaient subi des traumatismes crâniens antérieurs ou concomitants, </w:t>
      </w:r>
      <w:r w:rsidR="00B951F8">
        <w:rPr>
          <w:lang w:val="fr"/>
        </w:rPr>
        <w:t xml:space="preserve">ceux </w:t>
      </w:r>
      <w:r>
        <w:rPr>
          <w:lang w:val="fr"/>
        </w:rPr>
        <w:t>transférés d'un autre établissement d'hospitalisation et/ou qui avaient des dossiers incomplets dans l'une ou l'autre des trois bases de données.</w:t>
      </w:r>
    </w:p>
    <w:p w14:paraId="60A46294" w14:textId="5AA1537C" w:rsidR="007419D9" w:rsidRDefault="007419D9" w:rsidP="00B5424E">
      <w:pPr>
        <w:spacing w:after="0" w:line="240" w:lineRule="auto"/>
        <w:ind w:firstLine="720"/>
      </w:pPr>
      <w:r>
        <w:rPr>
          <w:lang w:val="fr"/>
        </w:rPr>
        <w:t>L'identification des symptômes de l'AVC par l</w:t>
      </w:r>
      <w:r w:rsidR="003839D5">
        <w:rPr>
          <w:lang w:val="fr"/>
        </w:rPr>
        <w:t>e personnel du</w:t>
      </w:r>
      <w:r w:rsidR="009C3C0E">
        <w:rPr>
          <w:lang w:val="fr"/>
        </w:rPr>
        <w:t xml:space="preserve"> centre de prise des appels</w:t>
      </w:r>
      <w:r w:rsidR="00AD705B">
        <w:rPr>
          <w:lang w:val="fr"/>
        </w:rPr>
        <w:t>,</w:t>
      </w:r>
      <w:r>
        <w:rPr>
          <w:lang w:val="fr"/>
        </w:rPr>
        <w:t xml:space="preserve"> a été effectuée par l'entremise d'un interrogatoire </w:t>
      </w:r>
      <w:r w:rsidR="003839D5">
        <w:rPr>
          <w:lang w:val="fr"/>
        </w:rPr>
        <w:t xml:space="preserve">téléphonique </w:t>
      </w:r>
      <w:r w:rsidR="00D535F8">
        <w:rPr>
          <w:lang w:val="fr"/>
        </w:rPr>
        <w:t>protocolisé</w:t>
      </w:r>
      <w:r w:rsidR="003839D5">
        <w:rPr>
          <w:lang w:val="fr"/>
        </w:rPr>
        <w:t xml:space="preserve">, écrit et </w:t>
      </w:r>
      <w:r w:rsidR="003928A2">
        <w:rPr>
          <w:lang w:val="fr"/>
        </w:rPr>
        <w:t>standard</w:t>
      </w:r>
      <w:r>
        <w:rPr>
          <w:lang w:val="fr"/>
        </w:rPr>
        <w:t xml:space="preserve">isé des appelants, </w:t>
      </w:r>
      <w:r w:rsidR="00A36A03">
        <w:rPr>
          <w:lang w:val="fr"/>
        </w:rPr>
        <w:t>qui provoque, quand l</w:t>
      </w:r>
      <w:r w:rsidR="00D56678">
        <w:rPr>
          <w:lang w:val="fr"/>
        </w:rPr>
        <w:t xml:space="preserve">a </w:t>
      </w:r>
      <w:r w:rsidR="00CC3839">
        <w:rPr>
          <w:lang w:val="fr"/>
        </w:rPr>
        <w:t>suspicion</w:t>
      </w:r>
      <w:r w:rsidR="00D56678">
        <w:rPr>
          <w:lang w:val="fr"/>
        </w:rPr>
        <w:t xml:space="preserve"> d’AVC est retenue,</w:t>
      </w:r>
      <w:r>
        <w:rPr>
          <w:lang w:val="fr"/>
        </w:rPr>
        <w:t xml:space="preserve"> une série simultanée </w:t>
      </w:r>
      <w:r w:rsidR="00D56678">
        <w:rPr>
          <w:lang w:val="fr"/>
        </w:rPr>
        <w:t xml:space="preserve">et automatique </w:t>
      </w:r>
      <w:r>
        <w:rPr>
          <w:lang w:val="fr"/>
        </w:rPr>
        <w:t>d</w:t>
      </w:r>
      <w:r w:rsidR="001D2FA7">
        <w:rPr>
          <w:lang w:val="fr"/>
        </w:rPr>
        <w:t>e réactions</w:t>
      </w:r>
      <w:r>
        <w:rPr>
          <w:lang w:val="fr"/>
        </w:rPr>
        <w:t xml:space="preserve"> (</w:t>
      </w:r>
      <w:r w:rsidR="006027AC">
        <w:rPr>
          <w:lang w:val="fr"/>
        </w:rPr>
        <w:t xml:space="preserve">envoi rapide d’une ambulance avec paramédics de niveau ALS, </w:t>
      </w:r>
      <w:r>
        <w:rPr>
          <w:lang w:val="fr"/>
        </w:rPr>
        <w:t xml:space="preserve">instructions </w:t>
      </w:r>
      <w:r w:rsidR="00B310B9">
        <w:rPr>
          <w:lang w:val="fr"/>
        </w:rPr>
        <w:t>aux équipes</w:t>
      </w:r>
      <w:r w:rsidR="009E3B55">
        <w:rPr>
          <w:lang w:val="fr"/>
        </w:rPr>
        <w:t xml:space="preserve"> dé</w:t>
      </w:r>
      <w:r w:rsidR="008A3FB8">
        <w:rPr>
          <w:lang w:val="fr"/>
        </w:rPr>
        <w:t>clenchées</w:t>
      </w:r>
      <w:r>
        <w:rPr>
          <w:lang w:val="fr"/>
        </w:rPr>
        <w:t xml:space="preserve"> par l</w:t>
      </w:r>
      <w:r w:rsidR="00CC250D">
        <w:rPr>
          <w:lang w:val="fr"/>
        </w:rPr>
        <w:t>e centre d’appel de dispatching</w:t>
      </w:r>
      <w:r>
        <w:rPr>
          <w:lang w:val="fr"/>
        </w:rPr>
        <w:t xml:space="preserve">).  L'évaluation des ambulanciers paramédicaux confirme ou réfute les symptômes de l'AVC </w:t>
      </w:r>
      <w:r w:rsidR="00C5612B">
        <w:rPr>
          <w:lang w:val="fr"/>
        </w:rPr>
        <w:t>à l’aide</w:t>
      </w:r>
      <w:r w:rsidR="003928A2">
        <w:rPr>
          <w:lang w:val="fr"/>
        </w:rPr>
        <w:t xml:space="preserve"> </w:t>
      </w:r>
      <w:r w:rsidR="00C5612B">
        <w:rPr>
          <w:lang w:val="fr"/>
        </w:rPr>
        <w:t>d’</w:t>
      </w:r>
      <w:r>
        <w:rPr>
          <w:lang w:val="fr"/>
        </w:rPr>
        <w:t xml:space="preserve">un protocole </w:t>
      </w:r>
      <w:r w:rsidR="003928A2">
        <w:rPr>
          <w:lang w:val="fr"/>
        </w:rPr>
        <w:t xml:space="preserve">préhospitalier </w:t>
      </w:r>
      <w:r>
        <w:rPr>
          <w:lang w:val="fr"/>
        </w:rPr>
        <w:t xml:space="preserve">AVC.  Le protocole </w:t>
      </w:r>
      <w:r w:rsidR="00CD27CF">
        <w:rPr>
          <w:lang w:val="fr"/>
        </w:rPr>
        <w:t>recueille des informations comme</w:t>
      </w:r>
      <w:r>
        <w:rPr>
          <w:lang w:val="fr"/>
        </w:rPr>
        <w:t xml:space="preserve"> l</w:t>
      </w:r>
      <w:r w:rsidR="00DD1B34">
        <w:rPr>
          <w:lang w:val="fr"/>
        </w:rPr>
        <w:t xml:space="preserve">a dernière </w:t>
      </w:r>
      <w:r w:rsidR="002423A0">
        <w:rPr>
          <w:lang w:val="fr"/>
        </w:rPr>
        <w:t>heure</w:t>
      </w:r>
      <w:r w:rsidR="00DD1B34">
        <w:rPr>
          <w:lang w:val="fr"/>
        </w:rPr>
        <w:t xml:space="preserve"> connue à laquelle le patient n’avait pas de symptôme</w:t>
      </w:r>
      <w:r>
        <w:rPr>
          <w:lang w:val="fr"/>
        </w:rPr>
        <w:t xml:space="preserve">, l'échelle de Cincinnati AVC préhospitalier (CPSS), </w:t>
      </w:r>
      <w:r w:rsidR="00DD1B34">
        <w:rPr>
          <w:lang w:val="fr"/>
        </w:rPr>
        <w:t xml:space="preserve">les </w:t>
      </w:r>
      <w:r>
        <w:rPr>
          <w:lang w:val="fr"/>
        </w:rPr>
        <w:t>signes vitaux, l</w:t>
      </w:r>
      <w:r w:rsidR="00DD1B34">
        <w:rPr>
          <w:lang w:val="fr"/>
        </w:rPr>
        <w:t>a glycémie capillaire</w:t>
      </w:r>
      <w:r>
        <w:rPr>
          <w:lang w:val="fr"/>
        </w:rPr>
        <w:t xml:space="preserve">, et </w:t>
      </w:r>
      <w:r w:rsidR="00587241">
        <w:rPr>
          <w:lang w:val="fr"/>
        </w:rPr>
        <w:t xml:space="preserve">impose </w:t>
      </w:r>
      <w:r>
        <w:rPr>
          <w:lang w:val="fr"/>
        </w:rPr>
        <w:t>le transport rapide vers un</w:t>
      </w:r>
      <w:r w:rsidR="00587241">
        <w:rPr>
          <w:lang w:val="fr"/>
        </w:rPr>
        <w:t>e UNV</w:t>
      </w:r>
      <w:r>
        <w:rPr>
          <w:lang w:val="fr"/>
        </w:rPr>
        <w:t>.</w:t>
      </w:r>
    </w:p>
    <w:p w14:paraId="60A46295" w14:textId="165508EB" w:rsidR="007419D9" w:rsidRDefault="007419D9" w:rsidP="00B5424E">
      <w:pPr>
        <w:spacing w:after="0" w:line="240" w:lineRule="auto"/>
        <w:ind w:firstLine="720"/>
      </w:pPr>
      <w:r>
        <w:rPr>
          <w:lang w:val="fr"/>
        </w:rPr>
        <w:t xml:space="preserve">Un total de 548 patients </w:t>
      </w:r>
      <w:r w:rsidR="00E54A4E">
        <w:rPr>
          <w:lang w:val="fr"/>
        </w:rPr>
        <w:t>a</w:t>
      </w:r>
      <w:r>
        <w:rPr>
          <w:lang w:val="fr"/>
        </w:rPr>
        <w:t xml:space="preserve"> été inclus dans l'étude.  Les ambulanciers paramédicaux ont adhéré à tous les éléments du protocole AVC dans 76,4 % des c</w:t>
      </w:r>
      <w:r w:rsidR="00A513B9">
        <w:rPr>
          <w:lang w:val="fr"/>
        </w:rPr>
        <w:t>as</w:t>
      </w:r>
      <w:r>
        <w:rPr>
          <w:lang w:val="fr"/>
        </w:rPr>
        <w:t xml:space="preserve">.  475 de ces patients ont été transportés </w:t>
      </w:r>
      <w:r w:rsidR="002566DC">
        <w:rPr>
          <w:lang w:val="fr"/>
        </w:rPr>
        <w:t>avec suspicion d’</w:t>
      </w:r>
      <w:r>
        <w:rPr>
          <w:lang w:val="fr"/>
        </w:rPr>
        <w:t xml:space="preserve">AVC et 73 avec une </w:t>
      </w:r>
      <w:r w:rsidR="002566DC">
        <w:rPr>
          <w:lang w:val="fr"/>
        </w:rPr>
        <w:t>suspicion de pathologie</w:t>
      </w:r>
      <w:r>
        <w:rPr>
          <w:lang w:val="fr"/>
        </w:rPr>
        <w:t xml:space="preserve"> autre que AVC.  La sensibilité et la valeur </w:t>
      </w:r>
      <w:r w:rsidR="007F2CAA">
        <w:rPr>
          <w:lang w:val="fr"/>
        </w:rPr>
        <w:t xml:space="preserve">prédictive </w:t>
      </w:r>
      <w:r>
        <w:rPr>
          <w:lang w:val="fr"/>
        </w:rPr>
        <w:t xml:space="preserve">positive </w:t>
      </w:r>
      <w:r w:rsidR="007C17A5">
        <w:rPr>
          <w:lang w:val="fr"/>
        </w:rPr>
        <w:t>pour suspecter</w:t>
      </w:r>
      <w:r w:rsidR="00F03920">
        <w:rPr>
          <w:lang w:val="fr"/>
        </w:rPr>
        <w:t>/</w:t>
      </w:r>
      <w:r>
        <w:rPr>
          <w:lang w:val="fr"/>
        </w:rPr>
        <w:t>identifi</w:t>
      </w:r>
      <w:r w:rsidR="00F03920">
        <w:rPr>
          <w:lang w:val="fr"/>
        </w:rPr>
        <w:t>er</w:t>
      </w:r>
      <w:r>
        <w:rPr>
          <w:lang w:val="fr"/>
        </w:rPr>
        <w:t xml:space="preserve"> </w:t>
      </w:r>
      <w:r w:rsidR="00F03920">
        <w:rPr>
          <w:lang w:val="fr"/>
        </w:rPr>
        <w:t xml:space="preserve">un </w:t>
      </w:r>
      <w:r>
        <w:rPr>
          <w:lang w:val="fr"/>
        </w:rPr>
        <w:t xml:space="preserve">AVC </w:t>
      </w:r>
      <w:r w:rsidR="002674C0">
        <w:rPr>
          <w:lang w:val="fr"/>
        </w:rPr>
        <w:t>a été de</w:t>
      </w:r>
      <w:r>
        <w:rPr>
          <w:lang w:val="fr"/>
        </w:rPr>
        <w:t xml:space="preserve"> 76.2% et 49.3% respectivement.  Pour </w:t>
      </w:r>
      <w:r w:rsidR="00B550A2">
        <w:rPr>
          <w:lang w:val="fr"/>
        </w:rPr>
        <w:t>les personnels du centre de prise des</w:t>
      </w:r>
      <w:r w:rsidR="00540D59">
        <w:rPr>
          <w:lang w:val="fr"/>
        </w:rPr>
        <w:t xml:space="preserve"> </w:t>
      </w:r>
      <w:r w:rsidR="00B550A2">
        <w:rPr>
          <w:lang w:val="fr"/>
        </w:rPr>
        <w:t>appels d’urgence</w:t>
      </w:r>
      <w:r w:rsidR="00540D59">
        <w:rPr>
          <w:lang w:val="fr"/>
        </w:rPr>
        <w:t>,</w:t>
      </w:r>
      <w:r>
        <w:rPr>
          <w:lang w:val="fr"/>
        </w:rPr>
        <w:t xml:space="preserve"> </w:t>
      </w:r>
      <w:r w:rsidR="008B7DAC">
        <w:rPr>
          <w:lang w:val="fr"/>
        </w:rPr>
        <w:t>les résultats sont</w:t>
      </w:r>
      <w:r>
        <w:rPr>
          <w:lang w:val="fr"/>
        </w:rPr>
        <w:t xml:space="preserve"> de 48,9% et 24% respectivement.</w:t>
      </w:r>
    </w:p>
    <w:p w14:paraId="60A46296" w14:textId="09AA49E2" w:rsidR="007419D9" w:rsidRDefault="007419D9" w:rsidP="00B5424E">
      <w:pPr>
        <w:spacing w:after="0" w:line="240" w:lineRule="auto"/>
        <w:ind w:firstLine="720"/>
      </w:pPr>
      <w:r>
        <w:rPr>
          <w:lang w:val="fr"/>
        </w:rPr>
        <w:t>L'étude a conclu que le</w:t>
      </w:r>
      <w:r w:rsidR="000373A7">
        <w:rPr>
          <w:lang w:val="fr"/>
        </w:rPr>
        <w:t>s</w:t>
      </w:r>
      <w:r>
        <w:rPr>
          <w:lang w:val="fr"/>
        </w:rPr>
        <w:t xml:space="preserve"> personnel</w:t>
      </w:r>
      <w:r w:rsidR="000373A7">
        <w:rPr>
          <w:lang w:val="fr"/>
        </w:rPr>
        <w:t xml:space="preserve">s </w:t>
      </w:r>
      <w:r>
        <w:rPr>
          <w:lang w:val="fr"/>
        </w:rPr>
        <w:t>d</w:t>
      </w:r>
      <w:r w:rsidR="001D7EBE">
        <w:rPr>
          <w:lang w:val="fr"/>
        </w:rPr>
        <w:t>u centre des prise des appels</w:t>
      </w:r>
      <w:r>
        <w:rPr>
          <w:lang w:val="fr"/>
        </w:rPr>
        <w:t xml:space="preserve"> </w:t>
      </w:r>
      <w:r w:rsidR="000373A7">
        <w:rPr>
          <w:lang w:val="fr"/>
        </w:rPr>
        <w:t>ainsi que les intervenants pré hospitali</w:t>
      </w:r>
      <w:r w:rsidR="008D2358">
        <w:rPr>
          <w:lang w:val="fr"/>
        </w:rPr>
        <w:t>er</w:t>
      </w:r>
      <w:r w:rsidR="000373A7">
        <w:rPr>
          <w:lang w:val="fr"/>
        </w:rPr>
        <w:t>s</w:t>
      </w:r>
      <w:r w:rsidR="008D2358">
        <w:rPr>
          <w:lang w:val="fr"/>
        </w:rPr>
        <w:t xml:space="preserve">, </w:t>
      </w:r>
      <w:r>
        <w:rPr>
          <w:lang w:val="fr"/>
        </w:rPr>
        <w:t xml:space="preserve">dans une grande ville de </w:t>
      </w:r>
      <w:r w:rsidR="008D2358">
        <w:rPr>
          <w:lang w:val="fr"/>
        </w:rPr>
        <w:t>la « Stroke Belt »</w:t>
      </w:r>
      <w:r w:rsidR="0087019B">
        <w:rPr>
          <w:lang w:val="fr"/>
        </w:rPr>
        <w:t>,</w:t>
      </w:r>
      <w:r>
        <w:rPr>
          <w:lang w:val="fr"/>
        </w:rPr>
        <w:t xml:space="preserve"> </w:t>
      </w:r>
      <w:r w:rsidR="0087019B">
        <w:rPr>
          <w:lang w:val="fr"/>
        </w:rPr>
        <w:t>ont</w:t>
      </w:r>
      <w:r>
        <w:rPr>
          <w:lang w:val="fr"/>
        </w:rPr>
        <w:t xml:space="preserve"> une sensibilité relativement élevée </w:t>
      </w:r>
      <w:r w:rsidR="000F7C79">
        <w:rPr>
          <w:lang w:val="fr"/>
        </w:rPr>
        <w:t>pour identifier les patients victimes d’AVC à la phase aigue</w:t>
      </w:r>
      <w:r>
        <w:rPr>
          <w:lang w:val="fr"/>
        </w:rPr>
        <w:t>.  L</w:t>
      </w:r>
      <w:r w:rsidR="00C11221">
        <w:rPr>
          <w:lang w:val="fr"/>
        </w:rPr>
        <w:t>es résultats</w:t>
      </w:r>
      <w:r>
        <w:rPr>
          <w:lang w:val="fr"/>
        </w:rPr>
        <w:t xml:space="preserve"> des ambulanciers paramédicaux </w:t>
      </w:r>
      <w:r w:rsidR="00C11221">
        <w:rPr>
          <w:lang w:val="fr"/>
        </w:rPr>
        <w:t>ont</w:t>
      </w:r>
      <w:r>
        <w:rPr>
          <w:lang w:val="fr"/>
        </w:rPr>
        <w:t xml:space="preserve"> été augmenté</w:t>
      </w:r>
      <w:r w:rsidR="00C11221">
        <w:rPr>
          <w:lang w:val="fr"/>
        </w:rPr>
        <w:t>s</w:t>
      </w:r>
      <w:r>
        <w:rPr>
          <w:lang w:val="fr"/>
        </w:rPr>
        <w:t xml:space="preserve"> par la reconnaissance</w:t>
      </w:r>
      <w:r w:rsidR="00987877">
        <w:rPr>
          <w:lang w:val="fr"/>
        </w:rPr>
        <w:t xml:space="preserve"> précoce </w:t>
      </w:r>
      <w:r w:rsidR="00FF3371">
        <w:rPr>
          <w:lang w:val="fr"/>
        </w:rPr>
        <w:t xml:space="preserve">et l’information </w:t>
      </w:r>
      <w:r w:rsidR="00987877">
        <w:rPr>
          <w:lang w:val="fr"/>
        </w:rPr>
        <w:t xml:space="preserve">de suspicion d’AVC par les </w:t>
      </w:r>
      <w:r w:rsidR="00D312F7">
        <w:rPr>
          <w:lang w:val="fr"/>
        </w:rPr>
        <w:t>personnels du centre d’appel</w:t>
      </w:r>
      <w:r w:rsidR="00FF3371">
        <w:rPr>
          <w:lang w:val="fr"/>
        </w:rPr>
        <w:t>, et par l’utilisation</w:t>
      </w:r>
      <w:r>
        <w:rPr>
          <w:lang w:val="fr"/>
        </w:rPr>
        <w:t xml:space="preserve"> </w:t>
      </w:r>
      <w:r w:rsidR="00FF3371">
        <w:rPr>
          <w:lang w:val="fr"/>
        </w:rPr>
        <w:t xml:space="preserve">sur les lieux </w:t>
      </w:r>
      <w:r>
        <w:rPr>
          <w:lang w:val="fr"/>
        </w:rPr>
        <w:t>de l</w:t>
      </w:r>
      <w:r w:rsidR="00FF3371">
        <w:rPr>
          <w:lang w:val="fr"/>
        </w:rPr>
        <w:t>’échelle de Cincinnati</w:t>
      </w:r>
      <w:r>
        <w:rPr>
          <w:lang w:val="fr"/>
        </w:rPr>
        <w:t xml:space="preserve">. Il est à noter que les ambulanciers paramédicaux </w:t>
      </w:r>
      <w:r w:rsidR="00FC3C78">
        <w:rPr>
          <w:lang w:val="fr"/>
        </w:rPr>
        <w:t>ont été</w:t>
      </w:r>
      <w:r>
        <w:rPr>
          <w:lang w:val="fr"/>
        </w:rPr>
        <w:t xml:space="preserve"> moins susceptibles d'identifier avec précision les accidents vasculaires cérébraux chez les femmes que chez les hommes ou lorsque l'étiologie était d'origine hémorragique.</w:t>
      </w:r>
    </w:p>
    <w:p w14:paraId="60A46297" w14:textId="698A9E9E" w:rsidR="007419D9" w:rsidRDefault="007419D9" w:rsidP="00B5424E">
      <w:pPr>
        <w:spacing w:after="0" w:line="240" w:lineRule="auto"/>
        <w:ind w:firstLine="360"/>
      </w:pPr>
      <w:r>
        <w:rPr>
          <w:lang w:val="fr"/>
        </w:rPr>
        <w:t xml:space="preserve">L'identification précoce des patients </w:t>
      </w:r>
      <w:r w:rsidR="006B336D">
        <w:rPr>
          <w:lang w:val="fr"/>
        </w:rPr>
        <w:t xml:space="preserve">possiblement </w:t>
      </w:r>
      <w:r>
        <w:rPr>
          <w:lang w:val="fr"/>
        </w:rPr>
        <w:t>victimes d'un AVC</w:t>
      </w:r>
      <w:r w:rsidR="006B336D">
        <w:rPr>
          <w:lang w:val="fr"/>
        </w:rPr>
        <w:t>,</w:t>
      </w:r>
      <w:r>
        <w:rPr>
          <w:lang w:val="fr"/>
        </w:rPr>
        <w:t xml:space="preserve"> </w:t>
      </w:r>
      <w:r w:rsidR="0029097C">
        <w:rPr>
          <w:lang w:val="fr"/>
        </w:rPr>
        <w:t>d</w:t>
      </w:r>
      <w:r w:rsidR="006B336D">
        <w:rPr>
          <w:lang w:val="fr"/>
        </w:rPr>
        <w:t>è</w:t>
      </w:r>
      <w:r w:rsidR="0029097C">
        <w:rPr>
          <w:lang w:val="fr"/>
        </w:rPr>
        <w:t>s la</w:t>
      </w:r>
      <w:r w:rsidR="00E04474">
        <w:rPr>
          <w:lang w:val="fr"/>
        </w:rPr>
        <w:t xml:space="preserve"> </w:t>
      </w:r>
      <w:r w:rsidR="0029097C">
        <w:rPr>
          <w:lang w:val="fr"/>
        </w:rPr>
        <w:t>prise de l’appel par</w:t>
      </w:r>
      <w:r w:rsidR="00E04474">
        <w:rPr>
          <w:lang w:val="fr"/>
        </w:rPr>
        <w:t xml:space="preserve"> le personnel du centre de régulation, </w:t>
      </w:r>
      <w:r w:rsidR="00E637CB">
        <w:rPr>
          <w:lang w:val="fr"/>
        </w:rPr>
        <w:t>l’information des personnels pré hospitali</w:t>
      </w:r>
      <w:r w:rsidR="006B336D">
        <w:rPr>
          <w:lang w:val="fr"/>
        </w:rPr>
        <w:t xml:space="preserve">ers </w:t>
      </w:r>
      <w:r w:rsidR="00B74D57">
        <w:rPr>
          <w:lang w:val="fr"/>
        </w:rPr>
        <w:t>de</w:t>
      </w:r>
      <w:r w:rsidR="006B336D">
        <w:rPr>
          <w:lang w:val="fr"/>
        </w:rPr>
        <w:t xml:space="preserve"> cette </w:t>
      </w:r>
      <w:r w:rsidR="00B74D57">
        <w:rPr>
          <w:lang w:val="fr"/>
        </w:rPr>
        <w:t xml:space="preserve">suspicion, </w:t>
      </w:r>
      <w:r w:rsidR="007A789C">
        <w:rPr>
          <w:lang w:val="fr"/>
        </w:rPr>
        <w:t>déclenche</w:t>
      </w:r>
      <w:r w:rsidR="00B74D57">
        <w:rPr>
          <w:lang w:val="fr"/>
        </w:rPr>
        <w:t xml:space="preserve"> </w:t>
      </w:r>
      <w:r w:rsidR="008F2540">
        <w:rPr>
          <w:lang w:val="fr"/>
        </w:rPr>
        <w:t xml:space="preserve">une évaluation </w:t>
      </w:r>
      <w:r w:rsidR="00335A16">
        <w:rPr>
          <w:lang w:val="fr"/>
        </w:rPr>
        <w:t xml:space="preserve">sur les lieux </w:t>
      </w:r>
      <w:r w:rsidR="008F2540">
        <w:rPr>
          <w:lang w:val="fr"/>
        </w:rPr>
        <w:t>plus précise</w:t>
      </w:r>
      <w:r w:rsidR="00926A17">
        <w:rPr>
          <w:lang w:val="fr"/>
        </w:rPr>
        <w:t xml:space="preserve"> et plus ciblée, </w:t>
      </w:r>
      <w:r w:rsidR="007B551E">
        <w:rPr>
          <w:lang w:val="fr"/>
        </w:rPr>
        <w:t xml:space="preserve">et </w:t>
      </w:r>
      <w:r w:rsidR="00A5479B">
        <w:rPr>
          <w:lang w:val="fr"/>
        </w:rPr>
        <w:t>initie</w:t>
      </w:r>
      <w:r w:rsidR="00926A17">
        <w:rPr>
          <w:lang w:val="fr"/>
        </w:rPr>
        <w:t xml:space="preserve"> un transport rapide du patient vers une UNV</w:t>
      </w:r>
      <w:r w:rsidR="007B551E">
        <w:rPr>
          <w:lang w:val="fr"/>
        </w:rPr>
        <w:t xml:space="preserve">. Tout ceci </w:t>
      </w:r>
      <w:r w:rsidR="0034506B">
        <w:rPr>
          <w:lang w:val="fr"/>
        </w:rPr>
        <w:t>permet de gagner du temps et du cerveau.</w:t>
      </w:r>
      <w:r>
        <w:rPr>
          <w:lang w:val="fr"/>
        </w:rPr>
        <w:t xml:space="preserve"> </w:t>
      </w:r>
      <w:r w:rsidR="00B51F1B">
        <w:rPr>
          <w:lang w:val="fr"/>
        </w:rPr>
        <w:t>Avec des</w:t>
      </w:r>
      <w:r>
        <w:rPr>
          <w:lang w:val="fr"/>
        </w:rPr>
        <w:t xml:space="preserve"> outils de dépistage disponibles, les </w:t>
      </w:r>
      <w:r w:rsidR="00BD712C">
        <w:rPr>
          <w:lang w:val="fr"/>
        </w:rPr>
        <w:t>personnels de régulation</w:t>
      </w:r>
      <w:r>
        <w:rPr>
          <w:lang w:val="fr"/>
        </w:rPr>
        <w:t xml:space="preserve"> et </w:t>
      </w:r>
      <w:r w:rsidR="00E34251">
        <w:rPr>
          <w:lang w:val="fr"/>
        </w:rPr>
        <w:t xml:space="preserve">les intervenants </w:t>
      </w:r>
      <w:r>
        <w:rPr>
          <w:lang w:val="fr"/>
        </w:rPr>
        <w:t>préhospitaliers</w:t>
      </w:r>
      <w:r w:rsidR="00E34251">
        <w:rPr>
          <w:lang w:val="fr"/>
        </w:rPr>
        <w:t>,</w:t>
      </w:r>
      <w:r>
        <w:rPr>
          <w:lang w:val="fr"/>
        </w:rPr>
        <w:t xml:space="preserve"> devraient être en mesure d'identifier</w:t>
      </w:r>
      <w:r w:rsidR="00E34251">
        <w:rPr>
          <w:lang w:val="fr"/>
        </w:rPr>
        <w:t xml:space="preserve"> plus facilement </w:t>
      </w:r>
      <w:r>
        <w:rPr>
          <w:lang w:val="fr"/>
        </w:rPr>
        <w:t xml:space="preserve">les patients souffrant d'AVC </w:t>
      </w:r>
      <w:r w:rsidR="00E34251">
        <w:rPr>
          <w:lang w:val="fr"/>
        </w:rPr>
        <w:t xml:space="preserve">à la phase </w:t>
      </w:r>
      <w:r>
        <w:rPr>
          <w:lang w:val="fr"/>
        </w:rPr>
        <w:t xml:space="preserve">aigu, en particulier dans une région où la population est prédisposée à </w:t>
      </w:r>
      <w:r w:rsidR="00E34251">
        <w:rPr>
          <w:lang w:val="fr"/>
        </w:rPr>
        <w:t>cette pathologie</w:t>
      </w:r>
      <w:r>
        <w:rPr>
          <w:lang w:val="fr"/>
        </w:rPr>
        <w:t>.</w:t>
      </w:r>
    </w:p>
    <w:p w14:paraId="60A46298" w14:textId="77777777" w:rsidR="00B5424E" w:rsidRDefault="00B5424E" w:rsidP="00B5424E">
      <w:pPr>
        <w:spacing w:after="0" w:line="240" w:lineRule="auto"/>
        <w:ind w:firstLine="360"/>
      </w:pPr>
    </w:p>
    <w:p w14:paraId="60A46299" w14:textId="47A0FCAD" w:rsidR="00523D0F" w:rsidRPr="003F4BB7" w:rsidRDefault="00523D0F" w:rsidP="00523D0F">
      <w:pPr>
        <w:pStyle w:val="Paragraphedeliste"/>
        <w:numPr>
          <w:ilvl w:val="0"/>
          <w:numId w:val="2"/>
        </w:numPr>
        <w:rPr>
          <w:lang w:val="en"/>
        </w:rPr>
      </w:pPr>
      <w:bookmarkStart w:id="1" w:name="_Hlk25336403"/>
      <w:r w:rsidRPr="003F4BB7">
        <w:rPr>
          <w:b/>
          <w:lang w:val="fr"/>
        </w:rPr>
        <w:t>Effets de l'acide tran</w:t>
      </w:r>
      <w:r w:rsidR="00D622EE">
        <w:rPr>
          <w:b/>
          <w:lang w:val="fr"/>
        </w:rPr>
        <w:t>é</w:t>
      </w:r>
      <w:r w:rsidRPr="003F4BB7">
        <w:rPr>
          <w:b/>
          <w:lang w:val="fr"/>
        </w:rPr>
        <w:t xml:space="preserve">xamique sur la </w:t>
      </w:r>
      <w:r w:rsidR="00BA689D">
        <w:rPr>
          <w:b/>
          <w:lang w:val="fr"/>
        </w:rPr>
        <w:t>mortalité</w:t>
      </w:r>
      <w:r w:rsidRPr="003F4BB7">
        <w:rPr>
          <w:b/>
          <w:lang w:val="fr"/>
        </w:rPr>
        <w:t xml:space="preserve">, les événements occlusifs vasculaires, et la transfusion sanguine </w:t>
      </w:r>
      <w:r w:rsidR="000C08F9">
        <w:rPr>
          <w:b/>
          <w:lang w:val="fr"/>
        </w:rPr>
        <w:t>pour</w:t>
      </w:r>
      <w:r w:rsidRPr="003F4BB7">
        <w:rPr>
          <w:b/>
          <w:lang w:val="fr"/>
        </w:rPr>
        <w:t xml:space="preserve"> les patients </w:t>
      </w:r>
      <w:r w:rsidR="000C08F9">
        <w:rPr>
          <w:b/>
          <w:lang w:val="fr"/>
        </w:rPr>
        <w:t>victime</w:t>
      </w:r>
      <w:r w:rsidR="00D622EE">
        <w:rPr>
          <w:b/>
          <w:lang w:val="fr"/>
        </w:rPr>
        <w:t>s</w:t>
      </w:r>
      <w:r w:rsidR="000C08F9">
        <w:rPr>
          <w:b/>
          <w:lang w:val="fr"/>
        </w:rPr>
        <w:t xml:space="preserve"> d</w:t>
      </w:r>
      <w:r w:rsidR="00F2593C">
        <w:rPr>
          <w:b/>
          <w:lang w:val="fr"/>
        </w:rPr>
        <w:t xml:space="preserve">e </w:t>
      </w:r>
      <w:r w:rsidR="000C08F9">
        <w:rPr>
          <w:b/>
          <w:lang w:val="fr"/>
        </w:rPr>
        <w:t>traumatismes</w:t>
      </w:r>
      <w:r w:rsidR="00F2593C">
        <w:rPr>
          <w:b/>
          <w:lang w:val="fr"/>
        </w:rPr>
        <w:t xml:space="preserve"> et</w:t>
      </w:r>
      <w:r w:rsidRPr="003F4BB7">
        <w:rPr>
          <w:b/>
          <w:lang w:val="fr"/>
        </w:rPr>
        <w:t xml:space="preserve"> présentant </w:t>
      </w:r>
      <w:r w:rsidR="00F2593C">
        <w:rPr>
          <w:b/>
          <w:lang w:val="fr"/>
        </w:rPr>
        <w:t xml:space="preserve">une </w:t>
      </w:r>
      <w:r w:rsidRPr="003F4BB7">
        <w:rPr>
          <w:b/>
          <w:lang w:val="fr"/>
        </w:rPr>
        <w:t xml:space="preserve">hémorragie significative (CRASH-2) : un essai randomisé et contrôlé par placebo. </w:t>
      </w:r>
      <w:r>
        <w:rPr>
          <w:lang w:val="fr"/>
        </w:rPr>
        <w:t xml:space="preserve"> </w:t>
      </w:r>
      <w:bookmarkEnd w:id="1"/>
      <w:r w:rsidR="0065377C" w:rsidRPr="0065377C">
        <w:rPr>
          <w:lang w:val="fr"/>
        </w:rPr>
        <w:t>CRASH-2 trial collaborators</w:t>
      </w:r>
      <w:r w:rsidRPr="003F4BB7">
        <w:rPr>
          <w:lang w:val="fr"/>
        </w:rPr>
        <w:t>.</w:t>
      </w:r>
      <w:r>
        <w:rPr>
          <w:lang w:val="fr"/>
        </w:rPr>
        <w:t xml:space="preserve">  </w:t>
      </w:r>
      <w:r w:rsidRPr="003F4BB7">
        <w:rPr>
          <w:i/>
          <w:lang w:val="fr"/>
        </w:rPr>
        <w:t>The Lancet</w:t>
      </w:r>
      <w:r w:rsidRPr="003F4BB7">
        <w:rPr>
          <w:lang w:val="fr"/>
        </w:rPr>
        <w:t>, 2010; 376:23-32 Texte intégral disponible à: https://www.thelancet.com/pdfs/journals/lancet/PIIS0140-6736(10)60835-5.pdf</w:t>
      </w:r>
    </w:p>
    <w:p w14:paraId="60A4629A" w14:textId="2AD2378A" w:rsidR="00523D0F" w:rsidRPr="00523D0F" w:rsidRDefault="00523D0F" w:rsidP="00B5424E">
      <w:pPr>
        <w:spacing w:after="0" w:line="240" w:lineRule="auto"/>
        <w:ind w:firstLine="720"/>
      </w:pPr>
      <w:r w:rsidRPr="00523D0F">
        <w:rPr>
          <w:lang w:val="fr"/>
        </w:rPr>
        <w:t>L'hémorragie</w:t>
      </w:r>
      <w:r w:rsidR="00CD0B2F">
        <w:rPr>
          <w:lang w:val="fr"/>
        </w:rPr>
        <w:t xml:space="preserve"> post</w:t>
      </w:r>
      <w:r w:rsidRPr="00523D0F">
        <w:rPr>
          <w:lang w:val="fr"/>
        </w:rPr>
        <w:t xml:space="preserve"> traumatique grave modifie radicalement la capacité du corps à former le caillot. </w:t>
      </w:r>
      <w:r w:rsidR="00CD0B2F">
        <w:rPr>
          <w:lang w:val="fr"/>
        </w:rPr>
        <w:t>A</w:t>
      </w:r>
      <w:r w:rsidRPr="00523D0F">
        <w:rPr>
          <w:lang w:val="fr"/>
        </w:rPr>
        <w:t xml:space="preserve"> </w:t>
      </w:r>
      <w:r w:rsidR="00CD0B2F">
        <w:rPr>
          <w:lang w:val="fr"/>
        </w:rPr>
        <w:t>l’</w:t>
      </w:r>
      <w:r w:rsidRPr="00523D0F">
        <w:rPr>
          <w:lang w:val="fr"/>
        </w:rPr>
        <w:t xml:space="preserve">état normal, notre corps </w:t>
      </w:r>
      <w:r w:rsidR="00CD0B2F">
        <w:rPr>
          <w:lang w:val="fr"/>
        </w:rPr>
        <w:t xml:space="preserve">est capable </w:t>
      </w:r>
      <w:r w:rsidRPr="00523D0F">
        <w:rPr>
          <w:lang w:val="fr"/>
        </w:rPr>
        <w:t xml:space="preserve">simultanément </w:t>
      </w:r>
      <w:r w:rsidR="00CE58BE">
        <w:rPr>
          <w:lang w:val="fr"/>
        </w:rPr>
        <w:t xml:space="preserve">de créer </w:t>
      </w:r>
      <w:r w:rsidRPr="00523D0F">
        <w:rPr>
          <w:lang w:val="fr"/>
        </w:rPr>
        <w:t xml:space="preserve">un caillot si nécessaire, mais aussi </w:t>
      </w:r>
      <w:r w:rsidR="00A22026">
        <w:rPr>
          <w:lang w:val="fr"/>
        </w:rPr>
        <w:t>d</w:t>
      </w:r>
      <w:r w:rsidR="00713DD3">
        <w:rPr>
          <w:lang w:val="fr"/>
        </w:rPr>
        <w:t>’éviter la formation d</w:t>
      </w:r>
      <w:r w:rsidR="00FC1CC7">
        <w:rPr>
          <w:lang w:val="fr"/>
        </w:rPr>
        <w:t xml:space="preserve">’un caillot </w:t>
      </w:r>
      <w:r w:rsidRPr="00523D0F">
        <w:rPr>
          <w:lang w:val="fr"/>
        </w:rPr>
        <w:t>pour prévenir l'occlusion des vaisseaux sanguins. Ce mécanisme</w:t>
      </w:r>
      <w:r w:rsidR="001104ED">
        <w:rPr>
          <w:lang w:val="fr"/>
        </w:rPr>
        <w:t xml:space="preserve"> </w:t>
      </w:r>
      <w:r w:rsidRPr="00523D0F">
        <w:rPr>
          <w:lang w:val="fr"/>
        </w:rPr>
        <w:t xml:space="preserve">est perturbé </w:t>
      </w:r>
      <w:r w:rsidR="00FC1CC7">
        <w:rPr>
          <w:lang w:val="fr"/>
        </w:rPr>
        <w:t>chez le patient qui saigne massivement</w:t>
      </w:r>
      <w:r w:rsidRPr="00523D0F">
        <w:rPr>
          <w:lang w:val="fr"/>
        </w:rPr>
        <w:t>. L'acide tran</w:t>
      </w:r>
      <w:r w:rsidR="001104ED">
        <w:rPr>
          <w:lang w:val="fr"/>
        </w:rPr>
        <w:t>é</w:t>
      </w:r>
      <w:r w:rsidRPr="00523D0F">
        <w:rPr>
          <w:lang w:val="fr"/>
        </w:rPr>
        <w:t>xamique (TXA) est un médicament peu coûteux et sûr</w:t>
      </w:r>
      <w:r w:rsidR="001104ED">
        <w:rPr>
          <w:lang w:val="fr"/>
        </w:rPr>
        <w:t>,</w:t>
      </w:r>
      <w:r w:rsidRPr="00523D0F">
        <w:rPr>
          <w:lang w:val="fr"/>
        </w:rPr>
        <w:t xml:space="preserve"> qui a été employé pendant des décennies dans la chirurgie cardiothoracique, orthopédique, et gynécologique.</w:t>
      </w:r>
      <w:r w:rsidR="001104ED">
        <w:rPr>
          <w:lang w:val="fr"/>
        </w:rPr>
        <w:t xml:space="preserve"> Le</w:t>
      </w:r>
      <w:r w:rsidRPr="00523D0F">
        <w:rPr>
          <w:lang w:val="fr"/>
        </w:rPr>
        <w:t xml:space="preserve"> TXA agit en empêchant l</w:t>
      </w:r>
      <w:r w:rsidR="0015565A">
        <w:rPr>
          <w:lang w:val="fr"/>
        </w:rPr>
        <w:t>’organisme de détruire</w:t>
      </w:r>
      <w:r w:rsidRPr="00523D0F">
        <w:rPr>
          <w:lang w:val="fr"/>
        </w:rPr>
        <w:t xml:space="preserve"> naturellement le </w:t>
      </w:r>
      <w:r w:rsidRPr="00523D0F">
        <w:rPr>
          <w:lang w:val="fr"/>
        </w:rPr>
        <w:lastRenderedPageBreak/>
        <w:t xml:space="preserve">caillot comme il se forme. Ce faisant, </w:t>
      </w:r>
      <w:r w:rsidR="0015565A">
        <w:rPr>
          <w:lang w:val="fr"/>
        </w:rPr>
        <w:t xml:space="preserve">le </w:t>
      </w:r>
      <w:r w:rsidRPr="00523D0F">
        <w:rPr>
          <w:lang w:val="fr"/>
        </w:rPr>
        <w:t xml:space="preserve">TXA aide à contrôler les saignements. Au cours de la dernière décennie, </w:t>
      </w:r>
      <w:r w:rsidR="0015565A">
        <w:rPr>
          <w:lang w:val="fr"/>
        </w:rPr>
        <w:t xml:space="preserve">le </w:t>
      </w:r>
      <w:r w:rsidRPr="00523D0F">
        <w:rPr>
          <w:lang w:val="fr"/>
        </w:rPr>
        <w:t xml:space="preserve">TXA </w:t>
      </w:r>
      <w:r w:rsidR="002C6F6E">
        <w:rPr>
          <w:lang w:val="fr"/>
        </w:rPr>
        <w:t>a ét</w:t>
      </w:r>
      <w:r w:rsidR="006536C6">
        <w:rPr>
          <w:lang w:val="fr"/>
        </w:rPr>
        <w:t>é</w:t>
      </w:r>
      <w:r w:rsidR="002C6F6E">
        <w:rPr>
          <w:lang w:val="fr"/>
        </w:rPr>
        <w:t xml:space="preserve"> de plus en plus </w:t>
      </w:r>
      <w:r w:rsidR="006536C6">
        <w:rPr>
          <w:lang w:val="fr"/>
        </w:rPr>
        <w:t>utilisé</w:t>
      </w:r>
      <w:r w:rsidRPr="00523D0F">
        <w:rPr>
          <w:lang w:val="fr"/>
        </w:rPr>
        <w:t xml:space="preserve"> chez le patient</w:t>
      </w:r>
      <w:r w:rsidR="006536C6">
        <w:rPr>
          <w:lang w:val="fr"/>
        </w:rPr>
        <w:t xml:space="preserve"> victime de saignement massif post traumatique</w:t>
      </w:r>
      <w:r w:rsidRPr="00523D0F">
        <w:rPr>
          <w:lang w:val="fr"/>
        </w:rPr>
        <w:t>.</w:t>
      </w:r>
    </w:p>
    <w:p w14:paraId="60A4629B" w14:textId="0A8670C9" w:rsidR="00523D0F" w:rsidRPr="00523D0F" w:rsidRDefault="00523D0F" w:rsidP="00B5424E">
      <w:pPr>
        <w:spacing w:after="0" w:line="240" w:lineRule="auto"/>
        <w:ind w:firstLine="720"/>
      </w:pPr>
      <w:r w:rsidRPr="00523D0F">
        <w:rPr>
          <w:lang w:val="fr"/>
        </w:rPr>
        <w:t>L'</w:t>
      </w:r>
      <w:r w:rsidR="005D5C68">
        <w:rPr>
          <w:lang w:val="fr"/>
        </w:rPr>
        <w:t>étude</w:t>
      </w:r>
      <w:r w:rsidRPr="00523D0F">
        <w:rPr>
          <w:lang w:val="fr"/>
        </w:rPr>
        <w:t xml:space="preserve"> CRASH-2 a été publié dans le </w:t>
      </w:r>
      <w:r w:rsidRPr="00523D0F">
        <w:rPr>
          <w:i/>
          <w:lang w:val="fr"/>
        </w:rPr>
        <w:t>Lancet</w:t>
      </w:r>
      <w:r>
        <w:rPr>
          <w:lang w:val="fr"/>
        </w:rPr>
        <w:t xml:space="preserve"> </w:t>
      </w:r>
      <w:r w:rsidRPr="00523D0F">
        <w:rPr>
          <w:lang w:val="fr"/>
        </w:rPr>
        <w:t>en 2010 et a été l</w:t>
      </w:r>
      <w:r w:rsidR="005D5C68">
        <w:rPr>
          <w:lang w:val="fr"/>
        </w:rPr>
        <w:t>a</w:t>
      </w:r>
      <w:r w:rsidRPr="00523D0F">
        <w:rPr>
          <w:lang w:val="fr"/>
        </w:rPr>
        <w:t xml:space="preserve"> premi</w:t>
      </w:r>
      <w:r w:rsidR="005D5C68">
        <w:rPr>
          <w:lang w:val="fr"/>
        </w:rPr>
        <w:t>è</w:t>
      </w:r>
      <w:r w:rsidRPr="00523D0F">
        <w:rPr>
          <w:lang w:val="fr"/>
        </w:rPr>
        <w:t>r</w:t>
      </w:r>
      <w:r w:rsidR="005D5C68">
        <w:rPr>
          <w:lang w:val="fr"/>
        </w:rPr>
        <w:t>e</w:t>
      </w:r>
      <w:r w:rsidRPr="00523D0F">
        <w:rPr>
          <w:lang w:val="fr"/>
        </w:rPr>
        <w:t xml:space="preserve"> grand</w:t>
      </w:r>
      <w:r w:rsidR="005D5C68">
        <w:rPr>
          <w:lang w:val="fr"/>
        </w:rPr>
        <w:t>e</w:t>
      </w:r>
      <w:r w:rsidRPr="00523D0F">
        <w:rPr>
          <w:lang w:val="fr"/>
        </w:rPr>
        <w:t xml:space="preserve"> </w:t>
      </w:r>
      <w:r w:rsidR="005D5C68">
        <w:rPr>
          <w:lang w:val="fr"/>
        </w:rPr>
        <w:t>étude</w:t>
      </w:r>
      <w:r w:rsidRPr="00523D0F">
        <w:rPr>
          <w:lang w:val="fr"/>
        </w:rPr>
        <w:t xml:space="preserve"> évaluant l'utilisation d</w:t>
      </w:r>
      <w:r w:rsidR="005D5C68">
        <w:rPr>
          <w:lang w:val="fr"/>
        </w:rPr>
        <w:t>u</w:t>
      </w:r>
      <w:r w:rsidRPr="00523D0F">
        <w:rPr>
          <w:lang w:val="fr"/>
        </w:rPr>
        <w:t xml:space="preserve"> TXA chez le </w:t>
      </w:r>
      <w:r w:rsidR="00F37AAA">
        <w:rPr>
          <w:lang w:val="fr"/>
        </w:rPr>
        <w:t>patient souffrant d’un traumatisme grave</w:t>
      </w:r>
      <w:r w:rsidRPr="00523D0F">
        <w:rPr>
          <w:lang w:val="fr"/>
        </w:rPr>
        <w:t xml:space="preserve">. Il s'agissait d'un essai </w:t>
      </w:r>
      <w:r w:rsidR="00F37AAA">
        <w:rPr>
          <w:lang w:val="fr"/>
        </w:rPr>
        <w:t xml:space="preserve">à </w:t>
      </w:r>
      <w:r w:rsidR="003D11FA">
        <w:rPr>
          <w:lang w:val="fr"/>
        </w:rPr>
        <w:t>l’</w:t>
      </w:r>
      <w:r w:rsidRPr="00523D0F">
        <w:rPr>
          <w:lang w:val="fr"/>
        </w:rPr>
        <w:t>aveugl</w:t>
      </w:r>
      <w:r w:rsidR="00F37AAA">
        <w:rPr>
          <w:lang w:val="fr"/>
        </w:rPr>
        <w:t>e</w:t>
      </w:r>
      <w:r w:rsidRPr="00523D0F">
        <w:rPr>
          <w:lang w:val="fr"/>
        </w:rPr>
        <w:t xml:space="preserve">, partiellement randomisé, auquel ont participé 274 hôpitaux dans 40 pays (les États-Unis n'étaient pas impliqués en raison de règles de consentement éclairé). Au cours de cette étude, 20 211 patients traumatisés adultes ont été inscrits et ont reçu soit </w:t>
      </w:r>
      <w:r w:rsidR="004A3024">
        <w:rPr>
          <w:lang w:val="fr"/>
        </w:rPr>
        <w:t xml:space="preserve">du </w:t>
      </w:r>
      <w:r w:rsidRPr="00523D0F">
        <w:rPr>
          <w:lang w:val="fr"/>
        </w:rPr>
        <w:t xml:space="preserve">TXA (10 060 patients) soit </w:t>
      </w:r>
      <w:r w:rsidR="004A3024">
        <w:rPr>
          <w:lang w:val="fr"/>
        </w:rPr>
        <w:t xml:space="preserve">un </w:t>
      </w:r>
      <w:r w:rsidRPr="00523D0F">
        <w:rPr>
          <w:lang w:val="fr"/>
        </w:rPr>
        <w:t xml:space="preserve">placebo (10 067 patients). Les patients </w:t>
      </w:r>
      <w:r w:rsidR="005E4E89">
        <w:rPr>
          <w:lang w:val="fr"/>
        </w:rPr>
        <w:t>ont été inclus à la condition de souffrir d</w:t>
      </w:r>
      <w:r w:rsidR="002C023F">
        <w:rPr>
          <w:lang w:val="fr"/>
        </w:rPr>
        <w:t xml:space="preserve">’une </w:t>
      </w:r>
      <w:r w:rsidRPr="00523D0F">
        <w:rPr>
          <w:lang w:val="fr"/>
        </w:rPr>
        <w:t>hémorragie importante (</w:t>
      </w:r>
      <w:r w:rsidR="00EF28C6">
        <w:rPr>
          <w:lang w:val="fr"/>
        </w:rPr>
        <w:t xml:space="preserve">une </w:t>
      </w:r>
      <w:r w:rsidRPr="00523D0F">
        <w:rPr>
          <w:lang w:val="fr"/>
        </w:rPr>
        <w:t xml:space="preserve">tension artérielle systolique </w:t>
      </w:r>
      <w:r w:rsidR="00EF28C6">
        <w:rPr>
          <w:lang w:val="fr"/>
        </w:rPr>
        <w:t>&lt;</w:t>
      </w:r>
      <w:r w:rsidRPr="00523D0F">
        <w:rPr>
          <w:lang w:val="fr"/>
        </w:rPr>
        <w:t xml:space="preserve"> 90 mm Hg ou </w:t>
      </w:r>
      <w:r w:rsidR="00EF28C6">
        <w:rPr>
          <w:lang w:val="fr"/>
        </w:rPr>
        <w:t xml:space="preserve">une </w:t>
      </w:r>
      <w:r w:rsidRPr="00523D0F">
        <w:rPr>
          <w:lang w:val="fr"/>
        </w:rPr>
        <w:t xml:space="preserve">fréquence cardiaque </w:t>
      </w:r>
      <w:r w:rsidR="00EF28C6">
        <w:rPr>
          <w:lang w:val="fr"/>
        </w:rPr>
        <w:t>&gt;</w:t>
      </w:r>
      <w:r w:rsidRPr="00523D0F">
        <w:rPr>
          <w:lang w:val="fr"/>
        </w:rPr>
        <w:t xml:space="preserve"> 110 battements par minute) ou </w:t>
      </w:r>
      <w:r w:rsidR="004045A8">
        <w:rPr>
          <w:lang w:val="fr"/>
        </w:rPr>
        <w:t>si</w:t>
      </w:r>
      <w:r w:rsidR="0003479D">
        <w:rPr>
          <w:lang w:val="fr"/>
        </w:rPr>
        <w:t xml:space="preserve"> les intervenants suspectai</w:t>
      </w:r>
      <w:r w:rsidR="00BA24FD">
        <w:rPr>
          <w:lang w:val="fr"/>
        </w:rPr>
        <w:t>ent l’existence</w:t>
      </w:r>
      <w:r w:rsidR="004045A8">
        <w:rPr>
          <w:lang w:val="fr"/>
        </w:rPr>
        <w:t xml:space="preserve"> d’</w:t>
      </w:r>
      <w:r w:rsidR="00BA24FD">
        <w:rPr>
          <w:lang w:val="fr"/>
        </w:rPr>
        <w:t xml:space="preserve">une </w:t>
      </w:r>
      <w:r w:rsidR="004045A8">
        <w:rPr>
          <w:lang w:val="fr"/>
        </w:rPr>
        <w:t>hémorragie</w:t>
      </w:r>
      <w:r w:rsidR="00CF3F91">
        <w:rPr>
          <w:lang w:val="fr"/>
        </w:rPr>
        <w:t xml:space="preserve"> </w:t>
      </w:r>
      <w:r w:rsidR="004045A8">
        <w:rPr>
          <w:lang w:val="fr"/>
        </w:rPr>
        <w:t>massiv</w:t>
      </w:r>
      <w:r w:rsidR="00CF3F91">
        <w:rPr>
          <w:lang w:val="fr"/>
        </w:rPr>
        <w:t>e</w:t>
      </w:r>
      <w:r w:rsidRPr="00523D0F">
        <w:rPr>
          <w:lang w:val="fr"/>
        </w:rPr>
        <w:t xml:space="preserve">. </w:t>
      </w:r>
      <w:r w:rsidR="00941110">
        <w:rPr>
          <w:lang w:val="fr"/>
        </w:rPr>
        <w:t>L’étude</w:t>
      </w:r>
      <w:r w:rsidR="00941110" w:rsidRPr="00523D0F">
        <w:rPr>
          <w:lang w:val="fr"/>
        </w:rPr>
        <w:t xml:space="preserve"> est considéré</w:t>
      </w:r>
      <w:r w:rsidR="00941110">
        <w:rPr>
          <w:lang w:val="fr"/>
        </w:rPr>
        <w:t>e</w:t>
      </w:r>
      <w:r w:rsidR="00941110" w:rsidRPr="00523D0F">
        <w:rPr>
          <w:lang w:val="fr"/>
        </w:rPr>
        <w:t xml:space="preserve"> comme partiellement randomisé</w:t>
      </w:r>
      <w:r w:rsidR="00941110">
        <w:rPr>
          <w:lang w:val="fr"/>
        </w:rPr>
        <w:t>e</w:t>
      </w:r>
      <w:r w:rsidR="00941110" w:rsidRPr="00523D0F">
        <w:rPr>
          <w:lang w:val="fr"/>
        </w:rPr>
        <w:t xml:space="preserve"> parce que le médecin </w:t>
      </w:r>
      <w:r w:rsidR="00941110">
        <w:rPr>
          <w:lang w:val="fr"/>
        </w:rPr>
        <w:t>en charge</w:t>
      </w:r>
      <w:r w:rsidR="00941110" w:rsidRPr="00523D0F">
        <w:rPr>
          <w:lang w:val="fr"/>
        </w:rPr>
        <w:t xml:space="preserve"> pou</w:t>
      </w:r>
      <w:r w:rsidR="00941110">
        <w:rPr>
          <w:lang w:val="fr"/>
        </w:rPr>
        <w:t>vai</w:t>
      </w:r>
      <w:r w:rsidR="00941110" w:rsidRPr="00523D0F">
        <w:rPr>
          <w:lang w:val="fr"/>
        </w:rPr>
        <w:t xml:space="preserve">t décider d'administrer ou </w:t>
      </w:r>
      <w:r w:rsidR="00941110">
        <w:rPr>
          <w:lang w:val="fr"/>
        </w:rPr>
        <w:t>non le</w:t>
      </w:r>
      <w:r w:rsidR="00941110" w:rsidRPr="00523D0F">
        <w:rPr>
          <w:lang w:val="fr"/>
        </w:rPr>
        <w:t xml:space="preserve"> TXA</w:t>
      </w:r>
      <w:r w:rsidR="00601190">
        <w:rPr>
          <w:lang w:val="fr"/>
        </w:rPr>
        <w:t>,</w:t>
      </w:r>
      <w:r w:rsidR="00941110" w:rsidRPr="00523D0F">
        <w:rPr>
          <w:lang w:val="fr"/>
        </w:rPr>
        <w:t xml:space="preserve"> en fonction de</w:t>
      </w:r>
      <w:r w:rsidR="00941110">
        <w:rPr>
          <w:lang w:val="fr"/>
        </w:rPr>
        <w:t xml:space="preserve"> sa suspicion</w:t>
      </w:r>
      <w:r w:rsidR="00941110" w:rsidRPr="00523D0F">
        <w:rPr>
          <w:lang w:val="fr"/>
        </w:rPr>
        <w:t xml:space="preserve"> clinique de saignement</w:t>
      </w:r>
      <w:r w:rsidR="00601190">
        <w:rPr>
          <w:lang w:val="fr"/>
        </w:rPr>
        <w:t>. Ainsi l</w:t>
      </w:r>
      <w:r w:rsidR="00193583">
        <w:rPr>
          <w:lang w:val="fr"/>
        </w:rPr>
        <w:t xml:space="preserve">es patients n’étaient randomisés que si le médecin en charge </w:t>
      </w:r>
      <w:r w:rsidR="00AB3828">
        <w:rPr>
          <w:lang w:val="fr"/>
        </w:rPr>
        <w:t>n’avait pas la conviction soit</w:t>
      </w:r>
      <w:r w:rsidR="00CC39B6">
        <w:rPr>
          <w:lang w:val="fr"/>
        </w:rPr>
        <w:t>,</w:t>
      </w:r>
      <w:r w:rsidR="00AB3828">
        <w:rPr>
          <w:lang w:val="fr"/>
        </w:rPr>
        <w:t xml:space="preserve"> que l</w:t>
      </w:r>
      <w:r w:rsidR="00171F6A">
        <w:rPr>
          <w:lang w:val="fr"/>
        </w:rPr>
        <w:t>e</w:t>
      </w:r>
      <w:r w:rsidR="00AB3828">
        <w:rPr>
          <w:lang w:val="fr"/>
        </w:rPr>
        <w:t xml:space="preserve"> patient saigne abonda</w:t>
      </w:r>
      <w:r w:rsidR="004E260E">
        <w:rPr>
          <w:lang w:val="fr"/>
        </w:rPr>
        <w:t>m</w:t>
      </w:r>
      <w:r w:rsidR="00AB3828">
        <w:rPr>
          <w:lang w:val="fr"/>
        </w:rPr>
        <w:t>ment</w:t>
      </w:r>
      <w:r w:rsidR="00CC39B6">
        <w:rPr>
          <w:lang w:val="fr"/>
        </w:rPr>
        <w:t>, soit que le patient ne saigne pas</w:t>
      </w:r>
      <w:r w:rsidR="003816F5">
        <w:rPr>
          <w:lang w:val="fr"/>
        </w:rPr>
        <w:t xml:space="preserve">. </w:t>
      </w:r>
      <w:r w:rsidRPr="00523D0F">
        <w:rPr>
          <w:lang w:val="fr"/>
        </w:rPr>
        <w:t>Le résultat mesuré était l</w:t>
      </w:r>
      <w:r w:rsidR="003816F5">
        <w:rPr>
          <w:lang w:val="fr"/>
        </w:rPr>
        <w:t>e décès</w:t>
      </w:r>
      <w:r w:rsidRPr="00523D0F">
        <w:rPr>
          <w:lang w:val="fr"/>
        </w:rPr>
        <w:t xml:space="preserve"> dans les 4 semaines suivant la blessure. Les auteurs ont constaté que ceux qui ont reçu </w:t>
      </w:r>
      <w:r w:rsidR="00963597">
        <w:rPr>
          <w:lang w:val="fr"/>
        </w:rPr>
        <w:t xml:space="preserve">du </w:t>
      </w:r>
      <w:r w:rsidRPr="00523D0F">
        <w:rPr>
          <w:lang w:val="fr"/>
        </w:rPr>
        <w:t xml:space="preserve">TXA avaient </w:t>
      </w:r>
      <w:r w:rsidR="00963597">
        <w:rPr>
          <w:lang w:val="fr"/>
        </w:rPr>
        <w:t>un taux de</w:t>
      </w:r>
      <w:r w:rsidRPr="00523D0F">
        <w:rPr>
          <w:lang w:val="fr"/>
        </w:rPr>
        <w:t xml:space="preserve"> survie</w:t>
      </w:r>
      <w:r w:rsidR="00963597">
        <w:rPr>
          <w:lang w:val="fr"/>
        </w:rPr>
        <w:t xml:space="preserve"> meilleur</w:t>
      </w:r>
      <w:r w:rsidRPr="00523D0F">
        <w:rPr>
          <w:lang w:val="fr"/>
        </w:rPr>
        <w:t xml:space="preserve"> </w:t>
      </w:r>
      <w:r w:rsidR="00963597">
        <w:rPr>
          <w:lang w:val="fr"/>
        </w:rPr>
        <w:t>que</w:t>
      </w:r>
      <w:r w:rsidRPr="00523D0F">
        <w:rPr>
          <w:lang w:val="fr"/>
        </w:rPr>
        <w:t xml:space="preserve"> ceux qui ont reçu un placebo (mortalité 14,5% vs 16%). Le décès spécifiquement dû au saignement a été réduit </w:t>
      </w:r>
      <w:r w:rsidR="00963597">
        <w:rPr>
          <w:lang w:val="fr"/>
        </w:rPr>
        <w:t xml:space="preserve">chez les patients </w:t>
      </w:r>
      <w:r w:rsidRPr="00523D0F">
        <w:rPr>
          <w:lang w:val="fr"/>
        </w:rPr>
        <w:t xml:space="preserve">qui ont reçu </w:t>
      </w:r>
      <w:r w:rsidR="00963597">
        <w:rPr>
          <w:lang w:val="fr"/>
        </w:rPr>
        <w:t xml:space="preserve">du </w:t>
      </w:r>
      <w:r w:rsidRPr="00523D0F">
        <w:rPr>
          <w:lang w:val="fr"/>
        </w:rPr>
        <w:t>TXA (4.9% contre 5.7%). Les auteurs ont également noté un</w:t>
      </w:r>
      <w:r w:rsidR="00330A11">
        <w:rPr>
          <w:lang w:val="fr"/>
        </w:rPr>
        <w:t>e augmentation du taux</w:t>
      </w:r>
      <w:r w:rsidR="00F11B0D">
        <w:rPr>
          <w:lang w:val="fr"/>
        </w:rPr>
        <w:t xml:space="preserve"> </w:t>
      </w:r>
      <w:r w:rsidRPr="00523D0F">
        <w:rPr>
          <w:lang w:val="fr"/>
        </w:rPr>
        <w:t xml:space="preserve">de survie </w:t>
      </w:r>
      <w:r w:rsidR="00F11B0D">
        <w:rPr>
          <w:lang w:val="fr"/>
        </w:rPr>
        <w:t>pour</w:t>
      </w:r>
      <w:r w:rsidRPr="00523D0F">
        <w:rPr>
          <w:lang w:val="fr"/>
        </w:rPr>
        <w:t xml:space="preserve"> ceux qui ont reçu </w:t>
      </w:r>
      <w:r w:rsidR="00F11B0D">
        <w:rPr>
          <w:lang w:val="fr"/>
        </w:rPr>
        <w:t xml:space="preserve">du </w:t>
      </w:r>
      <w:r w:rsidRPr="00523D0F">
        <w:rPr>
          <w:lang w:val="fr"/>
        </w:rPr>
        <w:t xml:space="preserve">TXA dans les 3 heures </w:t>
      </w:r>
      <w:r w:rsidR="00F11B0D">
        <w:rPr>
          <w:lang w:val="fr"/>
        </w:rPr>
        <w:t>suivant</w:t>
      </w:r>
      <w:r w:rsidRPr="00523D0F">
        <w:rPr>
          <w:lang w:val="fr"/>
        </w:rPr>
        <w:t xml:space="preserve"> la blessure, </w:t>
      </w:r>
      <w:r w:rsidR="00030E3A">
        <w:rPr>
          <w:lang w:val="fr"/>
        </w:rPr>
        <w:t xml:space="preserve">cette augmentation </w:t>
      </w:r>
      <w:r w:rsidR="00D67262">
        <w:rPr>
          <w:lang w:val="fr"/>
        </w:rPr>
        <w:t>étant la plus</w:t>
      </w:r>
      <w:r w:rsidR="00433272">
        <w:rPr>
          <w:lang w:val="fr"/>
        </w:rPr>
        <w:t xml:space="preserve"> significative si le</w:t>
      </w:r>
      <w:r w:rsidRPr="00523D0F">
        <w:rPr>
          <w:lang w:val="fr"/>
        </w:rPr>
        <w:t xml:space="preserve"> TXA </w:t>
      </w:r>
      <w:r w:rsidR="00433272">
        <w:rPr>
          <w:lang w:val="fr"/>
        </w:rPr>
        <w:t xml:space="preserve">était donné </w:t>
      </w:r>
      <w:r w:rsidRPr="00523D0F">
        <w:rPr>
          <w:lang w:val="fr"/>
        </w:rPr>
        <w:t xml:space="preserve">dans un délai de 1 heure </w:t>
      </w:r>
      <w:r w:rsidR="00433272">
        <w:rPr>
          <w:lang w:val="fr"/>
        </w:rPr>
        <w:t>ap</w:t>
      </w:r>
      <w:r w:rsidR="001070A7">
        <w:rPr>
          <w:lang w:val="fr"/>
        </w:rPr>
        <w:t>rè</w:t>
      </w:r>
      <w:r w:rsidR="00433272">
        <w:rPr>
          <w:lang w:val="fr"/>
        </w:rPr>
        <w:t>s la survenue de</w:t>
      </w:r>
      <w:r w:rsidRPr="00523D0F">
        <w:rPr>
          <w:lang w:val="fr"/>
        </w:rPr>
        <w:t xml:space="preserve"> la blessure. Pour des raisons qui restent </w:t>
      </w:r>
      <w:r w:rsidR="001070A7">
        <w:rPr>
          <w:lang w:val="fr"/>
        </w:rPr>
        <w:t xml:space="preserve">encore </w:t>
      </w:r>
      <w:r w:rsidRPr="00523D0F">
        <w:rPr>
          <w:lang w:val="fr"/>
        </w:rPr>
        <w:t xml:space="preserve">inconnues, </w:t>
      </w:r>
      <w:r w:rsidR="001070A7">
        <w:rPr>
          <w:lang w:val="fr"/>
        </w:rPr>
        <w:t>les patients</w:t>
      </w:r>
      <w:r w:rsidRPr="00523D0F">
        <w:rPr>
          <w:lang w:val="fr"/>
        </w:rPr>
        <w:t xml:space="preserve"> qui ont reçu </w:t>
      </w:r>
      <w:r w:rsidR="001070A7">
        <w:rPr>
          <w:lang w:val="fr"/>
        </w:rPr>
        <w:t xml:space="preserve">du </w:t>
      </w:r>
      <w:r w:rsidRPr="00523D0F">
        <w:rPr>
          <w:lang w:val="fr"/>
        </w:rPr>
        <w:t>TXA plus de 3 heures après la</w:t>
      </w:r>
      <w:r w:rsidR="001070A7">
        <w:rPr>
          <w:lang w:val="fr"/>
        </w:rPr>
        <w:t xml:space="preserve"> survenue </w:t>
      </w:r>
      <w:r w:rsidR="00FC1E4C">
        <w:rPr>
          <w:lang w:val="fr"/>
        </w:rPr>
        <w:t>de la</w:t>
      </w:r>
      <w:r w:rsidRPr="00523D0F">
        <w:rPr>
          <w:lang w:val="fr"/>
        </w:rPr>
        <w:t xml:space="preserve"> blessure ont eu </w:t>
      </w:r>
      <w:r w:rsidR="00044A87">
        <w:rPr>
          <w:lang w:val="fr"/>
        </w:rPr>
        <w:t>un devenir pire que les autres</w:t>
      </w:r>
      <w:r w:rsidRPr="00523D0F">
        <w:rPr>
          <w:lang w:val="fr"/>
        </w:rPr>
        <w:t xml:space="preserve">. </w:t>
      </w:r>
    </w:p>
    <w:p w14:paraId="60A4629C" w14:textId="4C2FD7FF" w:rsidR="00523D0F" w:rsidRPr="00523D0F" w:rsidRDefault="00523D0F" w:rsidP="00B5424E">
      <w:pPr>
        <w:spacing w:after="0" w:line="240" w:lineRule="auto"/>
        <w:ind w:firstLine="720"/>
      </w:pPr>
      <w:r w:rsidRPr="00523D0F">
        <w:rPr>
          <w:lang w:val="fr"/>
        </w:rPr>
        <w:t xml:space="preserve">Le procès CRASH-2 </w:t>
      </w:r>
      <w:r w:rsidR="00477BCD">
        <w:rPr>
          <w:lang w:val="fr"/>
        </w:rPr>
        <w:t>peut être critiqué sur plusieurs points</w:t>
      </w:r>
      <w:r w:rsidRPr="00523D0F">
        <w:rPr>
          <w:lang w:val="fr"/>
        </w:rPr>
        <w:t>. L'étude n'était pas une véritable étude randomisée, car l</w:t>
      </w:r>
      <w:r w:rsidR="00FE5D8E">
        <w:rPr>
          <w:lang w:val="fr"/>
        </w:rPr>
        <w:t>’intervenant</w:t>
      </w:r>
      <w:r w:rsidRPr="00523D0F">
        <w:rPr>
          <w:lang w:val="fr"/>
        </w:rPr>
        <w:t xml:space="preserve"> pouvait décider du cours du traitement s'il le souhaitait. Cela affaiblit la validité de toute grande étude. Bien qu'il y ait eu un grand nombre de patients inscrits, moins de 50 % avaient des signes vitaux instables (hypotension ou tachycardie) ou nécessitaient même une transfusion sanguine. On pourrait soutenir que les données de survie ne sont pas exactes puisque t</w:t>
      </w:r>
      <w:r w:rsidR="0000495E">
        <w:rPr>
          <w:lang w:val="fr"/>
        </w:rPr>
        <w:t>ellement</w:t>
      </w:r>
      <w:r w:rsidRPr="00523D0F">
        <w:rPr>
          <w:lang w:val="fr"/>
        </w:rPr>
        <w:t xml:space="preserve"> de patients ont reçu</w:t>
      </w:r>
      <w:r w:rsidR="0000495E">
        <w:rPr>
          <w:lang w:val="fr"/>
        </w:rPr>
        <w:t xml:space="preserve"> du</w:t>
      </w:r>
      <w:r w:rsidRPr="00523D0F">
        <w:rPr>
          <w:lang w:val="fr"/>
        </w:rPr>
        <w:t xml:space="preserve"> TXA </w:t>
      </w:r>
      <w:r w:rsidR="0000495E">
        <w:rPr>
          <w:lang w:val="fr"/>
        </w:rPr>
        <w:t xml:space="preserve">alors </w:t>
      </w:r>
      <w:r w:rsidRPr="00523D0F">
        <w:rPr>
          <w:lang w:val="fr"/>
        </w:rPr>
        <w:t>qu</w:t>
      </w:r>
      <w:r w:rsidR="0000495E">
        <w:rPr>
          <w:lang w:val="fr"/>
        </w:rPr>
        <w:t>’ils</w:t>
      </w:r>
      <w:r w:rsidRPr="00523D0F">
        <w:rPr>
          <w:lang w:val="fr"/>
        </w:rPr>
        <w:t xml:space="preserve"> n'en avaient probablement pas besoin. Parmi ceux qui sont morts, seulement 35 % sont effectivement morts d'un</w:t>
      </w:r>
      <w:r w:rsidR="004947F0">
        <w:rPr>
          <w:lang w:val="fr"/>
        </w:rPr>
        <w:t xml:space="preserve">e hémorragie </w:t>
      </w:r>
      <w:r w:rsidRPr="00523D0F">
        <w:rPr>
          <w:lang w:val="fr"/>
        </w:rPr>
        <w:t>(les lésions cérébrales traumatiques étant la cause la plus fréquente de décès). Ceci remet à nouveau en question la sélection d</w:t>
      </w:r>
      <w:r w:rsidR="00656314">
        <w:rPr>
          <w:lang w:val="fr"/>
        </w:rPr>
        <w:t>es</w:t>
      </w:r>
      <w:r w:rsidRPr="00523D0F">
        <w:rPr>
          <w:lang w:val="fr"/>
        </w:rPr>
        <w:t xml:space="preserve"> patient</w:t>
      </w:r>
      <w:r w:rsidR="00656314">
        <w:rPr>
          <w:lang w:val="fr"/>
        </w:rPr>
        <w:t>s</w:t>
      </w:r>
      <w:r w:rsidRPr="00523D0F">
        <w:rPr>
          <w:lang w:val="fr"/>
        </w:rPr>
        <w:t xml:space="preserve"> et si l'avantage </w:t>
      </w:r>
      <w:r w:rsidR="008024E8">
        <w:rPr>
          <w:lang w:val="fr"/>
        </w:rPr>
        <w:t xml:space="preserve">en terme </w:t>
      </w:r>
      <w:r w:rsidRPr="00523D0F">
        <w:rPr>
          <w:lang w:val="fr"/>
        </w:rPr>
        <w:t>de survie est exact. Enfin, les critiques notent que les auteurs ont eu besoin de 20.000 patients pour prouver un avantage de survie de 0.8%. Le nombre</w:t>
      </w:r>
      <w:r w:rsidR="00FA4C15">
        <w:rPr>
          <w:lang w:val="fr"/>
        </w:rPr>
        <w:t xml:space="preserve"> </w:t>
      </w:r>
      <w:r w:rsidRPr="00523D0F">
        <w:rPr>
          <w:lang w:val="fr"/>
        </w:rPr>
        <w:t xml:space="preserve">nécessaire </w:t>
      </w:r>
      <w:r w:rsidR="00D124BB">
        <w:rPr>
          <w:lang w:val="fr"/>
        </w:rPr>
        <w:t>à</w:t>
      </w:r>
      <w:r w:rsidRPr="00523D0F">
        <w:rPr>
          <w:lang w:val="fr"/>
        </w:rPr>
        <w:t xml:space="preserve"> traiter, qui est défini comme le nombre de patients qui ont besoin de recevoir le médicament afin de montrer l'avantage </w:t>
      </w:r>
      <w:r w:rsidR="00D124BB">
        <w:rPr>
          <w:lang w:val="fr"/>
        </w:rPr>
        <w:t>pour</w:t>
      </w:r>
      <w:r w:rsidRPr="00523D0F">
        <w:rPr>
          <w:lang w:val="fr"/>
        </w:rPr>
        <w:t xml:space="preserve"> un patient, est très élevé à 67.</w:t>
      </w:r>
    </w:p>
    <w:p w14:paraId="60A4629D" w14:textId="163D55F2" w:rsidR="00523D0F" w:rsidRPr="00523D0F" w:rsidRDefault="00523D0F" w:rsidP="00B5424E">
      <w:pPr>
        <w:spacing w:after="0" w:line="240" w:lineRule="auto"/>
        <w:ind w:firstLine="720"/>
      </w:pPr>
      <w:r w:rsidRPr="00523D0F">
        <w:rPr>
          <w:lang w:val="fr"/>
        </w:rPr>
        <w:t>L'</w:t>
      </w:r>
      <w:r w:rsidR="00AF6545">
        <w:rPr>
          <w:lang w:val="fr"/>
        </w:rPr>
        <w:t xml:space="preserve">étude </w:t>
      </w:r>
      <w:r w:rsidRPr="00523D0F">
        <w:rPr>
          <w:lang w:val="fr"/>
        </w:rPr>
        <w:t>CRASH-2 est un</w:t>
      </w:r>
      <w:r w:rsidR="00AF6545">
        <w:rPr>
          <w:lang w:val="fr"/>
        </w:rPr>
        <w:t xml:space="preserve">e étude </w:t>
      </w:r>
      <w:r w:rsidRPr="00523D0F">
        <w:rPr>
          <w:lang w:val="fr"/>
        </w:rPr>
        <w:t>très important</w:t>
      </w:r>
      <w:r w:rsidR="00AF6545">
        <w:rPr>
          <w:lang w:val="fr"/>
        </w:rPr>
        <w:t>e</w:t>
      </w:r>
      <w:r w:rsidRPr="00523D0F">
        <w:rPr>
          <w:lang w:val="fr"/>
        </w:rPr>
        <w:t xml:space="preserve"> </w:t>
      </w:r>
      <w:r w:rsidR="00AF6545">
        <w:rPr>
          <w:lang w:val="fr"/>
        </w:rPr>
        <w:t>pour les intervenants</w:t>
      </w:r>
      <w:r w:rsidRPr="00523D0F">
        <w:rPr>
          <w:lang w:val="fr"/>
        </w:rPr>
        <w:t xml:space="preserve"> préhospitalier</w:t>
      </w:r>
      <w:r w:rsidR="00AF6545">
        <w:rPr>
          <w:lang w:val="fr"/>
        </w:rPr>
        <w:t>s</w:t>
      </w:r>
      <w:r w:rsidRPr="00523D0F">
        <w:rPr>
          <w:lang w:val="fr"/>
        </w:rPr>
        <w:t xml:space="preserve">. </w:t>
      </w:r>
      <w:r w:rsidR="00AF6545">
        <w:rPr>
          <w:lang w:val="fr"/>
        </w:rPr>
        <w:t>S</w:t>
      </w:r>
      <w:r w:rsidRPr="00523D0F">
        <w:rPr>
          <w:lang w:val="fr"/>
        </w:rPr>
        <w:t xml:space="preserve">es résultats ont modifié </w:t>
      </w:r>
      <w:r w:rsidR="00AF6545">
        <w:rPr>
          <w:lang w:val="fr"/>
        </w:rPr>
        <w:t>la prise en charge du patient</w:t>
      </w:r>
      <w:r w:rsidRPr="00523D0F">
        <w:rPr>
          <w:lang w:val="fr"/>
        </w:rPr>
        <w:t xml:space="preserve"> trauma</w:t>
      </w:r>
      <w:r w:rsidR="00AF6545">
        <w:rPr>
          <w:lang w:val="fr"/>
        </w:rPr>
        <w:t>tisé</w:t>
      </w:r>
      <w:r w:rsidRPr="00523D0F">
        <w:rPr>
          <w:lang w:val="fr"/>
        </w:rPr>
        <w:t xml:space="preserve"> dans le monde entier</w:t>
      </w:r>
      <w:r w:rsidR="00BE4931">
        <w:rPr>
          <w:lang w:val="fr"/>
        </w:rPr>
        <w:t>,</w:t>
      </w:r>
      <w:r w:rsidRPr="00523D0F">
        <w:rPr>
          <w:lang w:val="fr"/>
        </w:rPr>
        <w:t xml:space="preserve"> en encourageant </w:t>
      </w:r>
      <w:r w:rsidR="001256A9">
        <w:rPr>
          <w:lang w:val="fr"/>
        </w:rPr>
        <w:t xml:space="preserve">les intervenants </w:t>
      </w:r>
      <w:r w:rsidR="00E04B55">
        <w:rPr>
          <w:lang w:val="fr"/>
        </w:rPr>
        <w:t>à administrer</w:t>
      </w:r>
      <w:r w:rsidRPr="00523D0F">
        <w:rPr>
          <w:lang w:val="fr"/>
        </w:rPr>
        <w:t xml:space="preserve"> un médicament sûr et peu coûteux</w:t>
      </w:r>
      <w:r w:rsidR="00E04B55">
        <w:rPr>
          <w:lang w:val="fr"/>
        </w:rPr>
        <w:t>,</w:t>
      </w:r>
      <w:r w:rsidRPr="00523D0F">
        <w:rPr>
          <w:lang w:val="fr"/>
        </w:rPr>
        <w:t xml:space="preserve"> qui peut ralentir </w:t>
      </w:r>
      <w:r w:rsidR="006B6F20">
        <w:rPr>
          <w:lang w:val="fr"/>
        </w:rPr>
        <w:t>la destruction du</w:t>
      </w:r>
      <w:r w:rsidRPr="00523D0F">
        <w:rPr>
          <w:lang w:val="fr"/>
        </w:rPr>
        <w:t xml:space="preserve"> caillot </w:t>
      </w:r>
      <w:r w:rsidR="006B6F20">
        <w:rPr>
          <w:lang w:val="fr"/>
        </w:rPr>
        <w:t xml:space="preserve">chez </w:t>
      </w:r>
      <w:r w:rsidRPr="00523D0F">
        <w:rPr>
          <w:lang w:val="fr"/>
        </w:rPr>
        <w:t>le patient hémorragi</w:t>
      </w:r>
      <w:r w:rsidR="006B6F20">
        <w:rPr>
          <w:lang w:val="fr"/>
        </w:rPr>
        <w:t>que</w:t>
      </w:r>
      <w:r w:rsidRPr="00523D0F">
        <w:rPr>
          <w:lang w:val="fr"/>
        </w:rPr>
        <w:t>. L'administration d</w:t>
      </w:r>
      <w:r w:rsidR="00E04B55">
        <w:rPr>
          <w:lang w:val="fr"/>
        </w:rPr>
        <w:t>u</w:t>
      </w:r>
      <w:r w:rsidRPr="00523D0F">
        <w:rPr>
          <w:lang w:val="fr"/>
        </w:rPr>
        <w:t xml:space="preserve"> TXA est particulièrement pertinente dans le cadre préhospitalier</w:t>
      </w:r>
      <w:r w:rsidR="0027355F">
        <w:rPr>
          <w:lang w:val="fr"/>
        </w:rPr>
        <w:t>,</w:t>
      </w:r>
      <w:r w:rsidRPr="00523D0F">
        <w:rPr>
          <w:lang w:val="fr"/>
        </w:rPr>
        <w:t xml:space="preserve"> parce qu'elle tire le plus grand avantage </w:t>
      </w:r>
      <w:r w:rsidR="0027355F">
        <w:rPr>
          <w:lang w:val="fr"/>
        </w:rPr>
        <w:t xml:space="preserve">quand elle est </w:t>
      </w:r>
      <w:r w:rsidR="005069D1">
        <w:rPr>
          <w:lang w:val="fr"/>
        </w:rPr>
        <w:t xml:space="preserve">réalisée </w:t>
      </w:r>
      <w:r w:rsidR="00201ED2">
        <w:rPr>
          <w:lang w:val="fr"/>
        </w:rPr>
        <w:t xml:space="preserve">de manière précoce </w:t>
      </w:r>
      <w:r w:rsidRPr="00523D0F">
        <w:rPr>
          <w:lang w:val="fr"/>
        </w:rPr>
        <w:t xml:space="preserve">(dans les 3 heures </w:t>
      </w:r>
      <w:r w:rsidR="00201ED2">
        <w:rPr>
          <w:lang w:val="fr"/>
        </w:rPr>
        <w:t>suivant la survenue de</w:t>
      </w:r>
      <w:r w:rsidRPr="00523D0F">
        <w:rPr>
          <w:lang w:val="fr"/>
        </w:rPr>
        <w:t xml:space="preserve"> la blessure</w:t>
      </w:r>
      <w:r w:rsidR="00E609D2">
        <w:rPr>
          <w:lang w:val="fr"/>
        </w:rPr>
        <w:t>, av</w:t>
      </w:r>
      <w:r w:rsidR="00024283">
        <w:rPr>
          <w:lang w:val="fr"/>
        </w:rPr>
        <w:t>ec</w:t>
      </w:r>
      <w:r w:rsidR="00E609D2">
        <w:rPr>
          <w:lang w:val="fr"/>
        </w:rPr>
        <w:t xml:space="preserve"> une efficacité optimale </w:t>
      </w:r>
      <w:r w:rsidR="00024283">
        <w:rPr>
          <w:lang w:val="fr"/>
        </w:rPr>
        <w:t>avant la première heure suivant la survenue de la blessure</w:t>
      </w:r>
      <w:r w:rsidRPr="00523D0F">
        <w:rPr>
          <w:lang w:val="fr"/>
        </w:rPr>
        <w:t>). L'analyse minutieuse des méthodes d</w:t>
      </w:r>
      <w:r w:rsidR="00C50400">
        <w:rPr>
          <w:lang w:val="fr"/>
        </w:rPr>
        <w:t>e l’étude</w:t>
      </w:r>
      <w:r w:rsidRPr="00523D0F">
        <w:rPr>
          <w:lang w:val="fr"/>
        </w:rPr>
        <w:t xml:space="preserve"> et des résultats</w:t>
      </w:r>
      <w:r w:rsidR="00E609D2">
        <w:rPr>
          <w:lang w:val="fr"/>
        </w:rPr>
        <w:t>,</w:t>
      </w:r>
      <w:r w:rsidRPr="00523D0F">
        <w:rPr>
          <w:lang w:val="fr"/>
        </w:rPr>
        <w:t xml:space="preserve"> montre des</w:t>
      </w:r>
      <w:r w:rsidR="000E29D8">
        <w:rPr>
          <w:lang w:val="fr"/>
        </w:rPr>
        <w:t xml:space="preserve"> points critiqua</w:t>
      </w:r>
      <w:r w:rsidR="00AC1B79">
        <w:rPr>
          <w:lang w:val="fr"/>
        </w:rPr>
        <w:t>b</w:t>
      </w:r>
      <w:r w:rsidR="000E29D8">
        <w:rPr>
          <w:lang w:val="fr"/>
        </w:rPr>
        <w:t>les</w:t>
      </w:r>
      <w:r w:rsidRPr="00523D0F">
        <w:rPr>
          <w:lang w:val="fr"/>
        </w:rPr>
        <w:t xml:space="preserve"> et </w:t>
      </w:r>
      <w:r w:rsidR="00024283">
        <w:rPr>
          <w:lang w:val="fr"/>
        </w:rPr>
        <w:t>est un bon exercice</w:t>
      </w:r>
      <w:r w:rsidRPr="00523D0F">
        <w:rPr>
          <w:lang w:val="fr"/>
        </w:rPr>
        <w:t xml:space="preserve"> pour ceux qui veulent en apprendre davantage sur la façon d'analyser de façon critique la littérature médicale. Il s'agit d'un vaste essai multicentrique, international et randomisé évaluant l'effet d'un médicament relativement sûr et peu coûteux. À première vue, les données semblent être clairement à l'appui de l'utilisation d</w:t>
      </w:r>
      <w:r w:rsidR="00AC1B79">
        <w:rPr>
          <w:lang w:val="fr"/>
        </w:rPr>
        <w:t>u</w:t>
      </w:r>
      <w:r w:rsidRPr="00523D0F">
        <w:rPr>
          <w:lang w:val="fr"/>
        </w:rPr>
        <w:t xml:space="preserve"> TXA. Les faiblesses de l'étude ne peuvent pas être ignorées et le besoin de traiter 67 patients pour montrer potentiellement un petit avantage de survie dans un patient peut finalement </w:t>
      </w:r>
      <w:r w:rsidR="00B23AB2">
        <w:rPr>
          <w:lang w:val="fr"/>
        </w:rPr>
        <w:t>remettre en question</w:t>
      </w:r>
      <w:r w:rsidRPr="00523D0F">
        <w:rPr>
          <w:lang w:val="fr"/>
        </w:rPr>
        <w:t xml:space="preserve"> l'utilisation d</w:t>
      </w:r>
      <w:r w:rsidR="008A0DD3">
        <w:rPr>
          <w:lang w:val="fr"/>
        </w:rPr>
        <w:t>u</w:t>
      </w:r>
      <w:r w:rsidRPr="00523D0F">
        <w:rPr>
          <w:lang w:val="fr"/>
        </w:rPr>
        <w:t xml:space="preserve"> TXA dans l</w:t>
      </w:r>
      <w:r w:rsidR="00B23AB2">
        <w:rPr>
          <w:lang w:val="fr"/>
        </w:rPr>
        <w:t>e cadre</w:t>
      </w:r>
      <w:r w:rsidRPr="00523D0F">
        <w:rPr>
          <w:lang w:val="fr"/>
        </w:rPr>
        <w:t xml:space="preserve"> de</w:t>
      </w:r>
      <w:r w:rsidR="002122DB">
        <w:rPr>
          <w:lang w:val="fr"/>
        </w:rPr>
        <w:t>s</w:t>
      </w:r>
      <w:r w:rsidRPr="00523D0F">
        <w:rPr>
          <w:lang w:val="fr"/>
        </w:rPr>
        <w:t xml:space="preserve"> trauma</w:t>
      </w:r>
      <w:r w:rsidR="002122DB">
        <w:rPr>
          <w:lang w:val="fr"/>
        </w:rPr>
        <w:t>tisés</w:t>
      </w:r>
      <w:r w:rsidRPr="00523D0F">
        <w:rPr>
          <w:lang w:val="fr"/>
        </w:rPr>
        <w:t>.</w:t>
      </w:r>
    </w:p>
    <w:p w14:paraId="60A4629E" w14:textId="37C1740B" w:rsidR="00523D0F" w:rsidRDefault="00523D0F" w:rsidP="007419D9"/>
    <w:sectPr w:rsidR="00523D0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F0E46" w14:textId="77777777" w:rsidR="009D6DD0" w:rsidRDefault="009D6DD0" w:rsidP="00CC0C6C">
      <w:pPr>
        <w:spacing w:after="0" w:line="240" w:lineRule="auto"/>
      </w:pPr>
      <w:r>
        <w:rPr>
          <w:lang w:val="fr"/>
        </w:rPr>
        <w:separator/>
      </w:r>
    </w:p>
  </w:endnote>
  <w:endnote w:type="continuationSeparator" w:id="0">
    <w:p w14:paraId="57DF4FE0" w14:textId="77777777" w:rsidR="009D6DD0" w:rsidRDefault="009D6DD0" w:rsidP="00CC0C6C">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62A8" w14:textId="77777777" w:rsidR="00CC0C6C" w:rsidRPr="00CC0C6C" w:rsidRDefault="00CC0C6C" w:rsidP="00CC0C6C">
    <w:pPr>
      <w:pStyle w:val="Pieddepage"/>
      <w:jc w:val="center"/>
      <w:rPr>
        <w:b/>
      </w:rPr>
    </w:pPr>
    <w:r w:rsidRPr="00CC0C6C">
      <w:rPr>
        <w:b/>
        <w:lang w:val="fr"/>
      </w:rPr>
      <w:t>www.IPHMI.com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559F8" w14:textId="77777777" w:rsidR="009D6DD0" w:rsidRDefault="009D6DD0" w:rsidP="00CC0C6C">
      <w:pPr>
        <w:spacing w:after="0" w:line="240" w:lineRule="auto"/>
      </w:pPr>
      <w:r>
        <w:rPr>
          <w:lang w:val="fr"/>
        </w:rPr>
        <w:separator/>
      </w:r>
    </w:p>
  </w:footnote>
  <w:footnote w:type="continuationSeparator" w:id="0">
    <w:p w14:paraId="74B2B038" w14:textId="77777777" w:rsidR="009D6DD0" w:rsidRDefault="009D6DD0" w:rsidP="00CC0C6C">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62A7" w14:textId="77777777" w:rsidR="00CC0C6C" w:rsidRPr="00CC0C6C" w:rsidRDefault="00CC0C6C" w:rsidP="00CC0C6C">
    <w:pPr>
      <w:pStyle w:val="En-tte"/>
      <w:jc w:val="center"/>
      <w:rPr>
        <w:b/>
        <w:i/>
        <w:sz w:val="36"/>
        <w:u w:val="single"/>
      </w:rPr>
    </w:pPr>
    <w:r w:rsidRPr="00CC0C6C">
      <w:rPr>
        <w:b/>
        <w:i/>
        <w:sz w:val="36"/>
        <w:u w:val="single"/>
        <w:lang w:val="fr"/>
      </w:rPr>
      <w:t>Institut international de médecine préhospitalière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62C4E"/>
    <w:multiLevelType w:val="hybridMultilevel"/>
    <w:tmpl w:val="44305DB6"/>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D5529"/>
    <w:multiLevelType w:val="hybridMultilevel"/>
    <w:tmpl w:val="49361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B7"/>
    <w:rsid w:val="0000495E"/>
    <w:rsid w:val="000133E1"/>
    <w:rsid w:val="00024283"/>
    <w:rsid w:val="00024D1A"/>
    <w:rsid w:val="00030E3A"/>
    <w:rsid w:val="0003479D"/>
    <w:rsid w:val="000373A7"/>
    <w:rsid w:val="00044A87"/>
    <w:rsid w:val="00053DC7"/>
    <w:rsid w:val="000655EF"/>
    <w:rsid w:val="000A7D9F"/>
    <w:rsid w:val="000B0F58"/>
    <w:rsid w:val="000C08F9"/>
    <w:rsid w:val="000C5104"/>
    <w:rsid w:val="000D3DE7"/>
    <w:rsid w:val="000E0CF2"/>
    <w:rsid w:val="000E29D8"/>
    <w:rsid w:val="000F2414"/>
    <w:rsid w:val="000F7C79"/>
    <w:rsid w:val="00105975"/>
    <w:rsid w:val="00106065"/>
    <w:rsid w:val="001070A7"/>
    <w:rsid w:val="001104ED"/>
    <w:rsid w:val="00120DE1"/>
    <w:rsid w:val="00123C28"/>
    <w:rsid w:val="001256A9"/>
    <w:rsid w:val="00154A33"/>
    <w:rsid w:val="0015565A"/>
    <w:rsid w:val="00171F6A"/>
    <w:rsid w:val="001857FA"/>
    <w:rsid w:val="00193583"/>
    <w:rsid w:val="001D2FA7"/>
    <w:rsid w:val="001D7EBE"/>
    <w:rsid w:val="001F236F"/>
    <w:rsid w:val="001F50B0"/>
    <w:rsid w:val="00201ED2"/>
    <w:rsid w:val="002122DB"/>
    <w:rsid w:val="0022087A"/>
    <w:rsid w:val="00227CF6"/>
    <w:rsid w:val="002423A0"/>
    <w:rsid w:val="002566DC"/>
    <w:rsid w:val="00261236"/>
    <w:rsid w:val="00261A9E"/>
    <w:rsid w:val="002674C0"/>
    <w:rsid w:val="0027355F"/>
    <w:rsid w:val="0028024F"/>
    <w:rsid w:val="0029097C"/>
    <w:rsid w:val="002C023F"/>
    <w:rsid w:val="002C6F6E"/>
    <w:rsid w:val="002C7D98"/>
    <w:rsid w:val="003014F6"/>
    <w:rsid w:val="00307F5C"/>
    <w:rsid w:val="0031620A"/>
    <w:rsid w:val="00323738"/>
    <w:rsid w:val="00330A11"/>
    <w:rsid w:val="0033289C"/>
    <w:rsid w:val="00335A16"/>
    <w:rsid w:val="0034506B"/>
    <w:rsid w:val="003539DD"/>
    <w:rsid w:val="00356FC9"/>
    <w:rsid w:val="003816F5"/>
    <w:rsid w:val="003839D5"/>
    <w:rsid w:val="003928A2"/>
    <w:rsid w:val="003B5700"/>
    <w:rsid w:val="003C211B"/>
    <w:rsid w:val="003D11FA"/>
    <w:rsid w:val="003D7E14"/>
    <w:rsid w:val="003E1D21"/>
    <w:rsid w:val="003E20BC"/>
    <w:rsid w:val="003F4BB7"/>
    <w:rsid w:val="004045A8"/>
    <w:rsid w:val="0041503A"/>
    <w:rsid w:val="00433272"/>
    <w:rsid w:val="00451B2D"/>
    <w:rsid w:val="0046374B"/>
    <w:rsid w:val="00477BCD"/>
    <w:rsid w:val="004841EB"/>
    <w:rsid w:val="004947F0"/>
    <w:rsid w:val="004A3024"/>
    <w:rsid w:val="004B2C7A"/>
    <w:rsid w:val="004C414D"/>
    <w:rsid w:val="004E260E"/>
    <w:rsid w:val="004E69E9"/>
    <w:rsid w:val="0050697F"/>
    <w:rsid w:val="005069D1"/>
    <w:rsid w:val="00523D0F"/>
    <w:rsid w:val="00526651"/>
    <w:rsid w:val="00540D59"/>
    <w:rsid w:val="005438BE"/>
    <w:rsid w:val="00566130"/>
    <w:rsid w:val="005800EF"/>
    <w:rsid w:val="0058207C"/>
    <w:rsid w:val="00584C15"/>
    <w:rsid w:val="00587241"/>
    <w:rsid w:val="005B4AA0"/>
    <w:rsid w:val="005D5C68"/>
    <w:rsid w:val="005E17D1"/>
    <w:rsid w:val="005E4E89"/>
    <w:rsid w:val="006000C8"/>
    <w:rsid w:val="00601190"/>
    <w:rsid w:val="006027AC"/>
    <w:rsid w:val="00612DB7"/>
    <w:rsid w:val="006257CF"/>
    <w:rsid w:val="00641F2C"/>
    <w:rsid w:val="006510A2"/>
    <w:rsid w:val="006536C6"/>
    <w:rsid w:val="0065377C"/>
    <w:rsid w:val="00656314"/>
    <w:rsid w:val="00662E19"/>
    <w:rsid w:val="00670B15"/>
    <w:rsid w:val="006A4D4A"/>
    <w:rsid w:val="006B336D"/>
    <w:rsid w:val="006B6F20"/>
    <w:rsid w:val="006C22A2"/>
    <w:rsid w:val="006C7A37"/>
    <w:rsid w:val="006F5611"/>
    <w:rsid w:val="00710B7C"/>
    <w:rsid w:val="00713DD3"/>
    <w:rsid w:val="007419D9"/>
    <w:rsid w:val="00745B2A"/>
    <w:rsid w:val="0074691C"/>
    <w:rsid w:val="00773198"/>
    <w:rsid w:val="00776D4E"/>
    <w:rsid w:val="007A789C"/>
    <w:rsid w:val="007B429E"/>
    <w:rsid w:val="007B551E"/>
    <w:rsid w:val="007C17A5"/>
    <w:rsid w:val="007C7235"/>
    <w:rsid w:val="007D7E4E"/>
    <w:rsid w:val="007F2CAA"/>
    <w:rsid w:val="007F3B34"/>
    <w:rsid w:val="008024E8"/>
    <w:rsid w:val="008104C4"/>
    <w:rsid w:val="00817560"/>
    <w:rsid w:val="00825E9C"/>
    <w:rsid w:val="00857DF8"/>
    <w:rsid w:val="00866BA5"/>
    <w:rsid w:val="0087019B"/>
    <w:rsid w:val="0087162A"/>
    <w:rsid w:val="008A0DD3"/>
    <w:rsid w:val="008A3FB8"/>
    <w:rsid w:val="008B6E91"/>
    <w:rsid w:val="008B7DAC"/>
    <w:rsid w:val="008D2358"/>
    <w:rsid w:val="008F1033"/>
    <w:rsid w:val="008F2540"/>
    <w:rsid w:val="00903A8F"/>
    <w:rsid w:val="009121EF"/>
    <w:rsid w:val="00913A15"/>
    <w:rsid w:val="00920DBB"/>
    <w:rsid w:val="00926A17"/>
    <w:rsid w:val="009364D5"/>
    <w:rsid w:val="00941110"/>
    <w:rsid w:val="00943D8E"/>
    <w:rsid w:val="00963597"/>
    <w:rsid w:val="0096632C"/>
    <w:rsid w:val="009815F6"/>
    <w:rsid w:val="00987877"/>
    <w:rsid w:val="009956BC"/>
    <w:rsid w:val="009C3C0E"/>
    <w:rsid w:val="009C3D07"/>
    <w:rsid w:val="009D6DD0"/>
    <w:rsid w:val="009E3B55"/>
    <w:rsid w:val="009E4902"/>
    <w:rsid w:val="009E79F0"/>
    <w:rsid w:val="00A0135F"/>
    <w:rsid w:val="00A12CF4"/>
    <w:rsid w:val="00A22026"/>
    <w:rsid w:val="00A26D05"/>
    <w:rsid w:val="00A320A6"/>
    <w:rsid w:val="00A36A03"/>
    <w:rsid w:val="00A37DE6"/>
    <w:rsid w:val="00A513B9"/>
    <w:rsid w:val="00A5479B"/>
    <w:rsid w:val="00A55251"/>
    <w:rsid w:val="00A81F95"/>
    <w:rsid w:val="00A94B28"/>
    <w:rsid w:val="00AB3828"/>
    <w:rsid w:val="00AC1B79"/>
    <w:rsid w:val="00AD705B"/>
    <w:rsid w:val="00AE1223"/>
    <w:rsid w:val="00AF06E5"/>
    <w:rsid w:val="00AF6545"/>
    <w:rsid w:val="00B07BA8"/>
    <w:rsid w:val="00B23AB2"/>
    <w:rsid w:val="00B310B9"/>
    <w:rsid w:val="00B5116A"/>
    <w:rsid w:val="00B51F1B"/>
    <w:rsid w:val="00B5341A"/>
    <w:rsid w:val="00B5424E"/>
    <w:rsid w:val="00B550A2"/>
    <w:rsid w:val="00B74D57"/>
    <w:rsid w:val="00B951F8"/>
    <w:rsid w:val="00B95DBC"/>
    <w:rsid w:val="00BA24FD"/>
    <w:rsid w:val="00BA2CB0"/>
    <w:rsid w:val="00BA689D"/>
    <w:rsid w:val="00BC4BEB"/>
    <w:rsid w:val="00BD712C"/>
    <w:rsid w:val="00BE4931"/>
    <w:rsid w:val="00BE768F"/>
    <w:rsid w:val="00C05882"/>
    <w:rsid w:val="00C11221"/>
    <w:rsid w:val="00C11FB5"/>
    <w:rsid w:val="00C4164B"/>
    <w:rsid w:val="00C50400"/>
    <w:rsid w:val="00C54DEC"/>
    <w:rsid w:val="00C5612B"/>
    <w:rsid w:val="00C562C7"/>
    <w:rsid w:val="00C6742D"/>
    <w:rsid w:val="00CB0C74"/>
    <w:rsid w:val="00CB0EAB"/>
    <w:rsid w:val="00CB5CA0"/>
    <w:rsid w:val="00CC0C6C"/>
    <w:rsid w:val="00CC1E0B"/>
    <w:rsid w:val="00CC250D"/>
    <w:rsid w:val="00CC3839"/>
    <w:rsid w:val="00CC39B6"/>
    <w:rsid w:val="00CD0B2F"/>
    <w:rsid w:val="00CD27CF"/>
    <w:rsid w:val="00CE58BE"/>
    <w:rsid w:val="00CF3F91"/>
    <w:rsid w:val="00D124BB"/>
    <w:rsid w:val="00D21EC7"/>
    <w:rsid w:val="00D312F7"/>
    <w:rsid w:val="00D535F8"/>
    <w:rsid w:val="00D56678"/>
    <w:rsid w:val="00D622EE"/>
    <w:rsid w:val="00D67262"/>
    <w:rsid w:val="00D8017A"/>
    <w:rsid w:val="00DB0298"/>
    <w:rsid w:val="00DD1B34"/>
    <w:rsid w:val="00E04474"/>
    <w:rsid w:val="00E04B55"/>
    <w:rsid w:val="00E0661A"/>
    <w:rsid w:val="00E112D5"/>
    <w:rsid w:val="00E21606"/>
    <w:rsid w:val="00E34251"/>
    <w:rsid w:val="00E34D8D"/>
    <w:rsid w:val="00E446DD"/>
    <w:rsid w:val="00E52D9A"/>
    <w:rsid w:val="00E54A4E"/>
    <w:rsid w:val="00E5516F"/>
    <w:rsid w:val="00E609D2"/>
    <w:rsid w:val="00E637CB"/>
    <w:rsid w:val="00E84C62"/>
    <w:rsid w:val="00EA61B2"/>
    <w:rsid w:val="00EB4AA4"/>
    <w:rsid w:val="00ED3E7F"/>
    <w:rsid w:val="00EF28C6"/>
    <w:rsid w:val="00EF3743"/>
    <w:rsid w:val="00F03920"/>
    <w:rsid w:val="00F11B0D"/>
    <w:rsid w:val="00F146BC"/>
    <w:rsid w:val="00F20097"/>
    <w:rsid w:val="00F2593C"/>
    <w:rsid w:val="00F37AAA"/>
    <w:rsid w:val="00F76A54"/>
    <w:rsid w:val="00FA4C15"/>
    <w:rsid w:val="00FB6BC2"/>
    <w:rsid w:val="00FC0676"/>
    <w:rsid w:val="00FC1CC7"/>
    <w:rsid w:val="00FC1E4C"/>
    <w:rsid w:val="00FC3C78"/>
    <w:rsid w:val="00FC7572"/>
    <w:rsid w:val="00FE346B"/>
    <w:rsid w:val="00FE5D8E"/>
    <w:rsid w:val="00FF0081"/>
    <w:rsid w:val="00FF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6273"/>
  <w15:docId w15:val="{9F7CC9F6-C2FB-405C-96AA-F81B2F12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9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19D9"/>
    <w:pPr>
      <w:ind w:left="720"/>
      <w:contextualSpacing/>
    </w:pPr>
  </w:style>
  <w:style w:type="character" w:customStyle="1" w:styleId="journaltitlesp1">
    <w:name w:val="journaltitlesp1"/>
    <w:basedOn w:val="Policepardfaut"/>
    <w:rsid w:val="00523D0F"/>
    <w:rPr>
      <w:i/>
      <w:iCs/>
    </w:rPr>
  </w:style>
  <w:style w:type="character" w:customStyle="1" w:styleId="issuevolsp">
    <w:name w:val="issuevolsp"/>
    <w:basedOn w:val="Policepardfaut"/>
    <w:rsid w:val="00523D0F"/>
  </w:style>
  <w:style w:type="character" w:customStyle="1" w:styleId="pagerange">
    <w:name w:val="pagerange"/>
    <w:basedOn w:val="Policepardfaut"/>
    <w:rsid w:val="00523D0F"/>
  </w:style>
  <w:style w:type="paragraph" w:styleId="Textedebulles">
    <w:name w:val="Balloon Text"/>
    <w:basedOn w:val="Normal"/>
    <w:link w:val="TextedebullesCar"/>
    <w:uiPriority w:val="99"/>
    <w:semiHidden/>
    <w:unhideWhenUsed/>
    <w:rsid w:val="007C72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7235"/>
    <w:rPr>
      <w:rFonts w:ascii="Tahoma" w:hAnsi="Tahoma" w:cs="Tahoma"/>
      <w:sz w:val="16"/>
      <w:szCs w:val="16"/>
    </w:rPr>
  </w:style>
  <w:style w:type="paragraph" w:styleId="Sansinterligne">
    <w:name w:val="No Spacing"/>
    <w:uiPriority w:val="1"/>
    <w:qFormat/>
    <w:rsid w:val="00B5424E"/>
    <w:pPr>
      <w:spacing w:after="0" w:line="240" w:lineRule="auto"/>
    </w:pPr>
  </w:style>
  <w:style w:type="paragraph" w:styleId="En-tte">
    <w:name w:val="header"/>
    <w:basedOn w:val="Normal"/>
    <w:link w:val="En-tteCar"/>
    <w:uiPriority w:val="99"/>
    <w:unhideWhenUsed/>
    <w:rsid w:val="00CC0C6C"/>
    <w:pPr>
      <w:tabs>
        <w:tab w:val="center" w:pos="4680"/>
        <w:tab w:val="right" w:pos="9360"/>
      </w:tabs>
      <w:spacing w:after="0" w:line="240" w:lineRule="auto"/>
    </w:pPr>
  </w:style>
  <w:style w:type="character" w:customStyle="1" w:styleId="En-tteCar">
    <w:name w:val="En-tête Car"/>
    <w:basedOn w:val="Policepardfaut"/>
    <w:link w:val="En-tte"/>
    <w:uiPriority w:val="99"/>
    <w:rsid w:val="00CC0C6C"/>
  </w:style>
  <w:style w:type="paragraph" w:styleId="Pieddepage">
    <w:name w:val="footer"/>
    <w:basedOn w:val="Normal"/>
    <w:link w:val="PieddepageCar"/>
    <w:uiPriority w:val="99"/>
    <w:unhideWhenUsed/>
    <w:rsid w:val="00CC0C6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C0C6C"/>
  </w:style>
  <w:style w:type="character" w:styleId="Textedelespacerserv">
    <w:name w:val="Placeholder Text"/>
    <w:basedOn w:val="Policepardfaut"/>
    <w:uiPriority w:val="99"/>
    <w:semiHidden/>
    <w:rsid w:val="00227C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3644</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bruno goulesque</cp:lastModifiedBy>
  <cp:revision>258</cp:revision>
  <dcterms:created xsi:type="dcterms:W3CDTF">2018-11-25T18:58:00Z</dcterms:created>
  <dcterms:modified xsi:type="dcterms:W3CDTF">2019-11-22T17:14:00Z</dcterms:modified>
</cp:coreProperties>
</file>