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7BD6" w:rsidRPr="00857EFF" w:rsidRDefault="00075B87">
      <w:pPr>
        <w:spacing w:after="0"/>
        <w:rPr>
          <w:rStyle w:val="None"/>
          <w:sz w:val="48"/>
          <w:szCs w:val="48"/>
          <w:lang w:val="pt-BR"/>
        </w:rPr>
      </w:pPr>
      <w:r w:rsidRPr="00857EFF">
        <w:rPr>
          <w:rStyle w:val="None"/>
          <w:b/>
          <w:bCs/>
          <w:lang w:val="pt-BR"/>
        </w:rPr>
        <w:t xml:space="preserve">  </w:t>
      </w:r>
      <w:r>
        <w:rPr>
          <w:rStyle w:val="None"/>
          <w:b/>
          <w:bCs/>
          <w:noProof/>
        </w:rPr>
        <w:drawing>
          <wp:inline distT="0" distB="0" distL="0" distR="0">
            <wp:extent cx="952501" cy="952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pic:cNvPicPr>
                  </pic:nvPicPr>
                  <pic:blipFill>
                    <a:blip r:embed="rId7"/>
                    <a:stretch>
                      <a:fillRect/>
                    </a:stretch>
                  </pic:blipFill>
                  <pic:spPr>
                    <a:xfrm>
                      <a:off x="0" y="0"/>
                      <a:ext cx="952501" cy="952500"/>
                    </a:xfrm>
                    <a:prstGeom prst="rect">
                      <a:avLst/>
                    </a:prstGeom>
                    <a:ln w="12700" cap="flat">
                      <a:noFill/>
                      <a:round/>
                    </a:ln>
                    <a:effectLst/>
                  </pic:spPr>
                </pic:pic>
              </a:graphicData>
            </a:graphic>
          </wp:inline>
        </w:drawing>
      </w:r>
      <w:r w:rsidRPr="00857EFF">
        <w:rPr>
          <w:rStyle w:val="None"/>
          <w:b/>
          <w:bCs/>
          <w:lang w:val="pt-BR"/>
        </w:rPr>
        <w:t xml:space="preserve">    </w:t>
      </w:r>
      <w:bookmarkStart w:id="0" w:name="_GoBack"/>
      <w:bookmarkEnd w:id="0"/>
      <w:r w:rsidR="00857EFF" w:rsidRPr="00857EFF">
        <w:rPr>
          <w:rStyle w:val="None"/>
          <w:sz w:val="40"/>
          <w:szCs w:val="40"/>
          <w:lang w:val="pt-BR"/>
        </w:rPr>
        <w:t>Revi</w:t>
      </w:r>
      <w:r w:rsidR="00857EFF">
        <w:rPr>
          <w:rStyle w:val="None"/>
          <w:sz w:val="40"/>
          <w:szCs w:val="40"/>
          <w:lang w:val="pt-BR"/>
        </w:rPr>
        <w:t>são de Literatura do I</w:t>
      </w:r>
      <w:r w:rsidRPr="00857EFF">
        <w:rPr>
          <w:rStyle w:val="None"/>
          <w:sz w:val="40"/>
          <w:szCs w:val="40"/>
          <w:lang w:val="pt-BR"/>
        </w:rPr>
        <w:t xml:space="preserve">PHMI </w:t>
      </w:r>
      <w:r>
        <w:rPr>
          <w:rStyle w:val="None"/>
          <w:noProof/>
          <w:sz w:val="40"/>
          <w:szCs w:val="40"/>
        </w:rPr>
        <w:drawing>
          <wp:inline distT="0" distB="0" distL="0" distR="0">
            <wp:extent cx="1397000" cy="8763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8"/>
                    <a:stretch>
                      <a:fillRect/>
                    </a:stretch>
                  </pic:blipFill>
                  <pic:spPr>
                    <a:xfrm>
                      <a:off x="0" y="0"/>
                      <a:ext cx="1397000" cy="876300"/>
                    </a:xfrm>
                    <a:prstGeom prst="rect">
                      <a:avLst/>
                    </a:prstGeom>
                    <a:ln w="25400" cap="flat">
                      <a:solidFill>
                        <a:srgbClr val="000000"/>
                      </a:solidFill>
                      <a:prstDash val="solid"/>
                      <a:miter lim="400000"/>
                    </a:ln>
                    <a:effectLst/>
                  </pic:spPr>
                </pic:pic>
              </a:graphicData>
            </a:graphic>
          </wp:inline>
        </w:drawing>
      </w:r>
    </w:p>
    <w:p w:rsidR="00857EFF" w:rsidRPr="00143BA2" w:rsidRDefault="00857EFF" w:rsidP="00857EFF">
      <w:pPr>
        <w:jc w:val="center"/>
        <w:rPr>
          <w:sz w:val="28"/>
          <w:szCs w:val="28"/>
          <w:lang w:val="pt-BR"/>
        </w:rPr>
      </w:pPr>
      <w:r w:rsidRPr="00143BA2">
        <w:rPr>
          <w:sz w:val="28"/>
          <w:szCs w:val="28"/>
          <w:lang w:val="pt-BR"/>
        </w:rPr>
        <w:t>Mantendo você atualizado por meio dos estudos mais atuais relacionados ao atendimento pré-hospitalar</w:t>
      </w:r>
    </w:p>
    <w:p w:rsidR="003D7BD6" w:rsidRPr="00842454" w:rsidRDefault="00075B87" w:rsidP="00842454">
      <w:pPr>
        <w:jc w:val="center"/>
        <w:rPr>
          <w:sz w:val="40"/>
          <w:szCs w:val="40"/>
        </w:rPr>
      </w:pPr>
      <w:r w:rsidRPr="00842454">
        <w:rPr>
          <w:rStyle w:val="None"/>
          <w:sz w:val="40"/>
          <w:szCs w:val="40"/>
        </w:rPr>
        <w:t>V. 1.3</w:t>
      </w:r>
      <w:bookmarkStart w:id="1" w:name="GoBack"/>
      <w:bookmarkEnd w:id="1"/>
    </w:p>
    <w:p w:rsidR="00B43D75" w:rsidRPr="00C8336B" w:rsidRDefault="00B43D75" w:rsidP="00C8336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textAlignment w:val="baseline"/>
        <w:rPr>
          <w:rFonts w:asciiTheme="majorHAnsi" w:eastAsia="Times New Roman" w:hAnsiTheme="majorHAnsi" w:cstheme="majorHAnsi"/>
          <w:b/>
          <w:bCs/>
          <w:lang w:val="pt-BR"/>
        </w:rPr>
      </w:pPr>
      <w:r w:rsidRPr="00C8336B">
        <w:rPr>
          <w:rFonts w:asciiTheme="majorHAnsi" w:eastAsia="Times New Roman" w:hAnsiTheme="majorHAnsi" w:cstheme="majorHAnsi"/>
          <w:b/>
          <w:bCs/>
          <w:lang w:val="pt-BR"/>
        </w:rPr>
        <w:t xml:space="preserve">Hipotensão permissiva versus estratégias </w:t>
      </w:r>
      <w:r w:rsidR="00647BA8" w:rsidRPr="00C8336B">
        <w:rPr>
          <w:rFonts w:asciiTheme="majorHAnsi" w:eastAsia="Times New Roman" w:hAnsiTheme="majorHAnsi" w:cstheme="majorHAnsi"/>
          <w:b/>
          <w:bCs/>
          <w:lang w:val="pt-BR"/>
        </w:rPr>
        <w:t xml:space="preserve">convencionais </w:t>
      </w:r>
      <w:r w:rsidRPr="00C8336B">
        <w:rPr>
          <w:rFonts w:asciiTheme="majorHAnsi" w:eastAsia="Times New Roman" w:hAnsiTheme="majorHAnsi" w:cstheme="majorHAnsi"/>
          <w:b/>
          <w:bCs/>
          <w:lang w:val="pt-BR"/>
        </w:rPr>
        <w:t>de reanimação em doentes adultos com choque hemorrágico: revisão sistemática e metanálise de ensaios clínicos randomizados. Tran A, Yates J, Lau A, Lampron J, Matar M. J Trauma Acute Care Surg. 2018;84:802-808.</w:t>
      </w:r>
    </w:p>
    <w:p w:rsidR="00E458FF" w:rsidRPr="00C8336B" w:rsidRDefault="00E458FF" w:rsidP="00C8336B">
      <w:pPr>
        <w:pStyle w:val="SemEspaamento"/>
        <w:numPr>
          <w:ilvl w:val="0"/>
          <w:numId w:val="2"/>
        </w:numPr>
        <w:spacing w:after="120"/>
        <w:ind w:left="714" w:hanging="357"/>
        <w:jc w:val="both"/>
        <w:rPr>
          <w:rFonts w:asciiTheme="majorHAnsi" w:hAnsiTheme="majorHAnsi" w:cstheme="majorHAnsi"/>
          <w:b/>
          <w:bCs/>
          <w:sz w:val="22"/>
          <w:szCs w:val="22"/>
        </w:rPr>
      </w:pPr>
      <w:r w:rsidRPr="00C8336B">
        <w:rPr>
          <w:rFonts w:asciiTheme="majorHAnsi" w:hAnsiTheme="majorHAnsi" w:cstheme="majorHAnsi"/>
          <w:b/>
          <w:bCs/>
          <w:sz w:val="22"/>
          <w:szCs w:val="22"/>
        </w:rPr>
        <w:t>Padrões de ferimentos fatais e causas de mortes potencialmente evitáveis após o tiroteio no Clube Noturno Pulse. Smith ER, Shapiro G, Sarani B. Prehosp Emerg Care. 2018.</w:t>
      </w:r>
    </w:p>
    <w:p w:rsidR="00714BEF" w:rsidRPr="00C8336B" w:rsidRDefault="00714BEF" w:rsidP="00C8336B">
      <w:pPr>
        <w:pStyle w:val="SemEspaamento"/>
        <w:numPr>
          <w:ilvl w:val="0"/>
          <w:numId w:val="2"/>
        </w:numPr>
        <w:spacing w:after="120"/>
        <w:ind w:left="714" w:hanging="357"/>
        <w:jc w:val="both"/>
        <w:rPr>
          <w:rFonts w:cs="Times New Roman"/>
          <w:sz w:val="22"/>
          <w:szCs w:val="22"/>
        </w:rPr>
      </w:pPr>
      <w:r w:rsidRPr="00C8336B">
        <w:rPr>
          <w:rFonts w:cs="Times New Roman"/>
          <w:b/>
          <w:bCs/>
          <w:sz w:val="22"/>
          <w:szCs w:val="22"/>
        </w:rPr>
        <w:t>Modelo de duas cidades: intubação pré-hospitalar com ou sem agentes paralisantes para lesão cerebral traumática.</w:t>
      </w:r>
      <w:r w:rsidRPr="00C8336B">
        <w:rPr>
          <w:rFonts w:cs="Times New Roman"/>
          <w:sz w:val="22"/>
          <w:szCs w:val="22"/>
        </w:rPr>
        <w:t xml:space="preserve"> Bendinelli C, Ku D, Nebauer S, et al. ANZ J Surg (2018)   </w:t>
      </w:r>
    </w:p>
    <w:p w:rsidR="00C8336B" w:rsidRPr="00C8336B" w:rsidRDefault="00C8336B" w:rsidP="00C8336B">
      <w:pPr>
        <w:pStyle w:val="SemEspaamento"/>
        <w:numPr>
          <w:ilvl w:val="0"/>
          <w:numId w:val="2"/>
        </w:numPr>
        <w:spacing w:after="120"/>
        <w:ind w:left="714" w:hanging="357"/>
        <w:jc w:val="both"/>
        <w:rPr>
          <w:rFonts w:cs="Times New Roman"/>
          <w:b/>
          <w:bCs/>
          <w:sz w:val="22"/>
          <w:szCs w:val="22"/>
          <w:lang w:val="en-US"/>
        </w:rPr>
      </w:pPr>
      <w:r w:rsidRPr="00C8336B">
        <w:rPr>
          <w:rFonts w:cs="Times New Roman"/>
          <w:b/>
          <w:bCs/>
          <w:sz w:val="22"/>
          <w:szCs w:val="22"/>
        </w:rPr>
        <w:t xml:space="preserve">Plasma pré-hospitalar durante o transporte aeromédico em doentes traumatizados com risco de choque hemorrágico. </w:t>
      </w:r>
      <w:r w:rsidRPr="00C8336B">
        <w:rPr>
          <w:rFonts w:cs="Times New Roman"/>
          <w:b/>
          <w:bCs/>
          <w:sz w:val="22"/>
          <w:szCs w:val="22"/>
          <w:lang w:val="en-US"/>
        </w:rPr>
        <w:t>Sperry JL, Guyette FX, Brown JB, et al. </w:t>
      </w:r>
      <w:r w:rsidRPr="00C8336B">
        <w:rPr>
          <w:rFonts w:cs="Times New Roman"/>
          <w:b/>
          <w:bCs/>
          <w:i/>
          <w:iCs/>
          <w:sz w:val="22"/>
          <w:szCs w:val="22"/>
          <w:lang w:val="en-US"/>
        </w:rPr>
        <w:t xml:space="preserve">N Engl J Med. </w:t>
      </w:r>
      <w:r w:rsidRPr="00C8336B">
        <w:rPr>
          <w:rFonts w:cs="Times New Roman"/>
          <w:b/>
          <w:bCs/>
          <w:sz w:val="22"/>
          <w:szCs w:val="22"/>
          <w:lang w:val="en-US"/>
        </w:rPr>
        <w:t>2018; 379: 315 -26.</w:t>
      </w:r>
    </w:p>
    <w:p w:rsidR="00C8336B" w:rsidRPr="00C8336B" w:rsidRDefault="00C8336B" w:rsidP="00C8336B">
      <w:pPr>
        <w:pStyle w:val="SemEspaamento"/>
        <w:numPr>
          <w:ilvl w:val="0"/>
          <w:numId w:val="2"/>
        </w:numPr>
        <w:spacing w:after="120"/>
        <w:ind w:left="714" w:hanging="357"/>
        <w:jc w:val="both"/>
        <w:rPr>
          <w:rFonts w:cs="Times New Roman"/>
          <w:b/>
          <w:bCs/>
          <w:sz w:val="22"/>
          <w:szCs w:val="22"/>
        </w:rPr>
      </w:pPr>
      <w:r w:rsidRPr="00C8336B">
        <w:rPr>
          <w:rFonts w:cs="Times New Roman"/>
          <w:b/>
          <w:bCs/>
          <w:sz w:val="22"/>
          <w:szCs w:val="22"/>
        </w:rPr>
        <w:t>Reanimação com plasma para tratamento do choque hemorrágico durante o transporte terrestre de emergência em uma área urbana: um estudo randomizado. Moore HB, Moore EE, Chapman MP, et al. </w:t>
      </w:r>
      <w:r w:rsidRPr="00C8336B">
        <w:rPr>
          <w:rFonts w:cs="Times New Roman"/>
          <w:b/>
          <w:bCs/>
          <w:i/>
          <w:iCs/>
          <w:sz w:val="22"/>
          <w:szCs w:val="22"/>
        </w:rPr>
        <w:t xml:space="preserve">Lancet. </w:t>
      </w:r>
      <w:r w:rsidRPr="00C8336B">
        <w:rPr>
          <w:rFonts w:cs="Times New Roman"/>
          <w:b/>
          <w:bCs/>
          <w:sz w:val="22"/>
          <w:szCs w:val="22"/>
        </w:rPr>
        <w:t>2018; 392: 1-9.</w:t>
      </w:r>
    </w:p>
    <w:p w:rsidR="00B43D75" w:rsidRPr="00C8336B" w:rsidRDefault="00B43D75" w:rsidP="00DA3B20">
      <w:pPr>
        <w:pStyle w:val="PargrafodaLista"/>
        <w:rPr>
          <w:lang w:val="pt-BR"/>
        </w:rPr>
      </w:pPr>
    </w:p>
    <w:p w:rsidR="003D7BD6" w:rsidRPr="000353F2" w:rsidRDefault="00B43D75" w:rsidP="000353F2">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textAlignment w:val="baseline"/>
        <w:rPr>
          <w:rFonts w:asciiTheme="majorHAnsi" w:eastAsia="Times New Roman" w:hAnsiTheme="majorHAnsi" w:cstheme="majorHAnsi"/>
          <w:lang w:val="pt-BR"/>
        </w:rPr>
      </w:pPr>
      <w:r w:rsidRPr="000353F2">
        <w:rPr>
          <w:rStyle w:val="None"/>
          <w:rFonts w:asciiTheme="majorHAnsi" w:hAnsiTheme="majorHAnsi" w:cstheme="majorHAnsi"/>
          <w:b/>
          <w:bCs/>
          <w:lang w:val="pt-BR"/>
        </w:rPr>
        <w:t xml:space="preserve">1. </w:t>
      </w:r>
      <w:r w:rsidRPr="000353F2">
        <w:rPr>
          <w:rFonts w:asciiTheme="majorHAnsi" w:eastAsia="Times New Roman" w:hAnsiTheme="majorHAnsi" w:cstheme="majorHAnsi"/>
          <w:b/>
          <w:bCs/>
          <w:lang w:val="pt-BR"/>
        </w:rPr>
        <w:t xml:space="preserve">Hipotensão permissiva versus estratégias </w:t>
      </w:r>
      <w:r w:rsidR="00647BA8" w:rsidRPr="000353F2">
        <w:rPr>
          <w:rFonts w:asciiTheme="majorHAnsi" w:eastAsia="Times New Roman" w:hAnsiTheme="majorHAnsi" w:cstheme="majorHAnsi"/>
          <w:b/>
          <w:bCs/>
          <w:lang w:val="pt-BR"/>
        </w:rPr>
        <w:t xml:space="preserve">convencionais </w:t>
      </w:r>
      <w:r w:rsidRPr="000353F2">
        <w:rPr>
          <w:rFonts w:asciiTheme="majorHAnsi" w:eastAsia="Times New Roman" w:hAnsiTheme="majorHAnsi" w:cstheme="majorHAnsi"/>
          <w:b/>
          <w:bCs/>
          <w:lang w:val="pt-BR"/>
        </w:rPr>
        <w:t>de reanimação em doentes adultos com choque hemorrágico: revisão sistemática e metanálise de ensaios clínicos randomizados.</w:t>
      </w:r>
      <w:r w:rsidRPr="000353F2">
        <w:rPr>
          <w:rFonts w:asciiTheme="majorHAnsi" w:eastAsia="Times New Roman" w:hAnsiTheme="majorHAnsi" w:cstheme="majorHAnsi"/>
          <w:lang w:val="pt-BR"/>
        </w:rPr>
        <w:t> Tran A, Yates J, Lau A, Lampron J, Matar M. J Trauma Acute Care Surg. 2018;84:802-808.</w:t>
      </w:r>
    </w:p>
    <w:p w:rsidR="00166487" w:rsidRPr="000353F2" w:rsidRDefault="00166487" w:rsidP="000353F2">
      <w:pPr>
        <w:pStyle w:val="SemEspaamento"/>
        <w:spacing w:after="120"/>
        <w:ind w:firstLine="567"/>
        <w:jc w:val="both"/>
        <w:rPr>
          <w:rFonts w:asciiTheme="majorHAnsi" w:hAnsiTheme="majorHAnsi" w:cstheme="majorHAnsi"/>
          <w:sz w:val="22"/>
          <w:szCs w:val="22"/>
        </w:rPr>
      </w:pPr>
      <w:r w:rsidRPr="000353F2">
        <w:rPr>
          <w:rFonts w:asciiTheme="majorHAnsi" w:hAnsiTheme="majorHAnsi" w:cstheme="majorHAnsi"/>
          <w:sz w:val="22"/>
          <w:szCs w:val="22"/>
        </w:rPr>
        <w:t xml:space="preserve">Não faz muito tempo, o tratamento pré-hospitalar padrão de doentes traumatizados com sangramento era administrar rapidamente dois litros de solução salina normal. Nos últimos 20 anos, no entanto, foram feitas recomendações para interromper essas infusões maciças de fluidos intravenosos em doentes com sangramento. O argumento é que essas grandes infusões de cristaloides podem “estourar o coágulo” aumentando a pressão sanguínea ou </w:t>
      </w:r>
      <w:r w:rsidR="0004048C" w:rsidRPr="000353F2">
        <w:rPr>
          <w:rFonts w:asciiTheme="majorHAnsi" w:hAnsiTheme="majorHAnsi" w:cstheme="majorHAnsi"/>
          <w:sz w:val="22"/>
          <w:szCs w:val="22"/>
        </w:rPr>
        <w:t>aumentar</w:t>
      </w:r>
      <w:r w:rsidRPr="000353F2">
        <w:rPr>
          <w:rFonts w:asciiTheme="majorHAnsi" w:hAnsiTheme="majorHAnsi" w:cstheme="majorHAnsi"/>
          <w:sz w:val="22"/>
          <w:szCs w:val="22"/>
        </w:rPr>
        <w:t xml:space="preserve"> </w:t>
      </w:r>
      <w:r w:rsidR="00FB6A37" w:rsidRPr="000353F2">
        <w:rPr>
          <w:rFonts w:asciiTheme="majorHAnsi" w:hAnsiTheme="majorHAnsi" w:cstheme="majorHAnsi"/>
          <w:sz w:val="22"/>
          <w:szCs w:val="22"/>
        </w:rPr>
        <w:t>o fluxo do</w:t>
      </w:r>
      <w:r w:rsidRPr="000353F2">
        <w:rPr>
          <w:rFonts w:asciiTheme="majorHAnsi" w:hAnsiTheme="majorHAnsi" w:cstheme="majorHAnsi"/>
          <w:sz w:val="22"/>
          <w:szCs w:val="22"/>
        </w:rPr>
        <w:t xml:space="preserve"> sangramento, liberando essencialmente os glóbulos vermelhos e os fatores de coagulação dos doentes e substituindo-os por fluido IV.</w:t>
      </w:r>
    </w:p>
    <w:p w:rsidR="00166487" w:rsidRPr="000353F2" w:rsidRDefault="00166487" w:rsidP="000353F2">
      <w:pPr>
        <w:pStyle w:val="SemEspaamento"/>
        <w:spacing w:after="120"/>
        <w:ind w:firstLine="567"/>
        <w:jc w:val="both"/>
        <w:rPr>
          <w:rFonts w:asciiTheme="majorHAnsi" w:hAnsiTheme="majorHAnsi" w:cstheme="majorHAnsi"/>
          <w:sz w:val="22"/>
          <w:szCs w:val="22"/>
        </w:rPr>
      </w:pPr>
      <w:r w:rsidRPr="000353F2">
        <w:rPr>
          <w:rFonts w:asciiTheme="majorHAnsi" w:hAnsiTheme="majorHAnsi" w:cstheme="majorHAnsi"/>
          <w:sz w:val="22"/>
          <w:szCs w:val="22"/>
        </w:rPr>
        <w:t>Os autores deste artigo conduziram uma revisão de literatura identificando ensaios clínicos randomizados que compararam reanimações com grande volume de fluidos e reanimações após o protocolo de hipotensão permissiva em doentes traumatizados. Os estudos, civis e militares, incluíram adultos que sofreram trauma contuso ou penetrante com suspeita de hemorragia. O desfecho medido foi mortalidade hospitalar ou em um período de 30 dias, juntamente com volume de perda sanguínea, utilização de produtos sanguíneos e complicações da administração ou restrição de fluidos.</w:t>
      </w:r>
    </w:p>
    <w:p w:rsidR="00166487" w:rsidRPr="000353F2" w:rsidRDefault="00166487" w:rsidP="000353F2">
      <w:pPr>
        <w:pStyle w:val="SemEspaamento"/>
        <w:spacing w:after="120"/>
        <w:ind w:firstLine="567"/>
        <w:jc w:val="both"/>
        <w:rPr>
          <w:rFonts w:asciiTheme="majorHAnsi" w:hAnsiTheme="majorHAnsi" w:cstheme="majorHAnsi"/>
          <w:sz w:val="22"/>
          <w:szCs w:val="22"/>
        </w:rPr>
      </w:pPr>
      <w:r w:rsidRPr="000353F2">
        <w:rPr>
          <w:rFonts w:asciiTheme="majorHAnsi" w:hAnsiTheme="majorHAnsi" w:cstheme="majorHAnsi"/>
          <w:sz w:val="22"/>
          <w:szCs w:val="22"/>
        </w:rPr>
        <w:t xml:space="preserve">Os autores encontraram 722 publicações e, </w:t>
      </w:r>
      <w:r w:rsidR="00997128" w:rsidRPr="000353F2">
        <w:rPr>
          <w:rFonts w:asciiTheme="majorHAnsi" w:hAnsiTheme="majorHAnsi" w:cstheme="majorHAnsi"/>
          <w:sz w:val="22"/>
          <w:szCs w:val="22"/>
        </w:rPr>
        <w:t>ao final</w:t>
      </w:r>
      <w:r w:rsidRPr="000353F2">
        <w:rPr>
          <w:rFonts w:asciiTheme="majorHAnsi" w:hAnsiTheme="majorHAnsi" w:cstheme="majorHAnsi"/>
          <w:sz w:val="22"/>
          <w:szCs w:val="22"/>
        </w:rPr>
        <w:t>, avaliaram 1.152 doentes de cinco ensaios clínicos randomizados que preencheram os critérios para esta revisão. Quatro dos cinco estudos documentaram uma menor mortalidade com reanimação hipotensiva</w:t>
      </w:r>
      <w:r w:rsidR="0004048C" w:rsidRPr="000353F2">
        <w:rPr>
          <w:rFonts w:asciiTheme="majorHAnsi" w:hAnsiTheme="majorHAnsi" w:cstheme="majorHAnsi"/>
          <w:sz w:val="22"/>
          <w:szCs w:val="22"/>
        </w:rPr>
        <w:t>;</w:t>
      </w:r>
      <w:r w:rsidRPr="000353F2">
        <w:rPr>
          <w:rFonts w:asciiTheme="majorHAnsi" w:hAnsiTheme="majorHAnsi" w:cstheme="majorHAnsi"/>
          <w:sz w:val="22"/>
          <w:szCs w:val="22"/>
        </w:rPr>
        <w:t xml:space="preserve"> no entanto, devido ao pequeno </w:t>
      </w:r>
      <w:r w:rsidRPr="000353F2">
        <w:rPr>
          <w:rFonts w:asciiTheme="majorHAnsi" w:hAnsiTheme="majorHAnsi" w:cstheme="majorHAnsi"/>
          <w:sz w:val="22"/>
          <w:szCs w:val="22"/>
        </w:rPr>
        <w:lastRenderedPageBreak/>
        <w:t>tamanho da amostra, apenas um deles atingiu o nível de significância estatística. Dois dos estudos relataram menor perda sanguínea com reanimação hipotensiva, e três ensaios relataram menos hemocomponentes transfundidos.</w:t>
      </w:r>
    </w:p>
    <w:p w:rsidR="00166487" w:rsidRPr="000353F2" w:rsidRDefault="00166487" w:rsidP="000353F2">
      <w:pPr>
        <w:pStyle w:val="SemEspaamento"/>
        <w:spacing w:after="120"/>
        <w:ind w:firstLine="567"/>
        <w:jc w:val="both"/>
        <w:rPr>
          <w:rFonts w:asciiTheme="majorHAnsi" w:hAnsiTheme="majorHAnsi" w:cstheme="majorHAnsi"/>
          <w:sz w:val="22"/>
          <w:szCs w:val="22"/>
        </w:rPr>
      </w:pPr>
      <w:r w:rsidRPr="000353F2">
        <w:rPr>
          <w:rFonts w:asciiTheme="majorHAnsi" w:hAnsiTheme="majorHAnsi" w:cstheme="majorHAnsi"/>
          <w:sz w:val="22"/>
          <w:szCs w:val="22"/>
        </w:rPr>
        <w:t>Embora a força desta revisão seja que apenas estudos randomizados foram analisados, o que deve fornecer a mais alta evidência de qualidade, o pequeno número de doentes nesses estudos cria resultados insuficientes.</w:t>
      </w:r>
    </w:p>
    <w:p w:rsidR="003D7BD6" w:rsidRPr="000353F2" w:rsidRDefault="00166487" w:rsidP="000353F2">
      <w:pPr>
        <w:pStyle w:val="SemEspaamento"/>
        <w:spacing w:after="120"/>
        <w:ind w:firstLine="567"/>
        <w:jc w:val="both"/>
        <w:rPr>
          <w:rFonts w:asciiTheme="majorHAnsi" w:hAnsiTheme="majorHAnsi" w:cstheme="majorHAnsi"/>
          <w:sz w:val="22"/>
          <w:szCs w:val="22"/>
        </w:rPr>
      </w:pPr>
      <w:r w:rsidRPr="000353F2">
        <w:rPr>
          <w:rFonts w:asciiTheme="majorHAnsi" w:hAnsiTheme="majorHAnsi" w:cstheme="majorHAnsi"/>
          <w:sz w:val="22"/>
          <w:szCs w:val="22"/>
        </w:rPr>
        <w:t xml:space="preserve">Esta revisão sugere que há </w:t>
      </w:r>
      <w:r w:rsidR="0004048C" w:rsidRPr="000353F2">
        <w:rPr>
          <w:rFonts w:asciiTheme="majorHAnsi" w:hAnsiTheme="majorHAnsi" w:cstheme="majorHAnsi"/>
          <w:sz w:val="22"/>
          <w:szCs w:val="22"/>
        </w:rPr>
        <w:t>maior chance de sobrevida</w:t>
      </w:r>
      <w:r w:rsidRPr="000353F2">
        <w:rPr>
          <w:rFonts w:asciiTheme="majorHAnsi" w:hAnsiTheme="majorHAnsi" w:cstheme="majorHAnsi"/>
          <w:sz w:val="22"/>
          <w:szCs w:val="22"/>
        </w:rPr>
        <w:t>, menor perda de sangue relatada e menor utilização de produtos sanguíneos e cristaloides com alvos de pressão arterial mais baixa, em comparação com as diretrizes de reanimação tradicionais que retornam a pressão arterial a níveis normais ou quase normais. No entanto, como os estudos avaliados foram insuficientes e de qualidade variável, é necessário que sejam realizadas pesquisas de maior qualidade e maior número de doentes (mais doentes) antes que um regime específico de reanimação possa ser acordado.</w:t>
      </w:r>
    </w:p>
    <w:p w:rsidR="0004048C" w:rsidRPr="000353F2" w:rsidRDefault="0004048C" w:rsidP="000353F2">
      <w:pPr>
        <w:spacing w:after="120" w:line="240" w:lineRule="auto"/>
        <w:jc w:val="both"/>
        <w:rPr>
          <w:rFonts w:asciiTheme="majorHAnsi" w:hAnsiTheme="majorHAnsi" w:cstheme="majorHAnsi"/>
          <w:lang w:val="pt-BR"/>
        </w:rPr>
      </w:pPr>
    </w:p>
    <w:p w:rsidR="0004048C" w:rsidRPr="000353F2" w:rsidRDefault="00FF2FBE" w:rsidP="000353F2">
      <w:pPr>
        <w:pStyle w:val="SemEspaamento"/>
        <w:spacing w:after="120"/>
        <w:jc w:val="both"/>
        <w:rPr>
          <w:rFonts w:asciiTheme="majorHAnsi" w:hAnsiTheme="majorHAnsi" w:cstheme="majorHAnsi"/>
          <w:sz w:val="22"/>
          <w:szCs w:val="22"/>
        </w:rPr>
      </w:pPr>
      <w:r w:rsidRPr="000353F2">
        <w:rPr>
          <w:rFonts w:asciiTheme="majorHAnsi" w:hAnsiTheme="majorHAnsi" w:cstheme="majorHAnsi"/>
          <w:b/>
          <w:bCs/>
          <w:sz w:val="22"/>
          <w:szCs w:val="22"/>
        </w:rPr>
        <w:t>2. Padrões de ferimentos fatais e causas de mortes potencialmente evitáveis após o tiroteio no Clube Noturno Pulse.</w:t>
      </w:r>
      <w:r w:rsidRPr="000353F2">
        <w:rPr>
          <w:rFonts w:asciiTheme="majorHAnsi" w:hAnsiTheme="majorHAnsi" w:cstheme="majorHAnsi"/>
          <w:sz w:val="22"/>
          <w:szCs w:val="22"/>
        </w:rPr>
        <w:t> Smith ER, Shapiro G, Sarani B. Prehosp Emerg Care. 2018.</w:t>
      </w:r>
    </w:p>
    <w:p w:rsidR="00FF2FBE" w:rsidRPr="000353F2" w:rsidRDefault="00FF2FBE" w:rsidP="000353F2">
      <w:pPr>
        <w:pStyle w:val="SemEspaamento"/>
        <w:spacing w:after="120"/>
        <w:ind w:firstLine="567"/>
        <w:jc w:val="both"/>
        <w:rPr>
          <w:rFonts w:asciiTheme="majorHAnsi" w:hAnsiTheme="majorHAnsi" w:cstheme="majorHAnsi"/>
          <w:sz w:val="22"/>
          <w:szCs w:val="22"/>
        </w:rPr>
      </w:pPr>
      <w:r w:rsidRPr="000353F2">
        <w:rPr>
          <w:rFonts w:asciiTheme="majorHAnsi" w:hAnsiTheme="majorHAnsi" w:cstheme="majorHAnsi"/>
          <w:sz w:val="22"/>
          <w:szCs w:val="22"/>
        </w:rPr>
        <w:t>O objetivo da resposta aos tiroteios em massa com civis (CPMS) é multifacetado. A aplicação da lei sempre ocupou o papel principal na supressão da ameaça. Os serviços de Atendimento Pré-Hospitalar (APH) e o Corpo de Bombeiros historicamente, sempre ficaram fora da zona de ameaça até que a cena se tornasse segura. Esse paradigma mudou nos últimos anos com a introdução dos modelos de Resgate do tipo Força Tarefa. Esses modelos colocam os profissionais do APH na zona morna para fornecer cuidados que salvam vidas e extricar as vítimas para áreas seguras para continuidade do atendimento e transporte para o tratamento definitivo. Este é um estudo retrospectivo cujo objetivo é determinar o potencial de sobrevivência das lesões ocorridas no tiroteio do Clube Noturno Pulse, por meio da análise dos laudos de autopsia.</w:t>
      </w:r>
    </w:p>
    <w:p w:rsidR="00FF2FBE" w:rsidRPr="000353F2" w:rsidRDefault="00FF2FBE" w:rsidP="000353F2">
      <w:pPr>
        <w:pStyle w:val="SemEspaamento"/>
        <w:spacing w:after="120"/>
        <w:ind w:firstLine="567"/>
        <w:jc w:val="both"/>
        <w:rPr>
          <w:rFonts w:asciiTheme="majorHAnsi" w:hAnsiTheme="majorHAnsi" w:cstheme="majorHAnsi"/>
          <w:sz w:val="22"/>
          <w:szCs w:val="22"/>
        </w:rPr>
      </w:pPr>
      <w:r w:rsidRPr="000353F2">
        <w:rPr>
          <w:rFonts w:asciiTheme="majorHAnsi" w:hAnsiTheme="majorHAnsi" w:cstheme="majorHAnsi"/>
          <w:sz w:val="22"/>
          <w:szCs w:val="22"/>
        </w:rPr>
        <w:t xml:space="preserve">Os autores revisaram todas os 49 óbitos deste evento. Cada autor revisou independentemente cada caso para determinar o potencial de sobrevivência das lesões das vítimas com base no recebimento de atendimento pré-hospitalar em dez (10) minutos e atendimento definitivo em sessenta (60) minutos. Estes são os mesmos parâmetros de tempo geralmente recomendados para o atendimento de todos os traumatizados no mundo desenvolvido. Os autores concluíram que a localização dos ferimentos fatais foi 41% no tórax/parte superior do dorso, 24% na cabeça, 12% no dorso inferior, nádegas e órgãos genitais, 12% no pescoço, 8% nas extremidades, e 4% na face. Dezesseis das 49 mortes (32%) foram consideradas potencialmente evitáveis ​​se o atendimento tivesse sido prestado dentro do período estabelecido pelos parâmetros do estudo. A maioria desses doentes (56%) apresentou lesão pulmonar isolada sem lesão vascular subjacente grave documentada. Os autores concluíram que esses doentes morreram, provavelmente, devido a hipóxia decorrente de pneumotórax aberto ou pneumotórax hipertensivo. Vinte e cinco por cento (4 de 16) dos óbitos classificados como potencialmente evitáveis ​​aconteceram devido a exsanguinação de uma extremidade ou hemorragia juncional. Dois (2) destes eram passíveis de aplicação de um torniquete, enquanto os outros dois eram juncionais e exigiriam empacotamento da ferida e/ou técnicas alternativas de controle de sangramento. As demais vítimas classificadas como óbitos potencialmente evitáveis tiveram ferimentos na cabeça no pescoço, causando comprometimento da via aérea.  </w:t>
      </w:r>
    </w:p>
    <w:p w:rsidR="00FF2FBE" w:rsidRPr="000353F2" w:rsidRDefault="00FF2FBE" w:rsidP="000353F2">
      <w:pPr>
        <w:pStyle w:val="SemEspaamento"/>
        <w:spacing w:after="120"/>
        <w:ind w:firstLine="567"/>
        <w:jc w:val="both"/>
        <w:rPr>
          <w:rFonts w:asciiTheme="majorHAnsi" w:hAnsiTheme="majorHAnsi" w:cstheme="majorHAnsi"/>
          <w:sz w:val="22"/>
          <w:szCs w:val="22"/>
        </w:rPr>
      </w:pPr>
      <w:r w:rsidRPr="000353F2">
        <w:rPr>
          <w:rFonts w:asciiTheme="majorHAnsi" w:hAnsiTheme="majorHAnsi" w:cstheme="majorHAnsi"/>
          <w:sz w:val="22"/>
          <w:szCs w:val="22"/>
        </w:rPr>
        <w:t xml:space="preserve">Os resultados da avaliação deste incidente demonstram que as mortes evitáveis ​​por hemorragia nas extremidades no cenário civil são muito menores do que no cenário militar. Os ferimentos nos pulmões foram considerados os maiores responsáveis por lesões com potencial para sobrevivência se o tratamento fosse iniciado em 10 minutos ou menos após o trauma. Isso contrasta com a experiência militar que apontou o controle do sangramento de ferimentos nas extremidades como o maior padrão de sobrevivência para tratamento das lesões. Provavelmente, essa diferença se deve a dois fatores, conforme apontado pelos </w:t>
      </w:r>
      <w:r w:rsidRPr="000353F2">
        <w:rPr>
          <w:rFonts w:asciiTheme="majorHAnsi" w:hAnsiTheme="majorHAnsi" w:cstheme="majorHAnsi"/>
          <w:sz w:val="22"/>
          <w:szCs w:val="22"/>
        </w:rPr>
        <w:lastRenderedPageBreak/>
        <w:t xml:space="preserve">autores. O primeiro é o uso de coletes pelas vítimas militares, protegendo o tórax; e o segundo, a proximidade do atirador com a vítima civil. Além disso, todo militar dos EUA envolvido em combate é treinado e equipado via Tactical Combat Casualty Care (TCCC) na auto-aplicação imediata de um torniquete ou a um parceiro ferido, além de outros métodos de controle de hemorragias. Atualmente, esse não é o </w:t>
      </w:r>
      <w:r w:rsidR="0095208B" w:rsidRPr="000353F2">
        <w:rPr>
          <w:rFonts w:asciiTheme="majorHAnsi" w:hAnsiTheme="majorHAnsi" w:cstheme="majorHAnsi"/>
          <w:sz w:val="22"/>
          <w:szCs w:val="22"/>
        </w:rPr>
        <w:t>cenário</w:t>
      </w:r>
      <w:r w:rsidRPr="000353F2">
        <w:rPr>
          <w:rFonts w:asciiTheme="majorHAnsi" w:hAnsiTheme="majorHAnsi" w:cstheme="majorHAnsi"/>
          <w:sz w:val="22"/>
          <w:szCs w:val="22"/>
        </w:rPr>
        <w:t xml:space="preserve"> no ambiente civil. O treinamento </w:t>
      </w:r>
      <w:r w:rsidR="0095208B" w:rsidRPr="000353F2">
        <w:rPr>
          <w:rFonts w:asciiTheme="majorHAnsi" w:hAnsiTheme="majorHAnsi" w:cstheme="majorHAnsi"/>
          <w:sz w:val="22"/>
          <w:szCs w:val="22"/>
        </w:rPr>
        <w:t xml:space="preserve">de civis </w:t>
      </w:r>
      <w:r w:rsidRPr="000353F2">
        <w:rPr>
          <w:rFonts w:asciiTheme="majorHAnsi" w:hAnsiTheme="majorHAnsi" w:cstheme="majorHAnsi"/>
          <w:sz w:val="22"/>
          <w:szCs w:val="22"/>
        </w:rPr>
        <w:t xml:space="preserve">começou por meio do Curso de Controle de Sangramento do Colégio Americano de Cirurgiões e da campanha Pare o Sangramento. Os resultados deste estudo sugerem que, embora o controle do sangramento seja importante, o manejo das lesões pulmonares e a manutenção da via aérea também precisam ser considerados de alta prioridade.   </w:t>
      </w:r>
    </w:p>
    <w:p w:rsidR="00FF2FBE" w:rsidRPr="000353F2" w:rsidRDefault="00FF2FBE" w:rsidP="000353F2">
      <w:pPr>
        <w:pStyle w:val="SemEspaamento"/>
        <w:spacing w:after="120"/>
        <w:ind w:firstLine="567"/>
        <w:jc w:val="both"/>
        <w:rPr>
          <w:rFonts w:asciiTheme="majorHAnsi" w:hAnsiTheme="majorHAnsi" w:cstheme="majorHAnsi"/>
          <w:sz w:val="22"/>
          <w:szCs w:val="22"/>
        </w:rPr>
      </w:pPr>
      <w:r w:rsidRPr="000353F2">
        <w:rPr>
          <w:rFonts w:asciiTheme="majorHAnsi" w:hAnsiTheme="majorHAnsi" w:cstheme="majorHAnsi"/>
          <w:sz w:val="22"/>
          <w:szCs w:val="22"/>
        </w:rPr>
        <w:t xml:space="preserve">As limitações deste estudo incluem o fato de que o potencial para sobrevivência foi determinado pela opinião de um especialista com base apenas no relatório de autópsia. Não foram obtidos dados pré-hospitalares ou hospitalares, e foi difícil determinar se houve ou não tentativas de reanimação na maioria dessas vítimas. Uma segunda limitação do estudo foi a aplicação do tempo do APH e do tratamento definitivo de 10 e 60 minutos, respectivamente. Esses números costumam ser difíceis de </w:t>
      </w:r>
      <w:r w:rsidR="0095208B" w:rsidRPr="000353F2">
        <w:rPr>
          <w:rFonts w:asciiTheme="majorHAnsi" w:hAnsiTheme="majorHAnsi" w:cstheme="majorHAnsi"/>
          <w:sz w:val="22"/>
          <w:szCs w:val="22"/>
        </w:rPr>
        <w:t xml:space="preserve">se </w:t>
      </w:r>
      <w:r w:rsidRPr="000353F2">
        <w:rPr>
          <w:rFonts w:asciiTheme="majorHAnsi" w:hAnsiTheme="majorHAnsi" w:cstheme="majorHAnsi"/>
          <w:sz w:val="22"/>
          <w:szCs w:val="22"/>
        </w:rPr>
        <w:t>obter quando se responde a uma única vítima de ferimento por arma de fogo, sem mencionar situações com várias vítimas complicadas por uma situação instável do atirador ativo. Por fim, este relatório descreve um único incidente que pode ou não ser representativo de todos os eventos de tiroteio com múltiplas vítimas.</w:t>
      </w:r>
    </w:p>
    <w:p w:rsidR="00FF2FBE" w:rsidRPr="000353F2" w:rsidRDefault="00FF2FBE" w:rsidP="000353F2">
      <w:pPr>
        <w:pStyle w:val="SemEspaamento"/>
        <w:spacing w:after="120"/>
        <w:ind w:firstLine="567"/>
        <w:jc w:val="both"/>
        <w:rPr>
          <w:rFonts w:asciiTheme="majorHAnsi" w:hAnsiTheme="majorHAnsi" w:cstheme="majorHAnsi"/>
          <w:sz w:val="22"/>
          <w:szCs w:val="22"/>
        </w:rPr>
      </w:pPr>
      <w:r w:rsidRPr="000353F2">
        <w:rPr>
          <w:rFonts w:asciiTheme="majorHAnsi" w:hAnsiTheme="majorHAnsi" w:cstheme="majorHAnsi"/>
          <w:sz w:val="22"/>
          <w:szCs w:val="22"/>
        </w:rPr>
        <w:t xml:space="preserve">O objetivo de expandir o contínuo do cuidado às vítimas de trauma precisa incluir todos, desde o cidadão que responde imediatamente até a segurança pública, e será realizado gradualmente com a implementação do Curso de Controle de Sangramento e Campanha Pare o Sangramento (B-Con) pelo American College of Surgeons.  </w:t>
      </w:r>
    </w:p>
    <w:p w:rsidR="003D7BD6" w:rsidRPr="000353F2" w:rsidRDefault="003D7BD6" w:rsidP="000353F2">
      <w:pPr>
        <w:spacing w:after="120" w:line="240" w:lineRule="auto"/>
        <w:jc w:val="both"/>
        <w:rPr>
          <w:lang w:val="pt-BR"/>
        </w:rPr>
      </w:pPr>
    </w:p>
    <w:p w:rsidR="00714BEF" w:rsidRPr="000353F2" w:rsidRDefault="00714BEF" w:rsidP="000353F2">
      <w:pPr>
        <w:pStyle w:val="SemEspaamento"/>
        <w:spacing w:after="120"/>
        <w:jc w:val="both"/>
        <w:rPr>
          <w:rFonts w:cs="Times New Roman"/>
          <w:sz w:val="22"/>
          <w:szCs w:val="22"/>
        </w:rPr>
      </w:pPr>
      <w:r w:rsidRPr="000353F2">
        <w:rPr>
          <w:rFonts w:cs="Times New Roman"/>
          <w:b/>
          <w:bCs/>
          <w:sz w:val="22"/>
          <w:szCs w:val="22"/>
        </w:rPr>
        <w:t>3. Modelo de duas cidades: intubação pré-hospitalar com ou sem agentes paralisantes para lesão cerebral traumática.</w:t>
      </w:r>
      <w:r w:rsidRPr="000353F2">
        <w:rPr>
          <w:rFonts w:cs="Times New Roman"/>
          <w:sz w:val="22"/>
          <w:szCs w:val="22"/>
        </w:rPr>
        <w:t xml:space="preserve"> Bendinelli C, Ku D, Nebauer S, et al. ANZ J Surg (2018)   </w:t>
      </w:r>
    </w:p>
    <w:p w:rsidR="00714BEF" w:rsidRPr="000353F2" w:rsidRDefault="00714BEF" w:rsidP="000353F2">
      <w:pPr>
        <w:pStyle w:val="SemEspaamento"/>
        <w:spacing w:after="120"/>
        <w:ind w:firstLine="567"/>
        <w:jc w:val="both"/>
        <w:rPr>
          <w:rFonts w:cs="Times New Roman"/>
          <w:sz w:val="22"/>
          <w:szCs w:val="22"/>
        </w:rPr>
      </w:pPr>
      <w:r w:rsidRPr="000353F2">
        <w:rPr>
          <w:rFonts w:cs="Times New Roman"/>
          <w:sz w:val="22"/>
          <w:szCs w:val="22"/>
        </w:rPr>
        <w:t>A intubação endotraqueal pré-hospitalar (IEPH) é uma habilidade paramédica amplamente aceita. Muitos serviços paramédicos adotaram com sucesso as drogas da intubação em sequência rápida (ISR) para facilitar a IEPH. O papel da IEPH na lesão cerebral traumática (LCT) não é claro. Em Victoria, Austrália, os paramédicos usam protocolos de ISR para ajudar na IEPH. Os paramédicos de New South Wales, na Austrália, não estão autorizados a usar medicamentos para ISR. Os autores levantaram a hipótese de que a ISR aumentaria a taxa de sucesso da IEPH em doentes com LCT e melhoraria a mortalidade.</w:t>
      </w:r>
    </w:p>
    <w:p w:rsidR="00714BEF" w:rsidRPr="000353F2" w:rsidRDefault="00714BEF" w:rsidP="000353F2">
      <w:pPr>
        <w:pStyle w:val="SemEspaamento"/>
        <w:spacing w:after="120"/>
        <w:ind w:firstLine="567"/>
        <w:jc w:val="both"/>
        <w:rPr>
          <w:rFonts w:cs="Times New Roman"/>
          <w:sz w:val="22"/>
          <w:szCs w:val="22"/>
        </w:rPr>
      </w:pPr>
      <w:r w:rsidRPr="000353F2">
        <w:rPr>
          <w:rFonts w:cs="Times New Roman"/>
          <w:sz w:val="22"/>
          <w:szCs w:val="22"/>
        </w:rPr>
        <w:t xml:space="preserve">Os autores realizaram um estudo retrospectivo de comparação de doentes adultos com LCT admitidos em centros de trauma de Victoria ou New South Wales por mais de 3 anos. Os critérios de inclusão eram escore na Escala de Coma de Glasgow (GCS) &lt; 9 e Escala Abreviada de Lesão na cabeça e pescoço &gt; 2. Os doentes incluídos foram comparados por análise de regressão logística e univariada para estimar a odds ratio para mortalidade e tempo de permanência na unidade de terapia intensiva. O estudo foi aprovado pelo Comitê de Ética em Pesquisa Humana Hunter New England. Cento e noventa e dois doentes vitorianos e noventa e um doentes de New South Wales foram incluídos no estudo. Os dois grupos eram similares em dados demográficos (sexo, idade), escore na GCS, hipotensão e na gravidade do trauma. Os paramédicos vitorianos (ISR) obtiveram IEPH em 85,5% de seus doentes, em comparação com 22,2% dos doentes de New South Wales (sem ISR). Apesar da diferença significativa nas taxas de sucesso da IEPH, a mortalidade geral não diferiu entre os dois grupos. Curiosamente, a mortalidade para doentes com pontuação na GCS de 3-5 foi semelhante, mas para aqueles com pontuação 6-8, a mortalidade foi maior no grupo com ISR (15% versus 3%), embora o grupo de ISR tivesse um escore AIS de cabeça e pescoço mais alto (5 versus 4). A incidência de hipóxia pré-hospitalar e de chegada ao Departamento de Emergência foi semelhante entre os dois grupos. No entanto, os doentes submetidos à ISR tiveram permanência estatisticamente mais longa na unidade de terapia intensiva do que os doentes que não tiveram (364 horas versus 144 horas).  </w:t>
      </w:r>
    </w:p>
    <w:p w:rsidR="00714BEF" w:rsidRPr="000353F2" w:rsidRDefault="00714BEF" w:rsidP="000353F2">
      <w:pPr>
        <w:pStyle w:val="SemEspaamento"/>
        <w:spacing w:after="120"/>
        <w:ind w:firstLine="567"/>
        <w:jc w:val="both"/>
        <w:rPr>
          <w:rFonts w:cs="Times New Roman"/>
          <w:sz w:val="22"/>
          <w:szCs w:val="22"/>
        </w:rPr>
      </w:pPr>
      <w:r w:rsidRPr="000353F2">
        <w:rPr>
          <w:rFonts w:cs="Times New Roman"/>
          <w:sz w:val="22"/>
          <w:szCs w:val="22"/>
        </w:rPr>
        <w:lastRenderedPageBreak/>
        <w:t>Embora não tenha sido especificamente investigada neste estudo, baixas saturações de oxigênio podem ser atribuídas ao risco de desenvolver hipóxia durante a própria intervenção, o que também foi relatado em outros estudos.</w:t>
      </w:r>
    </w:p>
    <w:p w:rsidR="00714BEF" w:rsidRPr="000353F2" w:rsidRDefault="00714BEF" w:rsidP="000353F2">
      <w:pPr>
        <w:pStyle w:val="SemEspaamento"/>
        <w:spacing w:after="120"/>
        <w:ind w:firstLine="567"/>
        <w:jc w:val="both"/>
        <w:rPr>
          <w:rFonts w:cs="Times New Roman"/>
          <w:sz w:val="22"/>
          <w:szCs w:val="22"/>
        </w:rPr>
      </w:pPr>
      <w:r w:rsidRPr="000353F2">
        <w:rPr>
          <w:rFonts w:cs="Times New Roman"/>
          <w:sz w:val="22"/>
          <w:szCs w:val="22"/>
        </w:rPr>
        <w:t>Os paramédicos australianos que usam protocolos de ISR tiveram uma taxa de sucesso muito maior para IEPH no tratamento de doentes com LCT do que os paramédicos sem protocolos de ISR, no entanto, o sucesso da IEPH não equivaleu a melhores taxas de mortalidade.  A intubação pré-hospitalar de doentes com lesão cerebral traumática grave remete a um tópico controverso, com argumentos e dados de ambos os lados do debate. Os paramédicos que tratam doentes com LCT devem avaliar cuidadosamente o benefício do doente versus os riscos associados à realização da IEPH, especialmente quando o doente já está mantendo sua via aérea.</w:t>
      </w:r>
    </w:p>
    <w:p w:rsidR="003D7BD6" w:rsidRPr="000353F2" w:rsidRDefault="003D7BD6" w:rsidP="000353F2">
      <w:pPr>
        <w:spacing w:after="120" w:line="240" w:lineRule="auto"/>
        <w:jc w:val="both"/>
        <w:rPr>
          <w:lang w:val="pt-BR"/>
        </w:rPr>
      </w:pPr>
    </w:p>
    <w:p w:rsidR="00307778" w:rsidRPr="000353F2" w:rsidRDefault="00307778" w:rsidP="000353F2">
      <w:pPr>
        <w:pStyle w:val="SemEspaamento"/>
        <w:spacing w:after="120"/>
        <w:jc w:val="both"/>
        <w:rPr>
          <w:rFonts w:cs="Times New Roman"/>
          <w:b/>
          <w:bCs/>
          <w:sz w:val="22"/>
          <w:szCs w:val="22"/>
          <w:lang w:val="en-US"/>
        </w:rPr>
      </w:pPr>
      <w:r w:rsidRPr="000353F2">
        <w:rPr>
          <w:rFonts w:cs="Times New Roman"/>
          <w:b/>
          <w:bCs/>
          <w:sz w:val="22"/>
          <w:szCs w:val="22"/>
        </w:rPr>
        <w:t xml:space="preserve">4. Plasma pré-hospitalar durante o transporte aeromédico em doentes traumatizados com risco de choque hemorrágico. </w:t>
      </w:r>
      <w:r w:rsidRPr="000353F2">
        <w:rPr>
          <w:rFonts w:cs="Times New Roman"/>
          <w:sz w:val="22"/>
          <w:szCs w:val="22"/>
          <w:lang w:val="en-US"/>
        </w:rPr>
        <w:t>Sperry JL, Guyette FX, Brown JB, et al. </w:t>
      </w:r>
      <w:r w:rsidRPr="000353F2">
        <w:rPr>
          <w:rFonts w:cs="Times New Roman"/>
          <w:i/>
          <w:iCs/>
          <w:sz w:val="22"/>
          <w:szCs w:val="22"/>
          <w:lang w:val="en-US"/>
        </w:rPr>
        <w:t xml:space="preserve">N Engl J Med. </w:t>
      </w:r>
      <w:r w:rsidRPr="000353F2">
        <w:rPr>
          <w:rFonts w:cs="Times New Roman"/>
          <w:sz w:val="22"/>
          <w:szCs w:val="22"/>
          <w:lang w:val="en-US"/>
        </w:rPr>
        <w:t>2018; 379: 315 -26.</w:t>
      </w:r>
    </w:p>
    <w:p w:rsidR="00307778" w:rsidRPr="000353F2" w:rsidRDefault="00307778" w:rsidP="000353F2">
      <w:pPr>
        <w:pStyle w:val="SemEspaamento"/>
        <w:spacing w:after="120"/>
        <w:jc w:val="both"/>
        <w:rPr>
          <w:rFonts w:cs="Times New Roman"/>
          <w:sz w:val="22"/>
          <w:szCs w:val="22"/>
        </w:rPr>
      </w:pPr>
      <w:r w:rsidRPr="000353F2">
        <w:rPr>
          <w:rFonts w:cs="Times New Roman"/>
          <w:b/>
          <w:bCs/>
          <w:sz w:val="22"/>
          <w:szCs w:val="22"/>
        </w:rPr>
        <w:t>5. Reanimação com plasma para tratamento do choque hemorrágico durante o transporte terrestre de emergência em uma área urbana: um estudo randomizado</w:t>
      </w:r>
      <w:r w:rsidRPr="000353F2">
        <w:rPr>
          <w:rFonts w:cs="Times New Roman"/>
          <w:sz w:val="22"/>
          <w:szCs w:val="22"/>
        </w:rPr>
        <w:t>. Moore HB, Moore EE, Chapman MP, et al. </w:t>
      </w:r>
      <w:r w:rsidRPr="000353F2">
        <w:rPr>
          <w:rFonts w:cs="Times New Roman"/>
          <w:i/>
          <w:iCs/>
          <w:sz w:val="22"/>
          <w:szCs w:val="22"/>
        </w:rPr>
        <w:t xml:space="preserve">Lancet. </w:t>
      </w:r>
      <w:r w:rsidRPr="000353F2">
        <w:rPr>
          <w:rFonts w:cs="Times New Roman"/>
          <w:sz w:val="22"/>
          <w:szCs w:val="22"/>
        </w:rPr>
        <w:t>2018; 392: 1-9.</w:t>
      </w:r>
    </w:p>
    <w:p w:rsidR="00307778" w:rsidRPr="000353F2" w:rsidRDefault="00307778" w:rsidP="000353F2">
      <w:pPr>
        <w:pStyle w:val="SemEspaamento"/>
        <w:spacing w:after="120"/>
        <w:ind w:firstLine="567"/>
        <w:jc w:val="both"/>
        <w:rPr>
          <w:rFonts w:cs="Times New Roman"/>
          <w:sz w:val="22"/>
          <w:szCs w:val="22"/>
        </w:rPr>
      </w:pPr>
      <w:r w:rsidRPr="000353F2">
        <w:rPr>
          <w:rFonts w:cs="Times New Roman"/>
          <w:sz w:val="22"/>
          <w:szCs w:val="22"/>
        </w:rPr>
        <w:t>(4 &amp; 5 Revisão Combinada) A reanimação ideal do doente traumatizado em choque hemorrágico consiste em minimizar o uso de cristaloides, como o lactato de Ringer e a solução salina normal, e transfundir componentes sanguíneos (hemácias, plasma e plaquetas). Essa estratégia de reanimação minimiza a coagulopatia frequentemente observada no choque hemorrágico. Ultimamente, pesquisas têm se concentrado no início dessa reanimação no ambiente pré-hospitalar, especificamente no uso de transfusão plasmática precoce. Dois ensaios foram publicados em julho de 2018 examinando o efeito da reanimação pré-hospitalar com plasma em dois ambientes: o aeromédico e o urbano. O ensaio com plasma no pré-hospitalar aeromédico (PAMPer) avaliou o benefício de sobrevida com a transfusão de plasma em doentes traumatizados transportados por helicóptero. O ensaio Controle de Grande Sangramento Pós Trauma (COMBAT) avaliou o uso de transfusão plasmática pré-hospitalar em ambiente urbano. Ambos os estudos foram financiados pelo Departamento de Defesa.</w:t>
      </w:r>
    </w:p>
    <w:p w:rsidR="00307778" w:rsidRPr="000353F2" w:rsidRDefault="00307778" w:rsidP="000353F2">
      <w:pPr>
        <w:pStyle w:val="SemEspaamento"/>
        <w:spacing w:after="120"/>
        <w:ind w:firstLine="567"/>
        <w:jc w:val="both"/>
        <w:rPr>
          <w:rFonts w:cs="Times New Roman"/>
          <w:sz w:val="22"/>
          <w:szCs w:val="22"/>
        </w:rPr>
      </w:pPr>
      <w:r w:rsidRPr="000353F2">
        <w:rPr>
          <w:rFonts w:cs="Times New Roman"/>
          <w:sz w:val="22"/>
          <w:szCs w:val="22"/>
        </w:rPr>
        <w:t>Os critérios de inclusão em ambos os ensaios foram semelhantes. Os doentes elegíveis eram adultos traumatizados (idade &gt; 18) com suspeita de perda aguda de sangue com pelo menos um episódio de hipotensão (pressão arterial sistólica &lt; 90 mmHg) e taquicardia (definida nesses estudos como uma frequência cardíaca &gt; 108 batimentos por minuto) ou se apresentassem hipotensão grave (pressão arterial sistólica &lt; 70 mmHg), independentemente da frequência cardíaca. Os doentes foram randomizados para receber duas unidades de plasma descongelado ou cristaloide juntamente com o tratamento padrão. Os doentes do estudo COMBAT também tiveram sangue coletado no local antes da administração de plasma ou cristaloide para avaliar a presença de coagulopatia precoce. O resultado primário de ambos os ensaios foi mortalidade em até um mês.</w:t>
      </w:r>
    </w:p>
    <w:p w:rsidR="00307778" w:rsidRPr="000353F2" w:rsidRDefault="00307778" w:rsidP="000353F2">
      <w:pPr>
        <w:pStyle w:val="SemEspaamento"/>
        <w:spacing w:after="120"/>
        <w:ind w:firstLine="567"/>
        <w:jc w:val="both"/>
        <w:rPr>
          <w:rFonts w:cs="Times New Roman"/>
          <w:sz w:val="22"/>
          <w:szCs w:val="22"/>
        </w:rPr>
      </w:pPr>
      <w:r w:rsidRPr="000353F2">
        <w:rPr>
          <w:rFonts w:cs="Times New Roman"/>
          <w:sz w:val="22"/>
          <w:szCs w:val="22"/>
          <w:u w:val="single"/>
        </w:rPr>
        <w:t>Ensaio PAMPer:</w:t>
      </w:r>
      <w:r w:rsidRPr="000353F2">
        <w:rPr>
          <w:rFonts w:cs="Times New Roman"/>
          <w:sz w:val="22"/>
          <w:szCs w:val="22"/>
        </w:rPr>
        <w:t xml:space="preserve"> 501 doentes cumpriram todos os critérios de inclusão e foram incluídos: 230 receberam plasma e 271 receberam placebo cristaloide. 73% dos doentes eram homens, 82% tiveram trauma contuso e o Injury Severity Score (ISS) médio foi 22 (com uma pontuação maior que 15 indicando lesão grave). 35% também receberam transfusão de sangue pré-hospitalar de acordo com os protocolos locais. Procedimentos cirúrgicos de urgência foram realizados em 58% dos doentes durante as primeiras 24 horas de atendimento. Sendo um estudo envolvendo helicópteros, 111 doentes foram transferidos de um departamento de emergência externo, mas tinham características demográficas e de lesões semelhantes às 390 que foram transportadas diretamente da cena. O tempo médio de transporte pré-hospitalar foi de 40 minutos. </w:t>
      </w:r>
    </w:p>
    <w:p w:rsidR="00307778" w:rsidRPr="000353F2" w:rsidRDefault="00307778" w:rsidP="000353F2">
      <w:pPr>
        <w:pStyle w:val="SemEspaamento"/>
        <w:spacing w:after="120"/>
        <w:ind w:firstLine="567"/>
        <w:jc w:val="both"/>
        <w:rPr>
          <w:rFonts w:cs="Times New Roman"/>
          <w:sz w:val="22"/>
          <w:szCs w:val="22"/>
        </w:rPr>
      </w:pPr>
      <w:r w:rsidRPr="000353F2">
        <w:rPr>
          <w:rFonts w:cs="Times New Roman"/>
          <w:sz w:val="22"/>
          <w:szCs w:val="22"/>
        </w:rPr>
        <w:t xml:space="preserve">A mortalidade em até 30 dias foi menor entre os doentes que receberam plasma descongelado em comparação àqueles que receberam reanimação padrão. A administração de plasma pré-hospitalar foi </w:t>
      </w:r>
      <w:r w:rsidRPr="000353F2">
        <w:rPr>
          <w:rFonts w:cs="Times New Roman"/>
          <w:sz w:val="22"/>
          <w:szCs w:val="22"/>
        </w:rPr>
        <w:lastRenderedPageBreak/>
        <w:t>associada a um risco de morte 39% menor em comparação com aqueles que receberam atendimento padrão. A mortalidade em 24 horas e a mortalidade hospitalar geral também foram menores no grupo plasma em comparação ao grupo padrão. Os doentes do grupo plasma também receberam menos unidades de componentes sanguíneos no geral e menos unidades de concentrado de glóbulos vermelhos em 24 horas. Eles também tiveram uma menor incidência de coagulopatia. Não houve casos documentados de complicações significativas relacionadas à transfusão.</w:t>
      </w:r>
    </w:p>
    <w:p w:rsidR="00307778" w:rsidRPr="000353F2" w:rsidRDefault="00307778" w:rsidP="000353F2">
      <w:pPr>
        <w:pStyle w:val="SemEspaamento"/>
        <w:spacing w:after="120"/>
        <w:ind w:firstLine="567"/>
        <w:jc w:val="both"/>
        <w:rPr>
          <w:rFonts w:cs="Times New Roman"/>
          <w:sz w:val="22"/>
          <w:szCs w:val="22"/>
        </w:rPr>
      </w:pPr>
      <w:r w:rsidRPr="000353F2">
        <w:rPr>
          <w:rFonts w:cs="Times New Roman"/>
          <w:sz w:val="22"/>
          <w:szCs w:val="22"/>
          <w:u w:val="single"/>
        </w:rPr>
        <w:t>Ensaio COMBAT:</w:t>
      </w:r>
      <w:r w:rsidRPr="000353F2">
        <w:rPr>
          <w:rFonts w:cs="Times New Roman"/>
          <w:sz w:val="22"/>
          <w:szCs w:val="22"/>
        </w:rPr>
        <w:t xml:space="preserve"> 125 doentes foram incluídos (65 no grupo plasma e 60 no grupo controle). A mediana do tempo de lesão até a chegada ao hospital foi de 28 minutos para o grupo plasma e 24 minutos para o grupo controle. Ambos os grupos tinham padrões demográficos e de lesões semelhantes. 53% foram classificados como gravemente traumatizados (Injury Severity Score &gt; 25) e 62% estavam em choque grave com pressão arterial sistólica ≤ 70 mmHg. Curiosamente, a coagulopatia precoce observada em estudos anteriores não estava presente nesses doentes. Além disso, os doentes que receberam plasma tiveram apenas tempo de cena três minutos a mais do que aqueles que não receberam plasma.</w:t>
      </w:r>
    </w:p>
    <w:p w:rsidR="00307778" w:rsidRPr="000353F2" w:rsidRDefault="00307778" w:rsidP="000353F2">
      <w:pPr>
        <w:pStyle w:val="SemEspaamento"/>
        <w:spacing w:after="120"/>
        <w:ind w:firstLine="567"/>
        <w:jc w:val="both"/>
        <w:rPr>
          <w:rFonts w:cs="Times New Roman"/>
          <w:sz w:val="22"/>
          <w:szCs w:val="22"/>
        </w:rPr>
      </w:pPr>
      <w:r w:rsidRPr="000353F2">
        <w:rPr>
          <w:rFonts w:cs="Times New Roman"/>
          <w:sz w:val="22"/>
          <w:szCs w:val="22"/>
        </w:rPr>
        <w:t>Como é padrão em qualquer estudo randomizado, uma análise intermediária dos resultados foi conduzida pelo conselho de revisão institucional e pelo FDA. O estudo foi interrompido precocemente porque não houve diferença no resultado entre os dois grupos. Fatores de coagulação, necessidade de transfusão, e segurança da transfusão foram semelhantes entre os grupos. Os autores não encontraram benefício para a transfusão de plasma pré-hospitalar em ambiente urbano.</w:t>
      </w:r>
    </w:p>
    <w:p w:rsidR="00307778" w:rsidRPr="000353F2" w:rsidRDefault="00307778" w:rsidP="000353F2">
      <w:pPr>
        <w:pStyle w:val="SemEspaamento"/>
        <w:spacing w:after="120"/>
        <w:ind w:firstLine="567"/>
        <w:jc w:val="both"/>
        <w:rPr>
          <w:rFonts w:cs="Times New Roman"/>
          <w:sz w:val="22"/>
          <w:szCs w:val="22"/>
        </w:rPr>
      </w:pPr>
      <w:r w:rsidRPr="000353F2">
        <w:rPr>
          <w:rFonts w:cs="Times New Roman"/>
          <w:sz w:val="22"/>
          <w:szCs w:val="22"/>
          <w:u w:val="single"/>
        </w:rPr>
        <w:t>Resumo:</w:t>
      </w:r>
      <w:r w:rsidRPr="000353F2">
        <w:rPr>
          <w:rFonts w:cs="Times New Roman"/>
          <w:sz w:val="22"/>
          <w:szCs w:val="22"/>
        </w:rPr>
        <w:t xml:space="preserve"> Esses dois estudos são oportunos e relevantes para o provedor pré-hospitalar. Ambos os estudos foram muito bem feitos. Tratavam-se de estudos simples, o que significava que os médicos conduziam seus cuidados normais com o doente traumatizado, sendo a única intervenção a transfusão de plasma nos doentes que foram randomizados nesse grupo. Eles demonstram um benefício de sobrevivência em doentes gravemente traumatizados gravemente que receberam transfusão de plasma pré-hospitalar no ambiente aeromédico, mas não em um ambiente urbano. Existem várias razões possíveis para esses achados. Um ambiente urbano geralmente tem tempos de transporte muito curtos, com concentrados de hemácias e plasma imediatamente disponíveis na chegada ao departamento de emergência. As conclusões do estudo COMBAT podem não ser aplicáveis ​​no ambiente rural ou austero. Além disso, alguns acreditam que existem melhores maneiras de identificar doentes em choque hemorrágico do que depender dos parâmetros de pressão arterial e frequência cardíaca. Essas outras opções ainda precisam ser determinadas. Finalmente, as equipes de transporte aeromédico geralmente têm mais experiência, melhor equipamento e funcionam em um ambiente mais controlado do que os provedores de APH urbanos, o que poderia explicar o benefício de sobrevivência no estudo PAMPer com transfusão de plasma de helicóptero.</w:t>
      </w:r>
    </w:p>
    <w:p w:rsidR="003D7BD6" w:rsidRPr="000353F2" w:rsidRDefault="003D7BD6" w:rsidP="000353F2">
      <w:pPr>
        <w:spacing w:after="120" w:line="240" w:lineRule="auto"/>
        <w:ind w:firstLine="567"/>
        <w:jc w:val="both"/>
        <w:rPr>
          <w:lang w:val="pt-BR"/>
        </w:rPr>
      </w:pPr>
    </w:p>
    <w:sectPr w:rsidR="003D7BD6" w:rsidRPr="000353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388" w:rsidRDefault="00642388">
      <w:pPr>
        <w:spacing w:after="0" w:line="240" w:lineRule="auto"/>
      </w:pPr>
      <w:r>
        <w:separator/>
      </w:r>
    </w:p>
  </w:endnote>
  <w:endnote w:type="continuationSeparator" w:id="0">
    <w:p w:rsidR="00642388" w:rsidRDefault="0064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8FF" w:rsidRDefault="00E458F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BD6" w:rsidRDefault="00075B87">
    <w:pPr>
      <w:pStyle w:val="Rodap"/>
      <w:tabs>
        <w:tab w:val="clear" w:pos="9360"/>
        <w:tab w:val="right" w:pos="9340"/>
      </w:tabs>
      <w:jc w:val="center"/>
    </w:pPr>
    <w:r>
      <w:rPr>
        <w:rStyle w:val="None"/>
        <w:b/>
        <w:bCs/>
      </w:rPr>
      <w:t>www.IPHMI.com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8FF" w:rsidRDefault="00E458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388" w:rsidRDefault="00642388">
      <w:pPr>
        <w:spacing w:after="0" w:line="240" w:lineRule="auto"/>
      </w:pPr>
      <w:r>
        <w:separator/>
      </w:r>
    </w:p>
  </w:footnote>
  <w:footnote w:type="continuationSeparator" w:id="0">
    <w:p w:rsidR="00642388" w:rsidRDefault="0064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EFF" w:rsidRDefault="00857EF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EFF" w:rsidRPr="00DA135B" w:rsidRDefault="00857EFF" w:rsidP="00857EFF">
    <w:pPr>
      <w:pStyle w:val="Cabealho"/>
      <w:jc w:val="center"/>
      <w:rPr>
        <w:b/>
        <w:i/>
        <w:sz w:val="36"/>
        <w:u w:val="single"/>
        <w:lang w:val="pt-BR"/>
      </w:rPr>
    </w:pPr>
    <w:r w:rsidRPr="00DA135B">
      <w:rPr>
        <w:b/>
        <w:i/>
        <w:sz w:val="36"/>
        <w:u w:val="single"/>
        <w:lang w:val="pt-BR"/>
      </w:rPr>
      <w:t>Instituto Internacional de Medicina Pré-Hospitalar (IPHMI)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EFF" w:rsidRDefault="00857EF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3076C"/>
    <w:multiLevelType w:val="hybridMultilevel"/>
    <w:tmpl w:val="1EC2635E"/>
    <w:numStyleLink w:val="List1"/>
  </w:abstractNum>
  <w:abstractNum w:abstractNumId="1" w15:restartNumberingAfterBreak="0">
    <w:nsid w:val="61956160"/>
    <w:multiLevelType w:val="multilevel"/>
    <w:tmpl w:val="B7B6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786A6C"/>
    <w:multiLevelType w:val="hybridMultilevel"/>
    <w:tmpl w:val="1EC2635E"/>
    <w:styleLink w:val="List1"/>
    <w:lvl w:ilvl="0" w:tplc="A1967F5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3482E7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B929DD6">
      <w:start w:val="1"/>
      <w:numFmt w:val="lowerRoman"/>
      <w:lvlText w:val="%3."/>
      <w:lvlJc w:val="left"/>
      <w:pPr>
        <w:ind w:left="21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A60F59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CA09B3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DD2FFB0">
      <w:start w:val="1"/>
      <w:numFmt w:val="lowerRoman"/>
      <w:lvlText w:val="%6."/>
      <w:lvlJc w:val="left"/>
      <w:pPr>
        <w:ind w:left="432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8A40A8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8EE956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93CF7B2">
      <w:start w:val="1"/>
      <w:numFmt w:val="lowerRoman"/>
      <w:lvlText w:val="%9."/>
      <w:lvlJc w:val="left"/>
      <w:pPr>
        <w:ind w:left="648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BD6"/>
    <w:rsid w:val="00011895"/>
    <w:rsid w:val="000353F2"/>
    <w:rsid w:val="0004048C"/>
    <w:rsid w:val="00075B87"/>
    <w:rsid w:val="00154975"/>
    <w:rsid w:val="00166487"/>
    <w:rsid w:val="00307778"/>
    <w:rsid w:val="003D7BD6"/>
    <w:rsid w:val="004F3ACF"/>
    <w:rsid w:val="00642388"/>
    <w:rsid w:val="00647BA8"/>
    <w:rsid w:val="00714BEF"/>
    <w:rsid w:val="00842454"/>
    <w:rsid w:val="00857EFF"/>
    <w:rsid w:val="0095208B"/>
    <w:rsid w:val="00997128"/>
    <w:rsid w:val="00B43D75"/>
    <w:rsid w:val="00C8336B"/>
    <w:rsid w:val="00DA3B20"/>
    <w:rsid w:val="00E458FF"/>
    <w:rsid w:val="00F46C46"/>
    <w:rsid w:val="00FB6A37"/>
    <w:rsid w:val="00FF2F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80CB3"/>
  <w15:docId w15:val="{BBCD7630-9224-2549-BB49-1E452917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Arial Unicode MS"/>
      <w:color w:val="000000"/>
      <w:sz w:val="22"/>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link w:val="CabealhoChar"/>
    <w:uiPriority w:val="99"/>
    <w:pPr>
      <w:tabs>
        <w:tab w:val="center" w:pos="4680"/>
        <w:tab w:val="right" w:pos="9360"/>
      </w:tabs>
    </w:pPr>
    <w:rPr>
      <w:rFonts w:cs="Arial Unicode MS"/>
      <w:color w:val="000000"/>
      <w:sz w:val="22"/>
      <w:szCs w:val="22"/>
      <w:lang w:val="en-US"/>
    </w:rPr>
  </w:style>
  <w:style w:type="character" w:customStyle="1" w:styleId="None">
    <w:name w:val="None"/>
    <w:rPr>
      <w:lang w:val="en-US"/>
    </w:rPr>
  </w:style>
  <w:style w:type="paragraph" w:styleId="Rodap">
    <w:name w:val="footer"/>
    <w:pPr>
      <w:tabs>
        <w:tab w:val="center" w:pos="4680"/>
        <w:tab w:val="right" w:pos="9360"/>
      </w:tabs>
    </w:pPr>
    <w:rPr>
      <w:rFonts w:cs="Arial Unicode MS"/>
      <w:color w:val="000000"/>
      <w:sz w:val="22"/>
      <w:szCs w:val="22"/>
      <w:lang w:val="en-US"/>
    </w:rPr>
  </w:style>
  <w:style w:type="paragraph" w:styleId="PargrafodaLista">
    <w:name w:val="List Paragraph"/>
    <w:pPr>
      <w:spacing w:after="200" w:line="276" w:lineRule="auto"/>
      <w:ind w:left="720"/>
    </w:pPr>
    <w:rPr>
      <w:rFonts w:cs="Arial Unicode MS"/>
      <w:color w:val="000000"/>
      <w:sz w:val="22"/>
      <w:szCs w:val="22"/>
      <w:lang w:val="en-US"/>
    </w:rPr>
  </w:style>
  <w:style w:type="numbering" w:customStyle="1" w:styleId="List1">
    <w:name w:val="List 1"/>
    <w:pPr>
      <w:numPr>
        <w:numId w:val="1"/>
      </w:numPr>
    </w:pPr>
  </w:style>
  <w:style w:type="paragraph" w:styleId="SemEspaamento">
    <w:name w:val="No Spacing"/>
    <w:uiPriority w:val="1"/>
    <w:qFormat/>
    <w:rPr>
      <w:rFonts w:cs="Arial Unicode MS"/>
      <w:color w:val="000000"/>
    </w:rPr>
  </w:style>
  <w:style w:type="character" w:customStyle="1" w:styleId="CabealhoChar">
    <w:name w:val="Cabeçalho Char"/>
    <w:basedOn w:val="Fontepargpadro"/>
    <w:link w:val="Cabealho"/>
    <w:uiPriority w:val="99"/>
    <w:rsid w:val="00857EFF"/>
    <w:rPr>
      <w:rFont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2893</Words>
  <Characters>15627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Cristiane Domingues</cp:lastModifiedBy>
  <cp:revision>19</cp:revision>
  <dcterms:created xsi:type="dcterms:W3CDTF">2019-12-19T18:30:00Z</dcterms:created>
  <dcterms:modified xsi:type="dcterms:W3CDTF">2019-12-19T23:39:00Z</dcterms:modified>
</cp:coreProperties>
</file>